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8AAFC" w14:textId="3CE15550" w:rsidR="005F23C0" w:rsidRPr="00DD13F2" w:rsidRDefault="00326503" w:rsidP="005F23C0">
      <w:pPr>
        <w:pStyle w:val="CaptionNotBold"/>
        <w:spacing w:before="0" w:line="240" w:lineRule="auto"/>
        <w:rPr>
          <w:lang w:val="en-CA"/>
        </w:rPr>
      </w:pPr>
      <w:r w:rsidRPr="00DD13F2">
        <w:rPr>
          <w:lang w:val="en-CA"/>
        </w:rPr>
        <w:t xml:space="preserve">Table </w:t>
      </w:r>
      <w:r w:rsidR="008D4653">
        <w:rPr>
          <w:lang w:val="en-CA"/>
        </w:rPr>
        <w:t>S</w:t>
      </w:r>
      <w:r w:rsidR="00F24856">
        <w:rPr>
          <w:lang w:val="en-CA"/>
        </w:rPr>
        <w:t>3</w:t>
      </w:r>
      <w:r w:rsidRPr="00DD13F2">
        <w:rPr>
          <w:lang w:val="en-CA"/>
        </w:rPr>
        <w:t xml:space="preserve">. </w:t>
      </w:r>
      <w:proofErr w:type="gramStart"/>
      <w:r w:rsidR="007E282C">
        <w:rPr>
          <w:lang w:val="en-CA"/>
        </w:rPr>
        <w:t>Slopes,</w:t>
      </w:r>
      <w:proofErr w:type="gramEnd"/>
      <w:r w:rsidR="006215B9">
        <w:rPr>
          <w:lang w:val="en-CA"/>
        </w:rPr>
        <w:t xml:space="preserve"> m</w:t>
      </w:r>
      <w:r>
        <w:rPr>
          <w:lang w:val="en-CA"/>
        </w:rPr>
        <w:t>ean percent prediction error</w:t>
      </w:r>
      <w:r w:rsidR="007E282C">
        <w:rPr>
          <w:lang w:val="en-CA"/>
        </w:rPr>
        <w:t>s, and standard errors of the estimate</w:t>
      </w:r>
      <w:r>
        <w:rPr>
          <w:lang w:val="en-CA"/>
        </w:rPr>
        <w:t xml:space="preserve"> of the </w:t>
      </w:r>
      <w:r w:rsidR="006215B9">
        <w:rPr>
          <w:lang w:val="en-CA"/>
        </w:rPr>
        <w:t xml:space="preserve">regression lines </w:t>
      </w:r>
      <w:r w:rsidRPr="00DD13F2">
        <w:rPr>
          <w:lang w:val="en-CA"/>
        </w:rPr>
        <w:t>in</w:t>
      </w:r>
      <w:r>
        <w:rPr>
          <w:lang w:val="en-CA"/>
        </w:rPr>
        <w:t xml:space="preserve"> </w:t>
      </w:r>
      <w:r w:rsidR="006215B9">
        <w:rPr>
          <w:lang w:val="en-CA"/>
        </w:rPr>
        <w:t xml:space="preserve">figure 2. </w:t>
      </w:r>
      <w:r w:rsidR="005F23C0">
        <w:rPr>
          <w:lang w:val="en-CA"/>
        </w:rPr>
        <w:t xml:space="preserve">The slopes of the estimation equations are shown without error, whereas the error associated with the avian slope is provided in the form of the 95% confidence intervals. 95% confidence intervals are also provided for all </w:t>
      </w:r>
      <w:r w:rsidR="005F23C0" w:rsidRPr="00DD13F2">
        <w:rPr>
          <w:lang w:val="en-CA"/>
        </w:rPr>
        <w:t>mean PPE</w:t>
      </w:r>
      <w:r w:rsidR="005F23C0">
        <w:rPr>
          <w:lang w:val="en-CA"/>
        </w:rPr>
        <w:t xml:space="preserve"> values. </w:t>
      </w:r>
      <w:r w:rsidR="006201CF">
        <w:rPr>
          <w:lang w:val="en-CA"/>
        </w:rPr>
        <w:t xml:space="preserve">Standard errors of the estimate </w:t>
      </w:r>
      <w:proofErr w:type="gramStart"/>
      <w:r w:rsidR="006201CF">
        <w:rPr>
          <w:lang w:val="en-CA"/>
        </w:rPr>
        <w:t>is</w:t>
      </w:r>
      <w:proofErr w:type="gramEnd"/>
      <w:r w:rsidR="006201CF">
        <w:rPr>
          <w:lang w:val="en-CA"/>
        </w:rPr>
        <w:t xml:space="preserve"> calculated based on log-transformed results. Equation abbreviations follow those used in the text. CF* </w:t>
      </w:r>
      <w:r w:rsidR="005F23C0">
        <w:rPr>
          <w:lang w:val="en-CA"/>
        </w:rPr>
        <w:t xml:space="preserve">refers to an updated Christiansen &amp; </w:t>
      </w:r>
      <w:proofErr w:type="spellStart"/>
      <w:r w:rsidR="005F23C0">
        <w:rPr>
          <w:lang w:val="en-CA"/>
        </w:rPr>
        <w:t>Fariña</w:t>
      </w:r>
      <w:proofErr w:type="spellEnd"/>
      <w:r w:rsidR="005F23C0">
        <w:rPr>
          <w:lang w:val="en-CA"/>
        </w:rPr>
        <w:t xml:space="preserve"> (2004) equation, in which all the </w:t>
      </w:r>
      <w:r w:rsidR="006201CF">
        <w:rPr>
          <w:lang w:val="en-CA"/>
        </w:rPr>
        <w:t>life-reconstruction estimates</w:t>
      </w:r>
      <w:r w:rsidR="005F23C0">
        <w:rPr>
          <w:lang w:val="en-CA"/>
        </w:rPr>
        <w:t xml:space="preserve"> in tables 3 and 4 are used. </w:t>
      </w:r>
      <w:r w:rsidR="006201CF">
        <w:rPr>
          <w:lang w:val="en-CA"/>
        </w:rPr>
        <w:t>CF** is similar to CF*, with the exception that uses</w:t>
      </w:r>
      <w:r w:rsidR="005F23C0">
        <w:rPr>
          <w:lang w:val="en-CA"/>
        </w:rPr>
        <w:t xml:space="preserve"> the mean mass and circumference value for species that are known from more than one specimen. </w:t>
      </w:r>
      <w:r w:rsidR="005F23C0" w:rsidRPr="00DD13F2">
        <w:rPr>
          <w:lang w:val="en-CA"/>
        </w:rPr>
        <w:t>Colours follow those used in</w:t>
      </w:r>
      <w:r w:rsidR="005F23C0">
        <w:rPr>
          <w:lang w:val="en-CA"/>
        </w:rPr>
        <w:t xml:space="preserve"> figure 2.</w:t>
      </w:r>
    </w:p>
    <w:p w14:paraId="5F8B5822" w14:textId="4FC6D877" w:rsidR="00326503" w:rsidRDefault="00326503" w:rsidP="007944DF">
      <w:pPr>
        <w:pStyle w:val="Caption"/>
        <w:keepNext/>
        <w:spacing w:before="0" w:line="240" w:lineRule="auto"/>
        <w:rPr>
          <w:lang w:val="en-CA"/>
        </w:rPr>
      </w:pPr>
    </w:p>
    <w:p w14:paraId="1571A595" w14:textId="77777777" w:rsidR="007944DF" w:rsidRPr="007944DF" w:rsidRDefault="007944DF" w:rsidP="007944DF">
      <w:pPr>
        <w:spacing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14"/>
        <w:gridCol w:w="923"/>
        <w:gridCol w:w="1745"/>
        <w:gridCol w:w="919"/>
        <w:gridCol w:w="1978"/>
        <w:gridCol w:w="1977"/>
      </w:tblGrid>
      <w:tr w:rsidR="007E282C" w:rsidRPr="00DD13F2" w14:paraId="4C86B15E" w14:textId="2AC15827" w:rsidTr="007E282C"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08DC" w14:textId="77777777" w:rsidR="007E282C" w:rsidRPr="00DD13F2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15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8F7B" w14:textId="781586E0" w:rsidR="007E282C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Slope</w:t>
            </w:r>
          </w:p>
        </w:tc>
        <w:tc>
          <w:tcPr>
            <w:tcW w:w="16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29BB" w14:textId="44F0EE01" w:rsidR="007E282C" w:rsidRPr="00A13AF0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Percent Prediction Error</w:t>
            </w:r>
          </w:p>
        </w:tc>
        <w:tc>
          <w:tcPr>
            <w:tcW w:w="11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F9BEB" w14:textId="096EB12C" w:rsidR="007E282C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Standard Error of Estimate</w:t>
            </w:r>
          </w:p>
        </w:tc>
      </w:tr>
      <w:tr w:rsidR="007E282C" w:rsidRPr="00DD13F2" w14:paraId="2C7ED210" w14:textId="2CED78B7" w:rsidTr="007E282C">
        <w:tc>
          <w:tcPr>
            <w:tcW w:w="7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0623" w14:textId="77777777" w:rsidR="007E282C" w:rsidRPr="00DD13F2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 w:rsidRPr="00DD13F2">
              <w:rPr>
                <w:b/>
                <w:lang w:val="en-CA"/>
              </w:rPr>
              <w:t>Equation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14:paraId="04B4709E" w14:textId="6CE42F9D" w:rsidR="007E282C" w:rsidRPr="00A13AF0" w:rsidRDefault="007E282C" w:rsidP="007944DF">
            <w:pPr>
              <w:spacing w:line="240" w:lineRule="auto"/>
              <w:jc w:val="center"/>
              <w:rPr>
                <w:b/>
                <w:i/>
                <w:lang w:val="en-CA"/>
              </w:rPr>
            </w:pPr>
            <w:proofErr w:type="gramStart"/>
            <w:r>
              <w:rPr>
                <w:b/>
                <w:i/>
                <w:lang w:val="en-CA"/>
              </w:rPr>
              <w:t>m</w:t>
            </w:r>
            <w:proofErr w:type="gramEnd"/>
          </w:p>
        </w:tc>
        <w:tc>
          <w:tcPr>
            <w:tcW w:w="9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4B8F45" w14:textId="3D5B11F4" w:rsidR="007E282C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95% CI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155B3C" w14:textId="3BBB09AF" w:rsidR="007E282C" w:rsidRPr="00A13AF0" w:rsidRDefault="007E282C" w:rsidP="007944DF">
            <w:pPr>
              <w:spacing w:line="240" w:lineRule="auto"/>
              <w:jc w:val="center"/>
              <w:rPr>
                <w:b/>
                <w:vertAlign w:val="subscript"/>
                <w:lang w:val="en-CA"/>
              </w:rPr>
            </w:pPr>
            <w:proofErr w:type="gramStart"/>
            <w:r>
              <w:rPr>
                <w:b/>
                <w:lang w:val="en-CA"/>
              </w:rPr>
              <w:t>mean</w:t>
            </w:r>
            <w:proofErr w:type="gramEnd"/>
          </w:p>
        </w:tc>
        <w:tc>
          <w:tcPr>
            <w:tcW w:w="111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9E3A3" w14:textId="116F5B7D" w:rsidR="007E282C" w:rsidRPr="00DD13F2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95% CI</w:t>
            </w:r>
          </w:p>
        </w:tc>
        <w:tc>
          <w:tcPr>
            <w:tcW w:w="11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BF00" w14:textId="77777777" w:rsidR="007E282C" w:rsidRDefault="007E282C" w:rsidP="007944DF">
            <w:pPr>
              <w:spacing w:line="240" w:lineRule="auto"/>
              <w:jc w:val="center"/>
              <w:rPr>
                <w:b/>
                <w:lang w:val="en-CA"/>
              </w:rPr>
            </w:pPr>
          </w:p>
        </w:tc>
      </w:tr>
      <w:tr w:rsidR="007E282C" w:rsidRPr="00DD13F2" w14:paraId="7B5E5A20" w14:textId="0E783786" w:rsidTr="007E282C">
        <w:tc>
          <w:tcPr>
            <w:tcW w:w="7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D6E61" w14:textId="18371E81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521" w:type="pct"/>
            <w:tcBorders>
              <w:top w:val="single" w:sz="4" w:space="0" w:color="auto"/>
            </w:tcBorders>
            <w:vAlign w:val="center"/>
          </w:tcPr>
          <w:p w14:paraId="572C2599" w14:textId="5EDA364D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2.39</w:t>
            </w:r>
          </w:p>
        </w:tc>
        <w:tc>
          <w:tcPr>
            <w:tcW w:w="98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579050" w14:textId="72FFCB49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2.276 to 2.505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904C69" w14:textId="13C421F6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33.8</w:t>
            </w:r>
          </w:p>
        </w:tc>
        <w:tc>
          <w:tcPr>
            <w:tcW w:w="111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D05BCB" w14:textId="77777777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28.9 to 38.6</w:t>
            </w:r>
          </w:p>
        </w:tc>
        <w:tc>
          <w:tcPr>
            <w:tcW w:w="1116" w:type="pct"/>
            <w:tcBorders>
              <w:top w:val="single" w:sz="4" w:space="0" w:color="auto"/>
              <w:right w:val="single" w:sz="4" w:space="0" w:color="auto"/>
            </w:tcBorders>
          </w:tcPr>
          <w:p w14:paraId="34F6BEF6" w14:textId="3FC15196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0.175</w:t>
            </w:r>
          </w:p>
        </w:tc>
      </w:tr>
      <w:tr w:rsidR="007E282C" w:rsidRPr="00DD13F2" w14:paraId="24A0D856" w14:textId="7908AE71" w:rsidTr="007E282C"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48697" w14:textId="517841D0" w:rsidR="007E282C" w:rsidRPr="00DD13F2" w:rsidRDefault="007E282C" w:rsidP="007944DF">
            <w:pPr>
              <w:spacing w:line="240" w:lineRule="auto"/>
              <w:jc w:val="center"/>
              <w:rPr>
                <w:color w:val="FF0000"/>
                <w:lang w:val="en-CA"/>
              </w:rPr>
            </w:pPr>
            <w:proofErr w:type="gramStart"/>
            <w:r>
              <w:rPr>
                <w:color w:val="FF0000"/>
                <w:lang w:val="en-CA"/>
              </w:rPr>
              <w:t>cQE</w:t>
            </w:r>
            <w:proofErr w:type="gramEnd"/>
          </w:p>
        </w:tc>
        <w:tc>
          <w:tcPr>
            <w:tcW w:w="521" w:type="pct"/>
            <w:vAlign w:val="center"/>
          </w:tcPr>
          <w:p w14:paraId="69922510" w14:textId="4546DB8B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2.754</w:t>
            </w:r>
          </w:p>
        </w:tc>
        <w:tc>
          <w:tcPr>
            <w:tcW w:w="985" w:type="pct"/>
            <w:tcBorders>
              <w:right w:val="single" w:sz="4" w:space="0" w:color="auto"/>
            </w:tcBorders>
            <w:vAlign w:val="center"/>
          </w:tcPr>
          <w:p w14:paraId="178709DD" w14:textId="69CC9B60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14:paraId="419C508E" w14:textId="6C19D456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63.8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24CB419D" w14:textId="5F14FCF9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53.8 to 73.8</w:t>
            </w:r>
          </w:p>
        </w:tc>
        <w:tc>
          <w:tcPr>
            <w:tcW w:w="1116" w:type="pct"/>
            <w:tcBorders>
              <w:right w:val="single" w:sz="4" w:space="0" w:color="auto"/>
            </w:tcBorders>
          </w:tcPr>
          <w:p w14:paraId="5D192567" w14:textId="7663C573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0.241</w:t>
            </w:r>
          </w:p>
        </w:tc>
      </w:tr>
      <w:tr w:rsidR="007E282C" w:rsidRPr="00DD13F2" w14:paraId="012336C9" w14:textId="28BCC01A" w:rsidTr="007E282C"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82CD7" w14:textId="447ED5B7" w:rsidR="007E282C" w:rsidRPr="00DD13F2" w:rsidRDefault="007E282C" w:rsidP="007944DF">
            <w:pPr>
              <w:spacing w:line="240" w:lineRule="auto"/>
              <w:jc w:val="center"/>
              <w:rPr>
                <w:color w:val="3366FF"/>
                <w:lang w:val="en-CA"/>
              </w:rPr>
            </w:pPr>
            <w:r>
              <w:rPr>
                <w:color w:val="3366FF"/>
                <w:lang w:val="en-CA"/>
              </w:rPr>
              <w:t>AHR</w:t>
            </w:r>
          </w:p>
        </w:tc>
        <w:tc>
          <w:tcPr>
            <w:tcW w:w="521" w:type="pct"/>
            <w:vAlign w:val="center"/>
          </w:tcPr>
          <w:p w14:paraId="179842A7" w14:textId="3B5FFBB3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2.73</w:t>
            </w:r>
          </w:p>
        </w:tc>
        <w:tc>
          <w:tcPr>
            <w:tcW w:w="985" w:type="pct"/>
            <w:tcBorders>
              <w:right w:val="single" w:sz="4" w:space="0" w:color="auto"/>
            </w:tcBorders>
            <w:vAlign w:val="center"/>
          </w:tcPr>
          <w:p w14:paraId="299CC738" w14:textId="697194A1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14:paraId="6DFD0686" w14:textId="32921783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114.6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1EF03B64" w14:textId="77777777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99.4 to 129.8</w:t>
            </w:r>
          </w:p>
        </w:tc>
        <w:tc>
          <w:tcPr>
            <w:tcW w:w="1116" w:type="pct"/>
            <w:tcBorders>
              <w:right w:val="single" w:sz="4" w:space="0" w:color="auto"/>
            </w:tcBorders>
          </w:tcPr>
          <w:p w14:paraId="6C227D8F" w14:textId="1FA1855C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0.344</w:t>
            </w:r>
          </w:p>
        </w:tc>
      </w:tr>
      <w:tr w:rsidR="007E282C" w:rsidRPr="00DD13F2" w14:paraId="0AEA592D" w14:textId="0237C82C" w:rsidTr="007E282C"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96D20" w14:textId="48A16A36" w:rsidR="007E282C" w:rsidRPr="00ED59A2" w:rsidRDefault="007E282C" w:rsidP="007944DF">
            <w:pPr>
              <w:spacing w:line="240" w:lineRule="auto"/>
              <w:jc w:val="center"/>
              <w:rPr>
                <w:color w:val="F79646" w:themeColor="accent6"/>
                <w:lang w:val="en-CA"/>
              </w:rPr>
            </w:pPr>
            <w:r>
              <w:rPr>
                <w:color w:val="F79646" w:themeColor="accent6"/>
                <w:lang w:val="en-CA"/>
              </w:rPr>
              <w:t>CM</w:t>
            </w:r>
          </w:p>
        </w:tc>
        <w:tc>
          <w:tcPr>
            <w:tcW w:w="521" w:type="pct"/>
            <w:vAlign w:val="center"/>
          </w:tcPr>
          <w:p w14:paraId="4029EFC9" w14:textId="6C47D532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2.411</w:t>
            </w:r>
          </w:p>
        </w:tc>
        <w:tc>
          <w:tcPr>
            <w:tcW w:w="985" w:type="pct"/>
            <w:tcBorders>
              <w:right w:val="single" w:sz="4" w:space="0" w:color="auto"/>
            </w:tcBorders>
            <w:vAlign w:val="center"/>
          </w:tcPr>
          <w:p w14:paraId="7C84276F" w14:textId="455FCDC3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14:paraId="01DC2FA2" w14:textId="7E9385E2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771C11F8" w14:textId="77777777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27 to 34.9</w:t>
            </w:r>
          </w:p>
        </w:tc>
        <w:tc>
          <w:tcPr>
            <w:tcW w:w="1116" w:type="pct"/>
            <w:tcBorders>
              <w:right w:val="single" w:sz="4" w:space="0" w:color="auto"/>
            </w:tcBorders>
          </w:tcPr>
          <w:p w14:paraId="3106DEC8" w14:textId="1285E727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0.185</w:t>
            </w:r>
          </w:p>
        </w:tc>
      </w:tr>
      <w:tr w:rsidR="007E282C" w:rsidRPr="00DD13F2" w14:paraId="1FCAAE6D" w14:textId="6F9D6B3C" w:rsidTr="007E282C"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BC420" w14:textId="56167A52" w:rsidR="007E282C" w:rsidRPr="00ED59A2" w:rsidRDefault="007E282C" w:rsidP="007944DF">
            <w:pPr>
              <w:spacing w:line="240" w:lineRule="auto"/>
              <w:jc w:val="center"/>
              <w:rPr>
                <w:color w:val="76923C" w:themeColor="accent3" w:themeShade="BF"/>
                <w:lang w:val="en-CA"/>
              </w:rPr>
            </w:pPr>
            <w:r>
              <w:rPr>
                <w:color w:val="76923C" w:themeColor="accent3" w:themeShade="BF"/>
                <w:lang w:val="en-CA"/>
              </w:rPr>
              <w:t>CF</w:t>
            </w:r>
          </w:p>
        </w:tc>
        <w:tc>
          <w:tcPr>
            <w:tcW w:w="521" w:type="pct"/>
            <w:vAlign w:val="center"/>
          </w:tcPr>
          <w:p w14:paraId="7FA3A37D" w14:textId="1ACAD0D5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2.738</w:t>
            </w:r>
          </w:p>
        </w:tc>
        <w:tc>
          <w:tcPr>
            <w:tcW w:w="985" w:type="pct"/>
            <w:tcBorders>
              <w:right w:val="single" w:sz="4" w:space="0" w:color="auto"/>
            </w:tcBorders>
            <w:vAlign w:val="center"/>
          </w:tcPr>
          <w:p w14:paraId="46E0986A" w14:textId="0765938D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14:paraId="504FE2FB" w14:textId="74E9C2BC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50.3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23C38B7B" w14:textId="77777777" w:rsidR="007E282C" w:rsidRPr="00DD13F2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42.1 to 58.4</w:t>
            </w:r>
          </w:p>
        </w:tc>
        <w:tc>
          <w:tcPr>
            <w:tcW w:w="1116" w:type="pct"/>
            <w:tcBorders>
              <w:right w:val="single" w:sz="4" w:space="0" w:color="auto"/>
            </w:tcBorders>
          </w:tcPr>
          <w:p w14:paraId="0527BFB5" w14:textId="360176A5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0.212</w:t>
            </w:r>
          </w:p>
        </w:tc>
      </w:tr>
      <w:tr w:rsidR="007E282C" w:rsidRPr="00DD13F2" w14:paraId="7E19371B" w14:textId="60F22D3D" w:rsidTr="007E282C"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5DE5C" w14:textId="65E55F80" w:rsidR="007E282C" w:rsidRPr="00ED59A2" w:rsidRDefault="007E282C" w:rsidP="007944DF">
            <w:pPr>
              <w:spacing w:line="240" w:lineRule="auto"/>
              <w:jc w:val="center"/>
              <w:rPr>
                <w:color w:val="76923C" w:themeColor="accent3" w:themeShade="BF"/>
                <w:lang w:val="en-CA"/>
              </w:rPr>
            </w:pPr>
            <w:r>
              <w:rPr>
                <w:color w:val="76923C" w:themeColor="accent3" w:themeShade="BF"/>
                <w:lang w:val="en-CA"/>
              </w:rPr>
              <w:t>CF*</w:t>
            </w:r>
          </w:p>
        </w:tc>
        <w:tc>
          <w:tcPr>
            <w:tcW w:w="521" w:type="pct"/>
            <w:vAlign w:val="center"/>
          </w:tcPr>
          <w:p w14:paraId="1F405327" w14:textId="08B6600F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 w:rsidRPr="002F5290">
              <w:rPr>
                <w:lang w:val="en-CA"/>
              </w:rPr>
              <w:t>2.91</w:t>
            </w:r>
            <w:r>
              <w:rPr>
                <w:lang w:val="en-CA"/>
              </w:rPr>
              <w:t>3</w:t>
            </w:r>
          </w:p>
        </w:tc>
        <w:tc>
          <w:tcPr>
            <w:tcW w:w="985" w:type="pct"/>
            <w:tcBorders>
              <w:right w:val="single" w:sz="4" w:space="0" w:color="auto"/>
            </w:tcBorders>
            <w:vAlign w:val="center"/>
          </w:tcPr>
          <w:p w14:paraId="01C2CFF2" w14:textId="578FCCEE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</w:tcBorders>
            <w:vAlign w:val="center"/>
          </w:tcPr>
          <w:p w14:paraId="29B0230C" w14:textId="234FD84F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 w:rsidRPr="002F5290">
              <w:rPr>
                <w:lang w:val="en-CA"/>
              </w:rPr>
              <w:t>144.1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653D5CAD" w14:textId="238DEB7E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124.8 to 163.3</w:t>
            </w:r>
          </w:p>
        </w:tc>
        <w:tc>
          <w:tcPr>
            <w:tcW w:w="1116" w:type="pct"/>
            <w:tcBorders>
              <w:right w:val="single" w:sz="4" w:space="0" w:color="auto"/>
            </w:tcBorders>
          </w:tcPr>
          <w:p w14:paraId="45BE56A0" w14:textId="7131699C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0.394</w:t>
            </w:r>
          </w:p>
        </w:tc>
      </w:tr>
      <w:tr w:rsidR="007E282C" w:rsidRPr="00DD13F2" w14:paraId="6AF96DBA" w14:textId="320E0D52" w:rsidTr="007E282C">
        <w:tc>
          <w:tcPr>
            <w:tcW w:w="7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8FA5" w14:textId="73F2EE90" w:rsidR="007E282C" w:rsidRPr="00ED59A2" w:rsidRDefault="007E282C" w:rsidP="007944DF">
            <w:pPr>
              <w:spacing w:line="240" w:lineRule="auto"/>
              <w:jc w:val="center"/>
              <w:rPr>
                <w:color w:val="76923C" w:themeColor="accent3" w:themeShade="BF"/>
                <w:lang w:val="en-CA"/>
              </w:rPr>
            </w:pPr>
            <w:r>
              <w:rPr>
                <w:color w:val="76923C" w:themeColor="accent3" w:themeShade="BF"/>
                <w:lang w:val="en-CA"/>
              </w:rPr>
              <w:t>CF**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14:paraId="6F067445" w14:textId="0EE42530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 w:rsidRPr="002F5290">
              <w:rPr>
                <w:lang w:val="en-CA"/>
              </w:rPr>
              <w:t>2.89</w:t>
            </w:r>
            <w:r>
              <w:rPr>
                <w:lang w:val="en-CA"/>
              </w:rPr>
              <w:t>4</w:t>
            </w:r>
          </w:p>
        </w:tc>
        <w:tc>
          <w:tcPr>
            <w:tcW w:w="9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77845" w14:textId="617353D0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BDDCFC" w14:textId="185E784F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 w:rsidRPr="002F5290">
              <w:rPr>
                <w:lang w:val="en-CA"/>
              </w:rPr>
              <w:t>124.1</w:t>
            </w:r>
          </w:p>
        </w:tc>
        <w:tc>
          <w:tcPr>
            <w:tcW w:w="111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D39B4B" w14:textId="40DB29FD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106.9 to 141.2</w:t>
            </w:r>
          </w:p>
        </w:tc>
        <w:tc>
          <w:tcPr>
            <w:tcW w:w="1116" w:type="pct"/>
            <w:tcBorders>
              <w:bottom w:val="single" w:sz="4" w:space="0" w:color="auto"/>
              <w:right w:val="single" w:sz="4" w:space="0" w:color="auto"/>
            </w:tcBorders>
          </w:tcPr>
          <w:p w14:paraId="6021CA6B" w14:textId="0EE474E7" w:rsidR="007E282C" w:rsidRDefault="007E282C" w:rsidP="007944DF">
            <w:pPr>
              <w:spacing w:line="24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0.361</w:t>
            </w:r>
          </w:p>
        </w:tc>
      </w:tr>
    </w:tbl>
    <w:p w14:paraId="2E2E91B7" w14:textId="77777777" w:rsidR="000A79EB" w:rsidRDefault="000A79EB" w:rsidP="007944DF">
      <w:pPr>
        <w:spacing w:line="240" w:lineRule="auto"/>
      </w:pPr>
      <w:bookmarkStart w:id="0" w:name="_GoBack"/>
      <w:bookmarkEnd w:id="0"/>
    </w:p>
    <w:sectPr w:rsidR="000A79EB" w:rsidSect="00DD674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3"/>
    <w:rsid w:val="000A79EB"/>
    <w:rsid w:val="002D62C0"/>
    <w:rsid w:val="002F5290"/>
    <w:rsid w:val="00326503"/>
    <w:rsid w:val="005F23C0"/>
    <w:rsid w:val="006201CF"/>
    <w:rsid w:val="006215B9"/>
    <w:rsid w:val="00643A56"/>
    <w:rsid w:val="00726DF4"/>
    <w:rsid w:val="007944DF"/>
    <w:rsid w:val="007E282C"/>
    <w:rsid w:val="00891444"/>
    <w:rsid w:val="008C080E"/>
    <w:rsid w:val="008D4653"/>
    <w:rsid w:val="00A13AF0"/>
    <w:rsid w:val="00DD6748"/>
    <w:rsid w:val="00EB138D"/>
    <w:rsid w:val="00ED59A2"/>
    <w:rsid w:val="00F248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6E4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03"/>
    <w:pPr>
      <w:spacing w:line="480" w:lineRule="auto"/>
    </w:pPr>
    <w:rPr>
      <w:rFonts w:ascii="Times New Roman" w:eastAsia="Cambr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326503"/>
    <w:pPr>
      <w:spacing w:before="240" w:line="360" w:lineRule="auto"/>
    </w:pPr>
    <w:rPr>
      <w:rFonts w:eastAsia="Times New Roman"/>
      <w:bCs/>
      <w:lang w:val="en-US" w:eastAsia="en-CA"/>
    </w:rPr>
  </w:style>
  <w:style w:type="paragraph" w:customStyle="1" w:styleId="CaptionNotBold">
    <w:name w:val="Caption Not Bold"/>
    <w:basedOn w:val="Caption"/>
    <w:qFormat/>
    <w:rsid w:val="00326503"/>
  </w:style>
  <w:style w:type="paragraph" w:styleId="BalloonText">
    <w:name w:val="Balloon Text"/>
    <w:basedOn w:val="Normal"/>
    <w:link w:val="BalloonTextChar"/>
    <w:uiPriority w:val="99"/>
    <w:semiHidden/>
    <w:unhideWhenUsed/>
    <w:rsid w:val="002D62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C0"/>
    <w:rPr>
      <w:rFonts w:ascii="Lucida Grande" w:eastAsia="Cambria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03"/>
    <w:pPr>
      <w:spacing w:line="480" w:lineRule="auto"/>
    </w:pPr>
    <w:rPr>
      <w:rFonts w:ascii="Times New Roman" w:eastAsia="Cambr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326503"/>
    <w:pPr>
      <w:spacing w:before="240" w:line="360" w:lineRule="auto"/>
    </w:pPr>
    <w:rPr>
      <w:rFonts w:eastAsia="Times New Roman"/>
      <w:bCs/>
      <w:lang w:val="en-US" w:eastAsia="en-CA"/>
    </w:rPr>
  </w:style>
  <w:style w:type="paragraph" w:customStyle="1" w:styleId="CaptionNotBold">
    <w:name w:val="Caption Not Bold"/>
    <w:basedOn w:val="Caption"/>
    <w:qFormat/>
    <w:rsid w:val="00326503"/>
  </w:style>
  <w:style w:type="paragraph" w:styleId="BalloonText">
    <w:name w:val="Balloon Text"/>
    <w:basedOn w:val="Normal"/>
    <w:link w:val="BalloonTextChar"/>
    <w:uiPriority w:val="99"/>
    <w:semiHidden/>
    <w:unhideWhenUsed/>
    <w:rsid w:val="002D62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C0"/>
    <w:rPr>
      <w:rFonts w:ascii="Lucida Grande" w:eastAsia="Cambria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1013</Characters>
  <Application>Microsoft Macintosh Word</Application>
  <DocSecurity>0</DocSecurity>
  <Lines>8</Lines>
  <Paragraphs>2</Paragraphs>
  <ScaleCrop>false</ScaleCrop>
  <Company>University of Toronto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Campione</dc:creator>
  <cp:keywords/>
  <dc:description/>
  <cp:lastModifiedBy>Nicolas C</cp:lastModifiedBy>
  <cp:revision>11</cp:revision>
  <dcterms:created xsi:type="dcterms:W3CDTF">2013-07-30T21:00:00Z</dcterms:created>
  <dcterms:modified xsi:type="dcterms:W3CDTF">2014-03-20T11:28:00Z</dcterms:modified>
</cp:coreProperties>
</file>