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F6733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Claro, te lo explico con más detalle en e</w:t>
      </w:r>
      <w:bookmarkStart w:id="0" w:name="_GoBack"/>
      <w:bookmarkEnd w:id="0"/>
      <w:r>
        <w:rPr>
          <w:rFonts w:hint="default"/>
          <w:sz w:val="18"/>
          <w:szCs w:val="18"/>
        </w:rPr>
        <w:t>spañol.                                                                                             │</w:t>
      </w:r>
    </w:p>
    <w:p w14:paraId="7B048DAC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2                                                                                                                                              │</w:t>
      </w:r>
    </w:p>
    <w:p w14:paraId="108467FD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3 Entiendo tu confusión, es una pregunta muy válida y la respuesta se encuentra en una lógica específica que se implementó en el sistema Odoo  │</w:t>
      </w:r>
    </w:p>
    <w:p w14:paraId="66CD0A75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  de Sentinela, según la documentación que he revisado.                                                                                        │</w:t>
      </w:r>
    </w:p>
    <w:p w14:paraId="227E2A47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4                                                                                                                                              │</w:t>
      </w:r>
    </w:p>
    <w:p w14:paraId="25138B86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5 En Odoo, un contacto puede tener asociadas varias direcciones (de facturación, de envío, de servicio, etc.). Sin embargo, la implementación  │</w:t>
      </w:r>
    </w:p>
    <w:p w14:paraId="54DF2491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  de Sentinela va un paso más allá, creando "contactos hijos" específicos para representar las "direcciones de servicio".                      │</w:t>
      </w:r>
    </w:p>
    <w:p w14:paraId="2B518E4D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6                                                                                                                                              │</w:t>
      </w:r>
    </w:p>
    <w:p w14:paraId="50226BF4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7 Aquí la explicación detallada:                                                                                                               │</w:t>
      </w:r>
    </w:p>
    <w:p w14:paraId="07B953AD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8                                                                                                                                              │</w:t>
      </w:r>
    </w:p>
    <w:p w14:paraId="5C9630A8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9 1.  **El Contacto Principal (Viviana Lira):**                                                                                                │</w:t>
      </w:r>
    </w:p>
    <w:p w14:paraId="7D2A82D5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10     *   Una de las apariciones de "Viviana Lira" es, muy probablemente, el **contacto principal** o la **entidad de facturación/central**    │</w:t>
      </w:r>
    </w:p>
    <w:p w14:paraId="3C509518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  del cliente. Esta sería la representación general de Viviana Lira como cliente en tu sistema, donde podrías tener su información fiscal,     │</w:t>
      </w:r>
    </w:p>
    <w:p w14:paraId="48B3E895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  datos de contacto primarios, etc.                                                                                                            │</w:t>
      </w:r>
    </w:p>
    <w:p w14:paraId="20D2236A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11                                                                                                                                              │</w:t>
      </w:r>
    </w:p>
    <w:p w14:paraId="33B8EC9B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12 2.  **El "Contacto Hijo" para la Dirección de Servicio:**                                                                                    │</w:t>
      </w:r>
    </w:p>
    <w:p w14:paraId="021BCEF8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13     *   La segunda aparición, que mencionas como parte de "contactos y direcciones", es casi seguro un **"Contacto Hijo"** que fue creado    │</w:t>
      </w:r>
    </w:p>
    <w:p w14:paraId="6C1E8DC6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  específicamente para la **dirección donde se presta el servicio**.                                                                           │</w:t>
      </w:r>
    </w:p>
    <w:p w14:paraId="32D1823A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14     *   Aunque la dirección física sea la misma que la del contacto principal, la documentación (`RESUMEN_PROYECTO_FINAL_06FEB.md`) indica   │</w:t>
      </w:r>
    </w:p>
    <w:p w14:paraId="6A17ED76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  claramente: "**Separación Fiscal:** Implementación de lógica para crear 'Contactos Hijos' para direcciones de servicio, evitando que se      │</w:t>
      </w:r>
    </w:p>
    <w:p w14:paraId="4C9309E0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  mezclen datos de la central con datos de facturación."                                                                                       │</w:t>
      </w:r>
    </w:p>
    <w:p w14:paraId="001938E4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15                                                                                                                                              │</w:t>
      </w:r>
    </w:p>
    <w:p w14:paraId="7F018271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16 **¿Por qué esta lógica, incluso si la dirección es la misma?**                                                                               │</w:t>
      </w:r>
    </w:p>
    <w:p w14:paraId="164FB2D8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17                                                                                                                                              │</w:t>
      </w:r>
    </w:p>
    <w:p w14:paraId="54FCAE78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18 El propósito de esta "Separación Fiscal" es crucial y ofrece varias ventajas, a pesar de que pueda parecer redundante a primera vista:       │</w:t>
      </w:r>
    </w:p>
    <w:p w14:paraId="522B2F06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19                                                                                                                                              │</w:t>
      </w:r>
    </w:p>
    <w:p w14:paraId="502F7ADE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20 *   **Claridad y Especialización de Roles:** Permite diferenciar el rol del contacto. Un "Contacto Principal" puede ser la entidad legal o   │</w:t>
      </w:r>
    </w:p>
    <w:p w14:paraId="20862BFA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  fiscal, mientras que un "Contacto Hijo" con la misma dirección física se designa específicamente para todo lo relacionado con el *servicio*  │</w:t>
      </w:r>
    </w:p>
    <w:p w14:paraId="7120FAF7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  en esa ubicación. Esto significa que los tickets, las asignaciones de técnicos, el historial de mantenimiento, etc., se vinculan             │</w:t>
      </w:r>
    </w:p>
    <w:p w14:paraId="2C399C6F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  directamente con la "dirección de servicio" como un contacto independiente, y no con el contacto principal que podría representar la         │</w:t>
      </w:r>
    </w:p>
    <w:p w14:paraId="12C6874D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  relación comercial más amplia.                                                                                                               │</w:t>
      </w:r>
    </w:p>
    <w:p w14:paraId="30414604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21                                                                                                                                              │</w:t>
      </w:r>
    </w:p>
    <w:p w14:paraId="22F8E0B2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22 *   **Evitar la Mezcla de Datos (Integridad):** Como lo menciona la documentación, el objetivo es "evitar que se mezclen datos de la central │</w:t>
      </w:r>
    </w:p>
    <w:p w14:paraId="3125FBD2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  con datos de facturación". Imagina que el contacto principal de Viviana Lira tiene un historial de facturas y pagos. Si la dirección de      │</w:t>
      </w:r>
    </w:p>
    <w:p w14:paraId="7C2B531D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  servicio estuviera directamente en el contacto principal y en el futuro Viviana Lira contratara otro servicio en otra dirección, o si        │</w:t>
      </w:r>
    </w:p>
    <w:p w14:paraId="639619C2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  cambiara su dirección fiscal pero no la de servicio, esta separación asegura que los datos no se confundan y que cada tipo de información    │</w:t>
      </w:r>
    </w:p>
    <w:p w14:paraId="36ABFADA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  (fiscal vs. de servicio) mantenga su propia integridad y contexto.                                                                           │</w:t>
      </w:r>
    </w:p>
    <w:p w14:paraId="162EC998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23                                                                                                                                              │</w:t>
      </w:r>
    </w:p>
    <w:p w14:paraId="27487B18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24 *   **Flexibilidad Futura:** Este modelo es mucho más flexible. Si en el futuro Viviana Lira:                                                │</w:t>
      </w:r>
    </w:p>
    <w:p w14:paraId="29B7EEF9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25     *   Contrata un segundo servicio en una dirección diferente, se crearía otro "Contacto Hijo" para esa nueva dirección de servicio.       │</w:t>
      </w:r>
    </w:p>
    <w:p w14:paraId="459E8078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26     *   Cambia su dirección fiscal, solo se modificaría la dirección del contacto principal, sin afectar la dirección de los servicios       │</w:t>
      </w:r>
    </w:p>
    <w:p w14:paraId="25DEE6E5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  activos.                                                                                                                                     │</w:t>
      </w:r>
    </w:p>
    <w:p w14:paraId="0B28F6CD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27     *   Necesita que se contacte a una persona diferente en la ubicación del servicio, esa información se puede asociar al "Contacto Hijo de │</w:t>
      </w:r>
    </w:p>
    <w:p w14:paraId="16AAAC41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  servicio" sin alterar los datos del contacto principal.                                                                                      │</w:t>
      </w:r>
    </w:p>
    <w:p w14:paraId="2E0C15C2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28                                                                                                                                              │</w:t>
      </w:r>
    </w:p>
    <w:p w14:paraId="0F3E81EC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29 *   **Gestión Operativa Simplificada:** Para los técnicos o el personal de monitoreo, es más directo trabajar con un "Contacto Hijo" que     │</w:t>
      </w:r>
    </w:p>
    <w:p w14:paraId="29984FC9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  representa la "dirección de servicio". Pueden ver rápidamente la información relevante *para ese servicio específico* sin distraerse con     │</w:t>
      </w:r>
    </w:p>
    <w:p w14:paraId="30D38BCA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  otros detalles del contacto principal que no sean pertinentes para la operación en el sitio.                                                 │</w:t>
      </w:r>
    </w:p>
    <w:p w14:paraId="049C51B1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30                                                                                                                                              │</w:t>
      </w:r>
    </w:p>
    <w:p w14:paraId="63A4C00C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31 En resumen, aunque veas dos entradas para "Viviana Lira" con la misma dirección, una representa al **cliente como entidad                    │</w:t>
      </w:r>
    </w:p>
    <w:p w14:paraId="4DB018CD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  principal/fiscal**, y la otra es un **contacto específico que representa la ubicación física y operativa del servicio**, diseñado            │</w:t>
      </w:r>
    </w:p>
    <w:p w14:paraId="766EC07E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   intencionalmente para mantener los datos organizados y evitar conflictos entre diferentes tipos de información.                              │</w:t>
      </w:r>
    </w:p>
    <w:p w14:paraId="462B514F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32                                                                                                                                              │</w:t>
      </w:r>
    </w:p>
    <w:p w14:paraId="5540D5C0">
      <w:pPr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</w:rPr>
        <w:t>│ 33 ¿Te gustaría que investigara cómo está implementada esta lógica en el código de Odoo (por ejemplo, en el módulo `sentinela_subscriptions`)   │</w:t>
      </w:r>
    </w:p>
    <w:p w14:paraId="1577A74C">
      <w:pPr>
        <w:rPr>
          <w:sz w:val="18"/>
          <w:szCs w:val="18"/>
        </w:rPr>
      </w:pPr>
      <w:r>
        <w:rPr>
          <w:rFonts w:hint="default"/>
          <w:sz w:val="18"/>
          <w:szCs w:val="18"/>
        </w:rPr>
        <w:t>│    para ver los detalles exactos?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1669C9"/>
    <w:rsid w:val="7A16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2026-02-07T16:32:00Z</dcterms:created>
  <dc:creator>DELL</dc:creator>
  <cp:lastModifiedBy>DELL</cp:lastModifiedBy>
  <dcterms:modified xsi:type="dcterms:W3CDTF">2026-02-07T16:41:07Z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E0D4A7EF0FF64ECE80E96AF47C379E5F_11</vt:lpwstr>
  </property>
</Properties>
</file>