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rato-de-hospedagem-e-manutenção"/>
    <w:p>
      <w:pPr>
        <w:pStyle w:val="Heading1"/>
      </w:pPr>
      <w:r>
        <w:t xml:space="preserve">CONTRATO DE HOSPEDAGEM E MANUTENÇÃO</w:t>
      </w:r>
    </w:p>
    <w:bookmarkEnd w:id="20"/>
    <w:bookmarkStart w:id="24" w:name="la-visual-marketing"/>
    <w:p>
      <w:pPr>
        <w:pStyle w:val="Heading1"/>
      </w:pPr>
      <w:r>
        <w:t xml:space="preserve">LA VISUAL MARKETING</w:t>
      </w:r>
    </w:p>
    <w:bookmarkStart w:id="23" w:name="versão-1.0"/>
    <w:p>
      <w:pPr>
        <w:pStyle w:val="Heading2"/>
      </w:pPr>
      <w:r>
        <w:t xml:space="preserve">Versão 1.0</w:t>
      </w:r>
    </w:p>
    <w:bookmarkStart w:id="21" w:name="contratante"/>
    <w:p>
      <w:pPr>
        <w:pStyle w:val="Heading3"/>
      </w:pPr>
      <w:r>
        <w:t xml:space="preserve">CONTRATANTE</w:t>
      </w:r>
    </w:p>
    <w:p>
      <w:pPr>
        <w:pStyle w:val="FirstParagraph"/>
      </w:pPr>
      <w:r>
        <w:t xml:space="preserve">Nome/Razão Social: __________________________</w:t>
      </w:r>
    </w:p>
    <w:p>
      <w:pPr>
        <w:pStyle w:val="BodyText"/>
      </w:pPr>
      <w:r>
        <w:t xml:space="preserve">CPF/CNPJ: __________________________</w:t>
      </w:r>
    </w:p>
    <w:p>
      <w:pPr>
        <w:pStyle w:val="BodyText"/>
      </w:pPr>
      <w:r>
        <w:t xml:space="preserve">Endereço: __________________________</w:t>
      </w:r>
    </w:p>
    <w:p>
      <w:pPr>
        <w:pStyle w:val="BodyText"/>
      </w:pPr>
      <w:r>
        <w:t xml:space="preserve">E-mail: __________________________</w:t>
      </w:r>
    </w:p>
    <w:p>
      <w:pPr>
        <w:pStyle w:val="BodyText"/>
      </w:pPr>
      <w:r>
        <w:t xml:space="preserve">Telefone: 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contratada"/>
    <w:p>
      <w:pPr>
        <w:pStyle w:val="Heading3"/>
      </w:pPr>
      <w:r>
        <w:t xml:space="preserve">CONTRATADA</w:t>
      </w:r>
    </w:p>
    <w:p>
      <w:pPr>
        <w:pStyle w:val="FirstParagraph"/>
      </w:pPr>
      <w:r>
        <w:t xml:space="preserve">LA VISUAL MARKETING</w:t>
      </w:r>
    </w:p>
    <w:p>
      <w:pPr>
        <w:pStyle w:val="BodyText"/>
      </w:pPr>
      <w:r>
        <w:t xml:space="preserve">Representada por:</w:t>
      </w:r>
    </w:p>
    <w:p>
      <w:pPr>
        <w:pStyle w:val="BodyText"/>
      </w:pPr>
      <w:r>
        <w:t xml:space="preserve">Laís Allan</w:t>
      </w:r>
    </w:p>
    <w:p>
      <w:pPr>
        <w:pStyle w:val="BodyText"/>
      </w:pPr>
      <w:r>
        <w:t xml:space="preserve">Federico Sebastián Allan</w:t>
      </w:r>
    </w:p>
    <w:p>
      <w:pPr>
        <w:pStyle w:val="BodyText"/>
      </w:pPr>
      <w:r>
        <w:t xml:space="preserve">E-mail: __________________________</w:t>
      </w:r>
    </w:p>
    <w:p>
      <w:pPr>
        <w:pStyle w:val="BodyText"/>
      </w:pPr>
      <w:r>
        <w:t xml:space="preserve">Telefone: __________________________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cláusula-1-objeto"/>
    <w:p>
      <w:pPr>
        <w:pStyle w:val="Heading1"/>
      </w:pPr>
      <w:r>
        <w:t xml:space="preserve">CLÁUSULA 1 – OBJETO</w:t>
      </w:r>
    </w:p>
    <w:p>
      <w:pPr>
        <w:pStyle w:val="FirstParagraph"/>
      </w:pPr>
      <w:r>
        <w:t xml:space="preserve">O presente contrato tem por objeto a prestação de serviços de hospedagem, manutenção, suporte técnico e serviços correlatos para websites, sistemas e projetos digitais do CONTRATANTE, conforme plano contratado.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2-serviços-contratados"/>
    <w:p>
      <w:pPr>
        <w:pStyle w:val="Heading1"/>
      </w:pPr>
      <w:r>
        <w:t xml:space="preserve">CLÁUSULA 2 – SERVIÇOS CONTRATADOS</w:t>
      </w:r>
    </w:p>
    <w:p>
      <w:pPr>
        <w:pStyle w:val="FirstParagraph"/>
      </w:pPr>
      <w:r>
        <w:t xml:space="preserve">Os serviços poderão incluir, conforme contratação:</w:t>
      </w:r>
    </w:p>
    <w:p>
      <w:pPr>
        <w:pStyle w:val="Compact"/>
        <w:numPr>
          <w:ilvl w:val="0"/>
          <w:numId w:val="1001"/>
        </w:numPr>
      </w:pPr>
      <w:r>
        <w:t xml:space="preserve">Hospedagem de websites;</w:t>
      </w:r>
    </w:p>
    <w:p>
      <w:pPr>
        <w:pStyle w:val="Compact"/>
        <w:numPr>
          <w:ilvl w:val="0"/>
          <w:numId w:val="1001"/>
        </w:numPr>
      </w:pPr>
      <w:r>
        <w:t xml:space="preserve">Certificados SSL;</w:t>
      </w:r>
    </w:p>
    <w:p>
      <w:pPr>
        <w:pStyle w:val="Compact"/>
        <w:numPr>
          <w:ilvl w:val="0"/>
          <w:numId w:val="1001"/>
        </w:numPr>
      </w:pPr>
      <w:r>
        <w:t xml:space="preserve">Backups periódicos;</w:t>
      </w:r>
    </w:p>
    <w:p>
      <w:pPr>
        <w:pStyle w:val="Compact"/>
        <w:numPr>
          <w:ilvl w:val="0"/>
          <w:numId w:val="1001"/>
        </w:numPr>
      </w:pPr>
      <w:r>
        <w:t xml:space="preserve">Manutenção corretiva;</w:t>
      </w:r>
    </w:p>
    <w:p>
      <w:pPr>
        <w:pStyle w:val="Compact"/>
        <w:numPr>
          <w:ilvl w:val="0"/>
          <w:numId w:val="1001"/>
        </w:numPr>
      </w:pPr>
      <w:r>
        <w:t xml:space="preserve">Atualizações simples;</w:t>
      </w:r>
    </w:p>
    <w:p>
      <w:pPr>
        <w:pStyle w:val="Compact"/>
        <w:numPr>
          <w:ilvl w:val="0"/>
          <w:numId w:val="1001"/>
        </w:numPr>
      </w:pPr>
      <w:r>
        <w:t xml:space="preserve">Suporte técnico;</w:t>
      </w:r>
    </w:p>
    <w:p>
      <w:pPr>
        <w:pStyle w:val="Compact"/>
        <w:numPr>
          <w:ilvl w:val="0"/>
          <w:numId w:val="1001"/>
        </w:numPr>
      </w:pPr>
      <w:r>
        <w:t xml:space="preserve">Monitoramento básico;</w:t>
      </w:r>
    </w:p>
    <w:p>
      <w:pPr>
        <w:pStyle w:val="Compact"/>
        <w:numPr>
          <w:ilvl w:val="0"/>
          <w:numId w:val="1001"/>
        </w:numPr>
      </w:pPr>
      <w:r>
        <w:t xml:space="preserve">Demais serviços previstos na proposta comercial.</w:t>
      </w:r>
    </w:p>
    <w:p>
      <w:pPr>
        <w:pStyle w:val="FirstParagraph"/>
      </w:pPr>
      <w:r>
        <w:t xml:space="preserve">A contratação de hospedagem não implica contratação automática de manutenção.</w:t>
      </w:r>
    </w:p>
    <w:p>
      <w:pPr>
        <w:pStyle w:val="BodyText"/>
      </w:pPr>
      <w:r>
        <w:t xml:space="preserve">A contratação de manutenção não implica contratação automática de hospedagem.</w:t>
      </w:r>
    </w:p>
    <w:p>
      <w:pPr>
        <w:pStyle w:val="BodyText"/>
      </w:pPr>
      <w:r>
        <w:t xml:space="preserve">Cada serviço possui escopo próprio e independente.</w:t>
      </w:r>
    </w:p>
    <w:p>
      <w:r>
        <w:pict>
          <v:rect style="width:0;height:1.5pt" o:hralign="center" o:hrstd="t" o:hr="t"/>
        </w:pict>
      </w:r>
    </w:p>
    <w:bookmarkEnd w:id="26"/>
    <w:bookmarkStart w:id="30" w:name="X897808b347ce9921acd8ecc436faa62d54f3477"/>
    <w:p>
      <w:pPr>
        <w:pStyle w:val="Heading1"/>
      </w:pPr>
      <w:r>
        <w:t xml:space="preserve">CLÁUSULA 3 – PRAZO DE VIGÊNCIA E PERMANÊNCIA MÍNIMA</w:t>
      </w:r>
    </w:p>
    <w:p>
      <w:pPr>
        <w:pStyle w:val="FirstParagraph"/>
      </w:pPr>
      <w:r>
        <w:t xml:space="preserve">O presente contrato terá vigência indeterminada, observados os períodos mínimos de permanência abaixo:</w:t>
      </w:r>
    </w:p>
    <w:bookmarkStart w:id="27" w:name="hospedagem"/>
    <w:p>
      <w:pPr>
        <w:pStyle w:val="Heading3"/>
      </w:pPr>
      <w:r>
        <w:t xml:space="preserve">Hospedagem</w:t>
      </w:r>
    </w:p>
    <w:p>
      <w:pPr>
        <w:pStyle w:val="FirstParagraph"/>
      </w:pPr>
      <w:r>
        <w:t xml:space="preserve">Permanência mínima de 12 (doze) meses.</w:t>
      </w:r>
    </w:p>
    <w:bookmarkEnd w:id="27"/>
    <w:bookmarkStart w:id="28" w:name="manutenção"/>
    <w:p>
      <w:pPr>
        <w:pStyle w:val="Heading3"/>
      </w:pPr>
      <w:r>
        <w:t xml:space="preserve">Manutenção</w:t>
      </w:r>
    </w:p>
    <w:p>
      <w:pPr>
        <w:pStyle w:val="FirstParagraph"/>
      </w:pPr>
      <w:r>
        <w:t xml:space="preserve">Permanência mínima de 6 (seis) meses.</w:t>
      </w:r>
    </w:p>
    <w:bookmarkEnd w:id="28"/>
    <w:bookmarkStart w:id="29" w:name="hospedagem-manutenção"/>
    <w:p>
      <w:pPr>
        <w:pStyle w:val="Heading3"/>
      </w:pPr>
      <w:r>
        <w:t xml:space="preserve">Hospedagem + Manutenção</w:t>
      </w:r>
    </w:p>
    <w:p>
      <w:pPr>
        <w:pStyle w:val="FirstParagraph"/>
      </w:pPr>
      <w:r>
        <w:t xml:space="preserve">Permanência mínima de 12 (doze) meses.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láusula-4-cancelamento-antecipado"/>
    <w:p>
      <w:pPr>
        <w:pStyle w:val="Heading1"/>
      </w:pPr>
      <w:r>
        <w:t xml:space="preserve">CLÁUSULA 4 – CANCELAMENTO ANTECIPADO</w:t>
      </w:r>
    </w:p>
    <w:p>
      <w:pPr>
        <w:pStyle w:val="FirstParagraph"/>
      </w:pPr>
      <w:r>
        <w:t xml:space="preserve">Caso o CONTRATANTE solicite o encerramento do contrato antes do término do período mínimo de permanência, será devida multa compensatória correspondente a 30% (trinta por cento) das mensalidades vincendas até o encerramento do prazo mínimo contratado.</w:t>
      </w:r>
    </w:p>
    <w:p>
      <w:pPr>
        <w:pStyle w:val="BodyText"/>
      </w:pPr>
      <w:r>
        <w:t xml:space="preserve">Tal multa possui natureza compensatória e visa recompor investimentos operacionais, técnicos e administrativos realizados pela CONTRATADA.</w:t>
      </w:r>
    </w:p>
    <w:p>
      <w:r>
        <w:pict>
          <v:rect style="width:0;height:1.5pt" o:hralign="center" o:hrstd="t" o:hr="t"/>
        </w:pict>
      </w:r>
    </w:p>
    <w:bookmarkEnd w:id="31"/>
    <w:bookmarkStart w:id="32" w:name="cláusula-5-aviso-prévio"/>
    <w:p>
      <w:pPr>
        <w:pStyle w:val="Heading1"/>
      </w:pPr>
      <w:r>
        <w:t xml:space="preserve">CLÁUSULA 5 – AVISO PRÉVIO</w:t>
      </w:r>
    </w:p>
    <w:p>
      <w:pPr>
        <w:pStyle w:val="FirstParagraph"/>
      </w:pPr>
      <w:r>
        <w:t xml:space="preserve">O cancelamento dos serviços deverá ser solicitado formalmente por escrito.</w:t>
      </w:r>
    </w:p>
    <w:p>
      <w:pPr>
        <w:pStyle w:val="BodyText"/>
      </w:pPr>
      <w:r>
        <w:t xml:space="preserve">O CONTRATANTE deverá comunicar sua intenção de cancelamento com antecedência mínima de 30 (trinta) dias da próxima cobrança.</w:t>
      </w:r>
    </w:p>
    <w:p>
      <w:pPr>
        <w:pStyle w:val="BodyText"/>
      </w:pPr>
      <w:r>
        <w:t xml:space="preserve">Solicitações realizadas em prazo inferior poderão gerar cobrança integral do ciclo vigente.</w:t>
      </w:r>
    </w:p>
    <w:p>
      <w:pPr>
        <w:pStyle w:val="BodyText"/>
      </w:pPr>
      <w:r>
        <w:t xml:space="preserve">O aviso prévio não exime o CONTRATANTE do cumprimento do prazo mínimo contratual, quando aplicável.</w:t>
      </w:r>
    </w:p>
    <w:p>
      <w:r>
        <w:pict>
          <v:rect style="width:0;height:1.5pt" o:hralign="center" o:hrstd="t" o:hr="t"/>
        </w:pict>
      </w:r>
    </w:p>
    <w:bookmarkEnd w:id="32"/>
    <w:bookmarkStart w:id="33" w:name="cláusula-6-valores-e-reajustes"/>
    <w:p>
      <w:pPr>
        <w:pStyle w:val="Heading1"/>
      </w:pPr>
      <w:r>
        <w:t xml:space="preserve">CLÁUSULA 6 – VALORES E REAJUSTES</w:t>
      </w:r>
    </w:p>
    <w:p>
      <w:pPr>
        <w:pStyle w:val="FirstParagraph"/>
      </w:pPr>
      <w:r>
        <w:t xml:space="preserve">Os valores serão definidos na proposta comercial vigente.</w:t>
      </w:r>
    </w:p>
    <w:p>
      <w:pPr>
        <w:pStyle w:val="BodyText"/>
      </w:pPr>
      <w:r>
        <w:t xml:space="preserve">A CONTRATADA poderá reajustar os valores anualmente mediante comunicação prévia ao CONTRATANTE.</w:t>
      </w:r>
    </w:p>
    <w:p>
      <w:pPr>
        <w:pStyle w:val="BodyText"/>
      </w:pPr>
      <w:r>
        <w:t xml:space="preserve">O reajuste poderá utilizar o IPCA ou outro índice oficial que venha a substituí-lo.</w:t>
      </w:r>
    </w:p>
    <w:p>
      <w:r>
        <w:pict>
          <v:rect style="width:0;height:1.5pt" o:hralign="center" o:hrstd="t" o:hr="t"/>
        </w:pict>
      </w:r>
    </w:p>
    <w:bookmarkEnd w:id="33"/>
    <w:bookmarkStart w:id="37" w:name="cláusula-7-inadimplência"/>
    <w:p>
      <w:pPr>
        <w:pStyle w:val="Heading1"/>
      </w:pPr>
      <w:r>
        <w:t xml:space="preserve">CLÁUSULA 7 – INADIMPLÊNCIA</w:t>
      </w:r>
    </w:p>
    <w:p>
      <w:pPr>
        <w:pStyle w:val="FirstParagraph"/>
      </w:pPr>
      <w:r>
        <w:t xml:space="preserve">O não pagamento até a data de vencimento poderá gerar:</w:t>
      </w:r>
    </w:p>
    <w:bookmarkStart w:id="34" w:name="após-15-dias"/>
    <w:p>
      <w:pPr>
        <w:pStyle w:val="Heading3"/>
      </w:pPr>
      <w:r>
        <w:t xml:space="preserve">Após 15 dias</w:t>
      </w:r>
    </w:p>
    <w:p>
      <w:pPr>
        <w:pStyle w:val="Compact"/>
        <w:numPr>
          <w:ilvl w:val="0"/>
          <w:numId w:val="1002"/>
        </w:numPr>
      </w:pPr>
      <w:r>
        <w:t xml:space="preserve">Notificação de inadimplência.</w:t>
      </w:r>
    </w:p>
    <w:bookmarkEnd w:id="34"/>
    <w:bookmarkStart w:id="35" w:name="após-30-dias"/>
    <w:p>
      <w:pPr>
        <w:pStyle w:val="Heading3"/>
      </w:pPr>
      <w:r>
        <w:t xml:space="preserve">Após 30 dias</w:t>
      </w:r>
    </w:p>
    <w:p>
      <w:pPr>
        <w:pStyle w:val="Compact"/>
        <w:numPr>
          <w:ilvl w:val="0"/>
          <w:numId w:val="1003"/>
        </w:numPr>
      </w:pPr>
      <w:r>
        <w:t xml:space="preserve">Suspensão parcial ou total dos serviços.</w:t>
      </w:r>
    </w:p>
    <w:p>
      <w:pPr>
        <w:pStyle w:val="FirstParagraph"/>
      </w:pPr>
      <w:r>
        <w:t xml:space="preserve">Quando houver hospedagem contratada junto à CONTRATADA, a suspensão poderá resultar na indisponibilidade temporária do website.</w:t>
      </w:r>
    </w:p>
    <w:bookmarkEnd w:id="35"/>
    <w:bookmarkStart w:id="36" w:name="após-60-dias"/>
    <w:p>
      <w:pPr>
        <w:pStyle w:val="Heading3"/>
      </w:pPr>
      <w:r>
        <w:t xml:space="preserve">Após 60 dias</w:t>
      </w:r>
    </w:p>
    <w:p>
      <w:pPr>
        <w:pStyle w:val="Compact"/>
        <w:numPr>
          <w:ilvl w:val="0"/>
          <w:numId w:val="1004"/>
        </w:numPr>
      </w:pPr>
      <w:r>
        <w:t xml:space="preserve">Rescisão contratual;</w:t>
      </w:r>
    </w:p>
    <w:p>
      <w:pPr>
        <w:pStyle w:val="Compact"/>
        <w:numPr>
          <w:ilvl w:val="0"/>
          <w:numId w:val="1004"/>
        </w:numPr>
      </w:pPr>
      <w:r>
        <w:t xml:space="preserve">Encerramento dos serviços;</w:t>
      </w:r>
    </w:p>
    <w:p>
      <w:pPr>
        <w:pStyle w:val="Compact"/>
        <w:numPr>
          <w:ilvl w:val="0"/>
          <w:numId w:val="1004"/>
        </w:numPr>
      </w:pPr>
      <w:r>
        <w:t xml:space="preserve">Exclusão de acessos;</w:t>
      </w:r>
    </w:p>
    <w:p>
      <w:pPr>
        <w:pStyle w:val="Compact"/>
        <w:numPr>
          <w:ilvl w:val="0"/>
          <w:numId w:val="1004"/>
        </w:numPr>
      </w:pPr>
      <w:r>
        <w:t xml:space="preserve">Aplicação das medidas cabíveis para recuperação de créditos.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láusula-8-ausência-de-reembolso"/>
    <w:p>
      <w:pPr>
        <w:pStyle w:val="Heading1"/>
      </w:pPr>
      <w:r>
        <w:t xml:space="preserve">CLÁUSULA 8 – AUSÊNCIA DE REEMBOLSO</w:t>
      </w:r>
    </w:p>
    <w:p>
      <w:pPr>
        <w:pStyle w:val="FirstParagraph"/>
      </w:pPr>
      <w:r>
        <w:t xml:space="preserve">Os valores pagos não serão reembolsáveis.</w:t>
      </w:r>
    </w:p>
    <w:p>
      <w:pPr>
        <w:pStyle w:val="BodyText"/>
      </w:pPr>
      <w:r>
        <w:t xml:space="preserve">A disponibilização de infraestrutura, recursos técnicos, suporte, armazenamento, mão de obra especializada e demais serviços contratados caracteriza a efetiva prestação dos serviços, independentemente da frequência de utilização pelo CONTRATANTE.</w:t>
      </w:r>
    </w:p>
    <w:p>
      <w:pPr>
        <w:pStyle w:val="BodyText"/>
      </w:pPr>
      <w:r>
        <w:t xml:space="preserve">A falta de utilização dos serviços não suspende obrigações financeiras nem gera direito à restituição de valores.</w:t>
      </w:r>
    </w:p>
    <w:p>
      <w:r>
        <w:pict>
          <v:rect style="width:0;height:1.5pt" o:hralign="center" o:hrstd="t" o:hr="t"/>
        </w:pict>
      </w:r>
    </w:p>
    <w:bookmarkEnd w:id="38"/>
    <w:bookmarkStart w:id="39" w:name="X4c2ade794e49f6378d492c315c2998bf5a5b588"/>
    <w:p>
      <w:pPr>
        <w:pStyle w:val="Heading1"/>
      </w:pPr>
      <w:r>
        <w:t xml:space="preserve">CLÁUSULA 9 – RESPONSABILIDADES DO CONTRATANTE</w:t>
      </w:r>
    </w:p>
    <w:p>
      <w:pPr>
        <w:pStyle w:val="FirstParagraph"/>
      </w:pPr>
      <w:r>
        <w:t xml:space="preserve">Compete exclusivamente ao CONTRATANTE:</w:t>
      </w:r>
    </w:p>
    <w:p>
      <w:pPr>
        <w:pStyle w:val="Compact"/>
        <w:numPr>
          <w:ilvl w:val="0"/>
          <w:numId w:val="1005"/>
        </w:numPr>
      </w:pPr>
      <w:r>
        <w:t xml:space="preserve">manter domínio ativo e regularizado;</w:t>
      </w:r>
    </w:p>
    <w:p>
      <w:pPr>
        <w:pStyle w:val="Compact"/>
        <w:numPr>
          <w:ilvl w:val="0"/>
          <w:numId w:val="1005"/>
        </w:numPr>
      </w:pPr>
      <w:r>
        <w:t xml:space="preserve">fornecer conteúdos legais e autorizados;</w:t>
      </w:r>
    </w:p>
    <w:p>
      <w:pPr>
        <w:pStyle w:val="Compact"/>
        <w:numPr>
          <w:ilvl w:val="0"/>
          <w:numId w:val="1005"/>
        </w:numPr>
      </w:pPr>
      <w:r>
        <w:t xml:space="preserve">preservar seus acessos e senhas;</w:t>
      </w:r>
    </w:p>
    <w:p>
      <w:pPr>
        <w:pStyle w:val="Compact"/>
        <w:numPr>
          <w:ilvl w:val="0"/>
          <w:numId w:val="1005"/>
        </w:numPr>
      </w:pPr>
      <w:r>
        <w:t xml:space="preserve">aprovar materiais enviados para validação;</w:t>
      </w:r>
    </w:p>
    <w:p>
      <w:pPr>
        <w:pStyle w:val="Compact"/>
        <w:numPr>
          <w:ilvl w:val="0"/>
          <w:numId w:val="1005"/>
        </w:numPr>
      </w:pPr>
      <w:r>
        <w:t xml:space="preserve">comunicar alterações relevantes do projeto;</w:t>
      </w:r>
    </w:p>
    <w:p>
      <w:pPr>
        <w:pStyle w:val="Compact"/>
        <w:numPr>
          <w:ilvl w:val="0"/>
          <w:numId w:val="1005"/>
        </w:numPr>
      </w:pPr>
      <w:r>
        <w:t xml:space="preserve">respeitar a legislação aplicável.</w:t>
      </w:r>
    </w:p>
    <w:p>
      <w:pPr>
        <w:pStyle w:val="FirstParagraph"/>
      </w:pPr>
      <w:r>
        <w:t xml:space="preserve">O CONTRATANTE responderá integralmente pelos conteúdos publicados em seus ambientes digitais.</w:t>
      </w:r>
    </w:p>
    <w:p>
      <w:r>
        <w:pict>
          <v:rect style="width:0;height:1.5pt" o:hralign="center" o:hrstd="t" o:hr="t"/>
        </w:pict>
      </w:r>
    </w:p>
    <w:bookmarkEnd w:id="39"/>
    <w:bookmarkStart w:id="40" w:name="Xdd56b121e947abf76e91444ac517c83e04b3084"/>
    <w:p>
      <w:pPr>
        <w:pStyle w:val="Heading1"/>
      </w:pPr>
      <w:r>
        <w:t xml:space="preserve">CLÁUSULA 10 – RESPONSABILIDADES DA CONTRATADA</w:t>
      </w:r>
    </w:p>
    <w:p>
      <w:pPr>
        <w:pStyle w:val="FirstParagraph"/>
      </w:pPr>
      <w:r>
        <w:t xml:space="preserve">Compete à CONTRATADA:</w:t>
      </w:r>
    </w:p>
    <w:p>
      <w:pPr>
        <w:pStyle w:val="Compact"/>
        <w:numPr>
          <w:ilvl w:val="0"/>
          <w:numId w:val="1006"/>
        </w:numPr>
      </w:pPr>
      <w:r>
        <w:t xml:space="preserve">disponibilizar os serviços contratados;</w:t>
      </w:r>
    </w:p>
    <w:p>
      <w:pPr>
        <w:pStyle w:val="Compact"/>
        <w:numPr>
          <w:ilvl w:val="0"/>
          <w:numId w:val="1006"/>
        </w:numPr>
      </w:pPr>
      <w:r>
        <w:t xml:space="preserve">empregar boas práticas técnicas;</w:t>
      </w:r>
    </w:p>
    <w:p>
      <w:pPr>
        <w:pStyle w:val="Compact"/>
        <w:numPr>
          <w:ilvl w:val="0"/>
          <w:numId w:val="1006"/>
        </w:numPr>
      </w:pPr>
      <w:r>
        <w:t xml:space="preserve">realizar os serviços previstos no plano contratado;</w:t>
      </w:r>
    </w:p>
    <w:p>
      <w:pPr>
        <w:pStyle w:val="Compact"/>
        <w:numPr>
          <w:ilvl w:val="0"/>
          <w:numId w:val="1006"/>
        </w:numPr>
      </w:pPr>
      <w:r>
        <w:t xml:space="preserve">prestar suporte dentro dos limites do escopo contratado.</w:t>
      </w:r>
    </w:p>
    <w:p>
      <w:pPr>
        <w:pStyle w:val="FirstParagraph"/>
      </w:pPr>
      <w:r>
        <w:t xml:space="preserve">A CONTRATADA não assume obrigação de resultado comercial, financeiro ou publicitário.</w:t>
      </w:r>
    </w:p>
    <w:p>
      <w:r>
        <w:pict>
          <v:rect style="width:0;height:1.5pt" o:hralign="center" o:hrstd="t" o:hr="t"/>
        </w:pict>
      </w:r>
    </w:p>
    <w:bookmarkEnd w:id="40"/>
    <w:bookmarkStart w:id="41" w:name="cláusula-11-horário-de-atendimento"/>
    <w:p>
      <w:pPr>
        <w:pStyle w:val="Heading1"/>
      </w:pPr>
      <w:r>
        <w:t xml:space="preserve">CLÁUSULA 11 – HORÁRIO DE ATENDIMENTO</w:t>
      </w:r>
    </w:p>
    <w:p>
      <w:pPr>
        <w:pStyle w:val="FirstParagraph"/>
      </w:pPr>
      <w:r>
        <w:t xml:space="preserve">Os serviços de suporte serão prestados em dias úteis e horário comercial.</w:t>
      </w:r>
    </w:p>
    <w:p>
      <w:pPr>
        <w:pStyle w:val="BodyText"/>
      </w:pPr>
      <w:r>
        <w:t xml:space="preserve">Demandas urgentes poderão ser atendidas mediante disponibilidade operacional e cobrança adicional.</w:t>
      </w:r>
    </w:p>
    <w:p>
      <w:r>
        <w:pict>
          <v:rect style="width:0;height:1.5pt" o:hralign="center" o:hrstd="t" o:hr="t"/>
        </w:pict>
      </w:r>
    </w:p>
    <w:bookmarkEnd w:id="41"/>
    <w:bookmarkStart w:id="42" w:name="cláusula-12-aprovação-tácita"/>
    <w:p>
      <w:pPr>
        <w:pStyle w:val="Heading1"/>
      </w:pPr>
      <w:r>
        <w:t xml:space="preserve">CLÁUSULA 12 – APROVAÇÃO TÁCITA</w:t>
      </w:r>
    </w:p>
    <w:p>
      <w:pPr>
        <w:pStyle w:val="FirstParagraph"/>
      </w:pPr>
      <w:r>
        <w:t xml:space="preserve">Materiais enviados ao CONTRATANTE para aprovação e que não recebam manifestação em até 7 (sete) dias corridos poderão ser considerados automaticamente aprovados para fins de continuidade dos trabalhos.</w:t>
      </w:r>
    </w:p>
    <w:p>
      <w:pPr>
        <w:pStyle w:val="BodyText"/>
      </w:pPr>
      <w:r>
        <w:t xml:space="preserve">A ausência de manifestação não poderá ser utilizada posteriormente para questionar etapas já concluídas.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2026-06-08T19:55:20Z</dcterms:created>
  <dcterms:modified xsi:type="dcterms:W3CDTF">2026-06-08T19:55:20Z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