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80"/>
      </w:pPr>
    </w:p>
    <w:p>
      <w:pPr>
        <w:spacing w:after="200"/>
      </w:pPr>
      <w:r>
        <w:rPr>
          <w:rFonts w:ascii="Microsoft YaHei" w:hAnsi="Microsoft YaHei" w:eastAsia="Microsoft YaHei"/>
          <w:b/>
          <w:color w:val="5B676C"/>
          <w:sz w:val="20"/>
        </w:rPr>
        <w:t>产品规则与实现基线</w:t>
      </w:r>
    </w:p>
    <w:p>
      <w:pPr>
        <w:pStyle w:val="Title"/>
        <w:spacing w:after="160" w:line="269" w:lineRule="auto"/>
      </w:pPr>
      <w:r>
        <w:rPr>
          <w:rFonts w:ascii="Microsoft YaHei" w:hAnsi="Microsoft YaHei" w:eastAsia="Microsoft YaHei"/>
          <w:b/>
          <w:color w:val="000000"/>
          <w:sz w:val="52"/>
        </w:rPr>
        <w:t>芯片外交 V1.3 修改设计方案</w:t>
      </w:r>
    </w:p>
    <w:p>
      <w:pPr>
        <w:pStyle w:val="Subtitle"/>
        <w:spacing w:after="680"/>
      </w:pPr>
      <w:r>
        <w:rPr>
          <w:rFonts w:ascii="Microsoft YaHei" w:hAnsi="Microsoft YaHei" w:eastAsia="Microsoft YaHei"/>
          <w:b w:val="0"/>
          <w:color w:val="22292D"/>
          <w:sz w:val="25"/>
        </w:rPr>
        <w:t>删除 ASML S3 并接入灰色交付机制</w:t>
      </w:r>
    </w:p>
    <w:tbl>
      <w:tblPr>
        <w:tblW w:type="dxa" w:w="10224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800"/>
        <w:gridCol w:w="8424"/>
      </w:tblGrid>
      <w:tr>
        <w:trPr>
          <w:tblHeader w:val="true"/>
          <w:cantSplit w:val="true"/>
        </w:trPr>
        <w:tc>
          <w:tcPr>
            <w:tcW w:type="dxa" w:w="1800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24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8"/>
              </w:rPr>
              <w:t>方案日期</w:t>
            </w:r>
          </w:p>
        </w:tc>
        <w:tc>
          <w:tcPr>
            <w:tcW w:type="dxa" w:w="84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8"/>
              </w:rPr>
              <w:t>2026-10-30</w:t>
            </w:r>
          </w:p>
        </w:tc>
      </w:tr>
      <w:tr>
        <w:trPr>
          <w:cantSplit w:val="true"/>
        </w:trPr>
        <w:tc>
          <w:tcPr>
            <w:tcW w:type="dxa" w:w="1800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8"/>
              </w:rPr>
              <w:t>对照版本</w:t>
            </w:r>
          </w:p>
        </w:tc>
        <w:tc>
          <w:tcPr>
            <w:tcW w:type="dxa" w:w="842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8"/>
              </w:rPr>
              <w:t>线上 V1.0 与规则稿 V1.2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8"/>
              </w:rPr>
              <w:t>目标版本</w:t>
            </w:r>
          </w:p>
        </w:tc>
        <w:tc>
          <w:tcPr>
            <w:tcW w:type="dxa" w:w="84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8"/>
              </w:rPr>
              <w:t>V1.3</w:t>
            </w:r>
          </w:p>
        </w:tc>
      </w:tr>
      <w:tr>
        <w:trPr>
          <w:cantSplit w:val="true"/>
        </w:trPr>
        <w:tc>
          <w:tcPr>
            <w:tcW w:type="dxa" w:w="1800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8"/>
              </w:rPr>
              <w:t>文档用途</w:t>
            </w:r>
          </w:p>
        </w:tc>
        <w:tc>
          <w:tcPr>
            <w:tcW w:type="dxa" w:w="842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8"/>
              </w:rPr>
              <w:t>产品规则、前端、规则引擎、AI 提示词与测试的共同基线</w:t>
            </w:r>
          </w:p>
        </w:tc>
      </w:tr>
    </w:tbl>
    <w:p>
      <w:pPr>
        <w:spacing w:after="0" w:line="240" w:lineRule="auto" w:before="0"/>
      </w:pPr>
      <w:r>
        <w:rPr>
          <w:rFonts w:ascii="Microsoft YaHei" w:hAnsi="Microsoft YaHei" w:eastAsia="Microsoft YaHei"/>
          <w:sz w:val="8"/>
        </w:rPr>
      </w:r>
    </w:p>
    <w:p>
      <w:pPr>
        <w:pStyle w:val="Heading2"/>
        <w:keepNext/>
        <w:spacing w:before="220" w:after="80"/>
      </w:pPr>
      <w:r>
        <w:rPr>
          <w:rFonts w:ascii="Microsoft YaHei" w:hAnsi="Microsoft YaHei" w:eastAsia="Microsoft YaHei"/>
          <w:b/>
          <w:color w:val="000000"/>
          <w:sz w:val="23"/>
        </w:rPr>
        <w:t>核心结论</w:t>
      </w:r>
    </w:p>
    <w:p>
      <w:pPr>
        <w:widowControl/>
        <w:spacing w:after="120" w:line="307" w:lineRule="auto"/>
      </w:pPr>
      <w:r>
        <w:rPr>
          <w:rFonts w:ascii="Microsoft YaHei" w:hAnsi="Microsoft YaHei" w:eastAsia="Microsoft YaHei"/>
          <w:b w:val="0"/>
          <w:color w:val="22292D"/>
          <w:sz w:val="21"/>
        </w:rPr>
        <w:t>按现有动作编码，待删除项是 ASML 的 S3“维护现有合规客户”，荷兰政府动作 N1、N2、N3 保持不变。线上 V1.0 的 ASML 只有 S1、S2、S3，而规则稿 V1.2 已设计 S4 灰色渠道；只删 S3 会让 ASML 只剩两项行动，压缩谈判与反制空间，因此建议把“停用 S3”和“启用 S4”放在同一次版本发布中。</w:t>
      </w:r>
    </w:p>
    <w:p>
      <w:pPr>
        <w:widowControl/>
        <w:spacing w:after="120" w:line="307" w:lineRule="auto"/>
      </w:pPr>
      <w:r>
        <w:rPr>
          <w:rFonts w:ascii="Microsoft YaHei" w:hAnsi="Microsoft YaHei" w:eastAsia="Microsoft YaHei"/>
          <w:b w:val="0"/>
          <w:color w:val="22292D"/>
          <w:sz w:val="21"/>
        </w:rPr>
        <w:t>V1.3 继续采用固定四回合、秘密行动、信用和协议履约机制。变更重点不是增加一个高风险按钮，而是让 ASML 在合规订单、市场转移和灰色交付之间形成可识别、可承担的取舍。</w:t>
      </w:r>
    </w:p>
    <w:p>
      <w:pPr>
        <w:pStyle w:val="ListBullet"/>
        <w:spacing w:after="50" w:line="283" w:lineRule="auto"/>
        <w:ind w:left="346" w:hanging="259"/>
      </w:pPr>
      <w:r>
        <w:rPr>
          <w:rFonts w:ascii="Microsoft YaHei" w:hAnsi="Microsoft YaHei" w:eastAsia="Microsoft YaHei"/>
          <w:b w:val="0"/>
          <w:color w:val="22292D"/>
          <w:sz w:val="20"/>
        </w:rPr>
        <w:t>ASML 合法动作调整为 S1、S2、S4 三项，另可选择 PASS。</w:t>
      </w:r>
    </w:p>
    <w:p>
      <w:pPr>
        <w:pStyle w:val="ListBullet"/>
        <w:spacing w:after="50" w:line="283" w:lineRule="auto"/>
        <w:ind w:left="346" w:hanging="259"/>
      </w:pPr>
      <w:r>
        <w:rPr>
          <w:rFonts w:ascii="Microsoft YaHei" w:hAnsi="Microsoft YaHei" w:eastAsia="Microsoft YaHei"/>
          <w:b w:val="0"/>
          <w:color w:val="22292D"/>
          <w:sz w:val="20"/>
        </w:rPr>
        <w:t>美国政府增加 U4 跨境合规执法，灰色交付按概率查获，未查获时不公开具体动作。</w:t>
      </w:r>
    </w:p>
    <w:p>
      <w:pPr>
        <w:pStyle w:val="ListBullet"/>
        <w:spacing w:after="50" w:line="283" w:lineRule="auto"/>
        <w:ind w:left="346" w:hanging="259"/>
      </w:pPr>
      <w:r>
        <w:rPr>
          <w:rFonts w:ascii="Microsoft YaHei" w:hAnsi="Microsoft YaHei" w:eastAsia="Microsoft YaHei"/>
          <w:b w:val="0"/>
          <w:color w:val="22292D"/>
          <w:sz w:val="20"/>
        </w:rPr>
        <w:t>保留线上 A、B、H、R 四个指标字段，规则稿的 T、A、E、S 只用于解释语义，避免同字母异义。</w:t>
      </w:r>
    </w:p>
    <w:p>
      <w:pPr>
        <w:pStyle w:val="ListBullet"/>
        <w:spacing w:after="50" w:line="283" w:lineRule="auto"/>
        <w:ind w:left="346" w:hanging="259"/>
      </w:pPr>
      <w:r>
        <w:rPr>
          <w:rFonts w:ascii="Microsoft YaHei" w:hAnsi="Microsoft YaHei" w:eastAsia="Microsoft YaHei"/>
          <w:b w:val="0"/>
          <w:color w:val="22292D"/>
          <w:sz w:val="20"/>
        </w:rPr>
        <w:t>所有动作效果统一为整数；先合计增量，再一次性截断到 0 至 5。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000000"/>
          <w:sz w:val="31"/>
        </w:rPr>
        <w:t>一 版本基线与总体决策</w:t>
      </w:r>
    </w:p>
    <w:p>
      <w:pPr>
        <w:widowControl/>
        <w:spacing w:after="120" w:line="307" w:lineRule="auto"/>
      </w:pPr>
      <w:r>
        <w:rPr>
          <w:rFonts w:ascii="Microsoft YaHei" w:hAnsi="Microsoft YaHei" w:eastAsia="Microsoft YaHei"/>
          <w:b w:val="0"/>
          <w:color w:val="22292D"/>
          <w:sz w:val="21"/>
        </w:rPr>
        <w:t>线上 V1.0 已具备四人角色、固定四回合、私人目标、正式协议、信用和履约记录。规则稿 V1.2 增加了灰色交付、美国跨境执法和两级胜利，但动作表与线上版本并不一致。V1.3 的目标是先完成动作集和灰色渠道的统一，再讨论更复杂的长期模型。</w:t>
      </w:r>
    </w:p>
    <w:tbl>
      <w:tblPr>
        <w:tblW w:type="dxa" w:w="9648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440"/>
        <w:gridCol w:w="2376"/>
        <w:gridCol w:w="2664"/>
        <w:gridCol w:w="3168"/>
      </w:tblGrid>
      <w:tr>
        <w:trPr>
          <w:tblHeader w:val="true"/>
          <w:cantSplit w:val="true"/>
        </w:trPr>
        <w:tc>
          <w:tcPr>
            <w:tcW w:type="dxa" w:w="1440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2376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线上 V1.0</w:t>
            </w:r>
          </w:p>
        </w:tc>
        <w:tc>
          <w:tcPr>
            <w:tcW w:type="dxa" w:w="2664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规则稿 V1.2</w:t>
            </w:r>
          </w:p>
        </w:tc>
        <w:tc>
          <w:tcPr>
            <w:tcW w:type="dxa" w:w="3168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V1.3 建议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回合结构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固定 4 回合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固定 4 回合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保持固定 4 回合</w:t>
            </w:r>
          </w:p>
        </w:tc>
      </w:tr>
      <w:tr>
        <w:trPr>
          <w:cantSplit w:val="true"/>
        </w:trPr>
        <w:tc>
          <w:tcPr>
            <w:tcW w:type="dxa" w:w="1440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ASML 动作</w:t>
            </w:r>
          </w:p>
        </w:tc>
        <w:tc>
          <w:tcPr>
            <w:tcW w:type="dxa" w:w="2376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S1、S2、S3</w:t>
            </w:r>
          </w:p>
        </w:tc>
        <w:tc>
          <w:tcPr>
            <w:tcW w:type="dxa" w:w="266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S1、S2、S3、S4</w:t>
            </w:r>
          </w:p>
        </w:tc>
        <w:tc>
          <w:tcPr>
            <w:tcW w:type="dxa" w:w="3168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S1、S2、S4；删除 S3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美国动作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U1、U2、U3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U1、U2、U3、U4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增加 U4</w:t>
            </w:r>
          </w:p>
        </w:tc>
      </w:tr>
      <w:tr>
        <w:trPr>
          <w:cantSplit w:val="true"/>
        </w:trPr>
        <w:tc>
          <w:tcPr>
            <w:tcW w:type="dxa" w:w="1440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灰色交付</w:t>
            </w:r>
          </w:p>
        </w:tc>
        <w:tc>
          <w:tcPr>
            <w:tcW w:type="dxa" w:w="2376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未实现</w:t>
            </w:r>
          </w:p>
        </w:tc>
        <w:tc>
          <w:tcPr>
            <w:tcW w:type="dxa" w:w="266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有查获概率和处罚</w:t>
            </w:r>
          </w:p>
        </w:tc>
        <w:tc>
          <w:tcPr>
            <w:tcW w:type="dxa" w:w="3168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按 V1.2 机制实现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指标表达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A/B/H/R 整数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T/A/E/S 含小数效果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保留 A/B/H/R，效果改为整数</w:t>
            </w:r>
          </w:p>
        </w:tc>
      </w:tr>
      <w:tr>
        <w:trPr>
          <w:cantSplit w:val="true"/>
        </w:trPr>
        <w:tc>
          <w:tcPr>
            <w:tcW w:type="dxa" w:w="1440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胜负表达</w:t>
            </w:r>
          </w:p>
        </w:tc>
        <w:tc>
          <w:tcPr>
            <w:tcW w:type="dxa" w:w="2376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正式胜利</w:t>
            </w:r>
          </w:p>
        </w:tc>
        <w:tc>
          <w:tcPr>
            <w:tcW w:type="dxa" w:w="266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实质胜利与外交胜利</w:t>
            </w:r>
          </w:p>
        </w:tc>
        <w:tc>
          <w:tcPr>
            <w:tcW w:type="dxa" w:w="3168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先实现两级结果标签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公开行动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结算后公开实际行动</w:t>
            </w:r>
          </w:p>
        </w:tc>
        <w:tc>
          <w:tcPr>
            <w:tcW w:type="dxa" w:w="26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未查获 S4 不公开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改为只公开可观察行动</w:t>
            </w:r>
          </w:p>
        </w:tc>
      </w:tr>
    </w:tbl>
    <w:p>
      <w:pPr>
        <w:spacing w:after="0" w:line="240" w:lineRule="auto" w:before="0"/>
      </w:pPr>
      <w:r>
        <w:rPr>
          <w:rFonts w:ascii="Microsoft YaHei" w:hAnsi="Microsoft YaHei" w:eastAsia="Microsoft YaHei"/>
          <w:sz w:val="8"/>
        </w:rPr>
      </w:r>
    </w:p>
    <w:p>
      <w:pPr>
        <w:pStyle w:val="Heading2"/>
        <w:keepNext/>
        <w:spacing w:before="220" w:after="80"/>
      </w:pPr>
      <w:r>
        <w:rPr>
          <w:rFonts w:ascii="Microsoft YaHei" w:hAnsi="Microsoft YaHei" w:eastAsia="Microsoft YaHei"/>
          <w:b/>
          <w:color w:val="000000"/>
          <w:sz w:val="23"/>
        </w:rPr>
        <w:t>本次发布的三项硬约束</w:t>
      </w:r>
    </w:p>
    <w:p>
      <w:pPr>
        <w:pStyle w:val="ListNumber"/>
        <w:spacing w:after="60" w:line="300" w:lineRule="auto"/>
        <w:ind w:left="374" w:hanging="288"/>
      </w:pPr>
      <w:r>
        <w:rPr>
          <w:rFonts w:ascii="Microsoft YaHei" w:hAnsi="Microsoft YaHei" w:eastAsia="Microsoft YaHei"/>
          <w:b w:val="0"/>
          <w:color w:val="22292D"/>
          <w:sz w:val="20"/>
        </w:rPr>
        <w:t>S3 必须从规则引擎的合法动作白名单中删除，不能只隐藏页面按钮。</w:t>
      </w:r>
    </w:p>
    <w:p>
      <w:pPr>
        <w:pStyle w:val="ListNumber"/>
        <w:spacing w:after="60" w:line="300" w:lineRule="auto"/>
        <w:ind w:left="374" w:hanging="288"/>
      </w:pPr>
      <w:r>
        <w:rPr>
          <w:rFonts w:ascii="Microsoft YaHei" w:hAnsi="Microsoft YaHei" w:eastAsia="Microsoft YaHei"/>
          <w:b w:val="0"/>
          <w:color w:val="22292D"/>
          <w:sz w:val="20"/>
        </w:rPr>
        <w:t>S4 与 U4 必须在同一版本启用，否则 ASML 的行动池会过窄。</w:t>
      </w:r>
    </w:p>
    <w:p>
      <w:pPr>
        <w:pStyle w:val="ListNumber"/>
        <w:spacing w:after="60" w:line="300" w:lineRule="auto"/>
        <w:ind w:left="374" w:hanging="288"/>
      </w:pPr>
      <w:r>
        <w:rPr>
          <w:rFonts w:ascii="Microsoft YaHei" w:hAnsi="Microsoft YaHei" w:eastAsia="Microsoft YaHei"/>
          <w:b w:val="0"/>
          <w:color w:val="22292D"/>
          <w:sz w:val="20"/>
        </w:rPr>
        <w:t>进行中的 V1.0 对局保持原版本只读；新对局使用 V1.3 动作集，不做 S3 到 S4 的静默映射。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000000"/>
          <w:sz w:val="31"/>
        </w:rPr>
        <w:t>二 动作表修改</w:t>
      </w:r>
    </w:p>
    <w:p>
      <w:pPr>
        <w:widowControl/>
        <w:spacing w:after="120" w:line="307" w:lineRule="auto"/>
      </w:pPr>
      <w:r>
        <w:rPr>
          <w:rFonts w:ascii="Microsoft YaHei" w:hAnsi="Microsoft YaHei" w:eastAsia="Microsoft YaHei"/>
          <w:b w:val="0"/>
          <w:color w:val="22292D"/>
          <w:sz w:val="21"/>
        </w:rPr>
        <w:t>下表是 V1.3 建议动作集。效果继续使用线上 A、B、H、R 字段：A 为技术合作机会，B 为商业活力，H 为美荷协调，R 为中国自主技术。规则稿中的“技术管制强度”与 A 的变化方向相反，不能直接同名迁移。</w:t>
      </w:r>
    </w:p>
    <w:tbl>
      <w:tblPr>
        <w:tblW w:type="dxa" w:w="10238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835"/>
        <w:gridCol w:w="806"/>
        <w:gridCol w:w="2044"/>
        <w:gridCol w:w="2232"/>
        <w:gridCol w:w="3484"/>
        <w:gridCol w:w="835"/>
      </w:tblGrid>
      <w:tr>
        <w:trPr>
          <w:tblHeader w:val="true"/>
          <w:cantSplit w:val="true"/>
        </w:trPr>
        <w:tc>
          <w:tcPr>
            <w:tcW w:type="dxa" w:w="835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806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045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行动</w:t>
            </w:r>
          </w:p>
        </w:tc>
        <w:tc>
          <w:tcPr>
            <w:tcW w:type="dxa" w:w="2232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合法条件</w:t>
            </w:r>
          </w:p>
        </w:tc>
        <w:tc>
          <w:tcPr>
            <w:tcW w:type="dxa" w:w="3485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建议效果</w:t>
            </w:r>
          </w:p>
        </w:tc>
        <w:tc>
          <w:tcPr>
            <w:tcW w:type="dxa" w:w="835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美国</w:t>
            </w:r>
          </w:p>
        </w:tc>
        <w:tc>
          <w:tcPr>
            <w:tcW w:type="dxa" w:w="8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U1</w:t>
            </w:r>
          </w:p>
        </w:tc>
        <w:tc>
          <w:tcPr>
            <w:tcW w:type="dxa" w:w="20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收紧技术管制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无</w:t>
            </w:r>
          </w:p>
        </w:tc>
        <w:tc>
          <w:tcPr>
            <w:tcW w:type="dxa" w:w="3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A-1，B-1</w:t>
            </w:r>
          </w:p>
        </w:tc>
        <w:tc>
          <w:tcPr>
            <w:tcW w:type="dxa" w:w="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保留</w:t>
            </w:r>
          </w:p>
        </w:tc>
      </w:tr>
      <w:tr>
        <w:trPr>
          <w:cantSplit w:val="true"/>
        </w:trPr>
        <w:tc>
          <w:tcPr>
            <w:tcW w:type="dxa" w:w="835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美国</w:t>
            </w:r>
          </w:p>
        </w:tc>
        <w:tc>
          <w:tcPr>
            <w:tcW w:type="dxa" w:w="806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U2</w:t>
            </w:r>
          </w:p>
        </w:tc>
        <w:tc>
          <w:tcPr>
            <w:tcW w:type="dxa" w:w="204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有限放宽管制</w:t>
            </w:r>
          </w:p>
        </w:tc>
        <w:tc>
          <w:tcPr>
            <w:tcW w:type="dxa" w:w="2232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无</w:t>
            </w:r>
          </w:p>
        </w:tc>
        <w:tc>
          <w:tcPr>
            <w:tcW w:type="dxa" w:w="348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A+1，B+1</w:t>
            </w:r>
          </w:p>
        </w:tc>
        <w:tc>
          <w:tcPr>
            <w:tcW w:type="dxa" w:w="835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保留</w:t>
            </w:r>
          </w:p>
        </w:tc>
      </w:tr>
      <w:tr>
        <w:trPr>
          <w:cantSplit w:val="true"/>
        </w:trPr>
        <w:tc>
          <w:tcPr>
            <w:tcW w:type="dxa" w:w="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美国</w:t>
            </w:r>
          </w:p>
        </w:tc>
        <w:tc>
          <w:tcPr>
            <w:tcW w:type="dxa" w:w="8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U3</w:t>
            </w:r>
          </w:p>
        </w:tc>
        <w:tc>
          <w:tcPr>
            <w:tcW w:type="dxa" w:w="20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与荷兰开展产业合作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无</w:t>
            </w:r>
          </w:p>
        </w:tc>
        <w:tc>
          <w:tcPr>
            <w:tcW w:type="dxa" w:w="3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B+1，H+1</w:t>
            </w:r>
          </w:p>
        </w:tc>
        <w:tc>
          <w:tcPr>
            <w:tcW w:type="dxa" w:w="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保留</w:t>
            </w:r>
          </w:p>
        </w:tc>
      </w:tr>
      <w:tr>
        <w:trPr>
          <w:cantSplit w:val="true"/>
        </w:trPr>
        <w:tc>
          <w:tcPr>
            <w:tcW w:type="dxa" w:w="835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美国</w:t>
            </w:r>
          </w:p>
        </w:tc>
        <w:tc>
          <w:tcPr>
            <w:tcW w:type="dxa" w:w="806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U4</w:t>
            </w:r>
          </w:p>
        </w:tc>
        <w:tc>
          <w:tcPr>
            <w:tcW w:type="dxa" w:w="204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加强跨境合规执法</w:t>
            </w:r>
          </w:p>
        </w:tc>
        <w:tc>
          <w:tcPr>
            <w:tcW w:type="dxa" w:w="2232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无</w:t>
            </w:r>
          </w:p>
        </w:tc>
        <w:tc>
          <w:tcPr>
            <w:tcW w:type="dxa" w:w="348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B-1；本轮 S4 查获率+30%；查获后 H+1</w:t>
            </w:r>
          </w:p>
        </w:tc>
        <w:tc>
          <w:tcPr>
            <w:tcW w:type="dxa" w:w="835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新增</w:t>
            </w:r>
          </w:p>
        </w:tc>
      </w:tr>
      <w:tr>
        <w:trPr>
          <w:cantSplit w:val="true"/>
        </w:trPr>
        <w:tc>
          <w:tcPr>
            <w:tcW w:type="dxa" w:w="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中国</w:t>
            </w:r>
          </w:p>
        </w:tc>
        <w:tc>
          <w:tcPr>
            <w:tcW w:type="dxa" w:w="8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C1</w:t>
            </w:r>
          </w:p>
        </w:tc>
        <w:tc>
          <w:tcPr>
            <w:tcW w:type="dxa" w:w="20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投资自主研发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最多 2 次；第 4 回合不可选</w:t>
            </w:r>
          </w:p>
        </w:tc>
        <w:tc>
          <w:tcPr>
            <w:tcW w:type="dxa" w:w="3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下回合开始 R+1；本回合 B-1</w:t>
            </w:r>
          </w:p>
        </w:tc>
        <w:tc>
          <w:tcPr>
            <w:tcW w:type="dxa" w:w="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调整</w:t>
            </w:r>
          </w:p>
        </w:tc>
      </w:tr>
      <w:tr>
        <w:trPr>
          <w:cantSplit w:val="true"/>
        </w:trPr>
        <w:tc>
          <w:tcPr>
            <w:tcW w:type="dxa" w:w="835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中国</w:t>
            </w:r>
          </w:p>
        </w:tc>
        <w:tc>
          <w:tcPr>
            <w:tcW w:type="dxa" w:w="806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C2</w:t>
            </w:r>
          </w:p>
        </w:tc>
        <w:tc>
          <w:tcPr>
            <w:tcW w:type="dxa" w:w="204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限制关键材料出口</w:t>
            </w:r>
          </w:p>
        </w:tc>
        <w:tc>
          <w:tcPr>
            <w:tcW w:type="dxa" w:w="2232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无</w:t>
            </w:r>
          </w:p>
        </w:tc>
        <w:tc>
          <w:tcPr>
            <w:tcW w:type="dxa" w:w="348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B-2</w:t>
            </w:r>
          </w:p>
        </w:tc>
        <w:tc>
          <w:tcPr>
            <w:tcW w:type="dxa" w:w="835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保留</w:t>
            </w:r>
          </w:p>
        </w:tc>
      </w:tr>
      <w:tr>
        <w:trPr>
          <w:cantSplit w:val="true"/>
        </w:trPr>
        <w:tc>
          <w:tcPr>
            <w:tcW w:type="dxa" w:w="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中国</w:t>
            </w:r>
          </w:p>
        </w:tc>
        <w:tc>
          <w:tcPr>
            <w:tcW w:type="dxa" w:w="8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C3</w:t>
            </w:r>
          </w:p>
        </w:tc>
        <w:tc>
          <w:tcPr>
            <w:tcW w:type="dxa" w:w="20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提供市场合作便利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无</w:t>
            </w:r>
          </w:p>
        </w:tc>
        <w:tc>
          <w:tcPr>
            <w:tcW w:type="dxa" w:w="3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B+1</w:t>
            </w:r>
          </w:p>
        </w:tc>
        <w:tc>
          <w:tcPr>
            <w:tcW w:type="dxa" w:w="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保留</w:t>
            </w:r>
          </w:p>
        </w:tc>
      </w:tr>
      <w:tr>
        <w:trPr>
          <w:cantSplit w:val="true"/>
        </w:trPr>
        <w:tc>
          <w:tcPr>
            <w:tcW w:type="dxa" w:w="835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荷兰</w:t>
            </w:r>
          </w:p>
        </w:tc>
        <w:tc>
          <w:tcPr>
            <w:tcW w:type="dxa" w:w="806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N1</w:t>
            </w:r>
          </w:p>
        </w:tc>
        <w:tc>
          <w:tcPr>
            <w:tcW w:type="dxa" w:w="204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收紧设备许可</w:t>
            </w:r>
          </w:p>
        </w:tc>
        <w:tc>
          <w:tcPr>
            <w:tcW w:type="dxa" w:w="2232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无</w:t>
            </w:r>
          </w:p>
        </w:tc>
        <w:tc>
          <w:tcPr>
            <w:tcW w:type="dxa" w:w="348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A-1，B-1，H+1</w:t>
            </w:r>
          </w:p>
        </w:tc>
        <w:tc>
          <w:tcPr>
            <w:tcW w:type="dxa" w:w="835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保留</w:t>
            </w:r>
          </w:p>
        </w:tc>
      </w:tr>
      <w:tr>
        <w:trPr>
          <w:cantSplit w:val="true"/>
        </w:trPr>
        <w:tc>
          <w:tcPr>
            <w:tcW w:type="dxa" w:w="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荷兰</w:t>
            </w:r>
          </w:p>
        </w:tc>
        <w:tc>
          <w:tcPr>
            <w:tcW w:type="dxa" w:w="8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N2</w:t>
            </w:r>
          </w:p>
        </w:tc>
        <w:tc>
          <w:tcPr>
            <w:tcW w:type="dxa" w:w="20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批准有限许可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回合开始时 H≤3</w:t>
            </w:r>
          </w:p>
        </w:tc>
        <w:tc>
          <w:tcPr>
            <w:tcW w:type="dxa" w:w="3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H-1；若 ASML 同轮选 S1，再触发 A+1、B+2</w:t>
            </w:r>
          </w:p>
        </w:tc>
        <w:tc>
          <w:tcPr>
            <w:tcW w:type="dxa" w:w="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保留</w:t>
            </w:r>
          </w:p>
        </w:tc>
      </w:tr>
      <w:tr>
        <w:trPr>
          <w:cantSplit w:val="true"/>
        </w:trPr>
        <w:tc>
          <w:tcPr>
            <w:tcW w:type="dxa" w:w="835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荷兰</w:t>
            </w:r>
          </w:p>
        </w:tc>
        <w:tc>
          <w:tcPr>
            <w:tcW w:type="dxa" w:w="806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N3</w:t>
            </w:r>
          </w:p>
        </w:tc>
        <w:tc>
          <w:tcPr>
            <w:tcW w:type="dxa" w:w="204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提议美荷联合项目</w:t>
            </w:r>
          </w:p>
        </w:tc>
        <w:tc>
          <w:tcPr>
            <w:tcW w:type="dxa" w:w="2232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无</w:t>
            </w:r>
          </w:p>
        </w:tc>
        <w:tc>
          <w:tcPr>
            <w:tcW w:type="dxa" w:w="348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无基础效果；若美国同轮选 U3，再触发 B+1、H+1</w:t>
            </w:r>
          </w:p>
        </w:tc>
        <w:tc>
          <w:tcPr>
            <w:tcW w:type="dxa" w:w="835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保留</w:t>
            </w:r>
          </w:p>
        </w:tc>
      </w:tr>
      <w:tr>
        <w:trPr>
          <w:cantSplit w:val="true"/>
        </w:trPr>
        <w:tc>
          <w:tcPr>
            <w:tcW w:type="dxa" w:w="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ASML</w:t>
            </w:r>
          </w:p>
        </w:tc>
        <w:tc>
          <w:tcPr>
            <w:tcW w:type="dxa" w:w="8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S1</w:t>
            </w:r>
          </w:p>
        </w:tc>
        <w:tc>
          <w:tcPr>
            <w:tcW w:type="dxa" w:w="20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执行对华合规订单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无</w:t>
            </w:r>
          </w:p>
        </w:tc>
        <w:tc>
          <w:tcPr>
            <w:tcW w:type="dxa" w:w="3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荷兰同轮选 N2：A+1、B+2；否则 B-1</w:t>
            </w:r>
          </w:p>
        </w:tc>
        <w:tc>
          <w:tcPr>
            <w:tcW w:type="dxa" w:w="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保留</w:t>
            </w:r>
          </w:p>
        </w:tc>
      </w:tr>
      <w:tr>
        <w:trPr>
          <w:cantSplit w:val="true"/>
        </w:trPr>
        <w:tc>
          <w:tcPr>
            <w:tcW w:type="dxa" w:w="835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ASML</w:t>
            </w:r>
          </w:p>
        </w:tc>
        <w:tc>
          <w:tcPr>
            <w:tcW w:type="dxa" w:w="806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S2</w:t>
            </w:r>
          </w:p>
        </w:tc>
        <w:tc>
          <w:tcPr>
            <w:tcW w:type="dxa" w:w="204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拓展其他市场</w:t>
            </w:r>
          </w:p>
        </w:tc>
        <w:tc>
          <w:tcPr>
            <w:tcW w:type="dxa" w:w="2232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无</w:t>
            </w:r>
          </w:p>
        </w:tc>
        <w:tc>
          <w:tcPr>
            <w:tcW w:type="dxa" w:w="348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B+1，A-1</w:t>
            </w:r>
          </w:p>
        </w:tc>
        <w:tc>
          <w:tcPr>
            <w:tcW w:type="dxa" w:w="835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保留</w:t>
            </w:r>
          </w:p>
        </w:tc>
      </w:tr>
      <w:tr>
        <w:trPr>
          <w:cantSplit w:val="true"/>
        </w:trPr>
        <w:tc>
          <w:tcPr>
            <w:tcW w:type="dxa" w:w="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ASML</w:t>
            </w:r>
          </w:p>
        </w:tc>
        <w:tc>
          <w:tcPr>
            <w:tcW w:type="dxa" w:w="8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S3</w:t>
            </w:r>
          </w:p>
        </w:tc>
        <w:tc>
          <w:tcPr>
            <w:tcW w:type="dxa" w:w="20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维护现有合规客户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无</w:t>
            </w:r>
          </w:p>
        </w:tc>
        <w:tc>
          <w:tcPr>
            <w:tcW w:type="dxa" w:w="3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原效果停用</w:t>
            </w:r>
          </w:p>
        </w:tc>
        <w:tc>
          <w:tcPr>
            <w:tcW w:type="dxa" w:w="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删除</w:t>
            </w:r>
          </w:p>
        </w:tc>
      </w:tr>
      <w:tr>
        <w:trPr>
          <w:cantSplit w:val="true"/>
        </w:trPr>
        <w:tc>
          <w:tcPr>
            <w:tcW w:type="dxa" w:w="835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ASML</w:t>
            </w:r>
          </w:p>
        </w:tc>
        <w:tc>
          <w:tcPr>
            <w:tcW w:type="dxa" w:w="806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S4</w:t>
            </w:r>
          </w:p>
        </w:tc>
        <w:tc>
          <w:tcPr>
            <w:tcW w:type="dxa" w:w="204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灰色渠道交付</w:t>
            </w:r>
          </w:p>
        </w:tc>
        <w:tc>
          <w:tcPr>
            <w:tcW w:type="dxa" w:w="2232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无需 N2 前置许可</w:t>
            </w:r>
          </w:p>
        </w:tc>
        <w:tc>
          <w:tcPr>
            <w:tcW w:type="dxa" w:w="348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未查获 A+1、B+3；查获 B-2、credit-1、下回合 A-1</w:t>
            </w:r>
          </w:p>
        </w:tc>
        <w:tc>
          <w:tcPr>
            <w:tcW w:type="dxa" w:w="835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新增</w:t>
            </w:r>
          </w:p>
        </w:tc>
      </w:tr>
      <w:tr>
        <w:trPr>
          <w:cantSplit w:val="true"/>
        </w:trPr>
        <w:tc>
          <w:tcPr>
            <w:tcW w:type="dxa" w:w="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全体</w:t>
            </w:r>
          </w:p>
        </w:tc>
        <w:tc>
          <w:tcPr>
            <w:tcW w:type="dxa" w:w="80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PASS</w:t>
            </w:r>
          </w:p>
        </w:tc>
        <w:tc>
          <w:tcPr>
            <w:tcW w:type="dxa" w:w="20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维持现状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无</w:t>
            </w:r>
          </w:p>
        </w:tc>
        <w:tc>
          <w:tcPr>
            <w:tcW w:type="dxa" w:w="34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无指标变化；协议不得承诺 PASS</w:t>
            </w:r>
          </w:p>
        </w:tc>
        <w:tc>
          <w:tcPr>
            <w:tcW w:type="dxa" w:w="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5"/>
              </w:rPr>
              <w:t>保留</w:t>
            </w:r>
          </w:p>
        </w:tc>
      </w:tr>
    </w:tbl>
    <w:p>
      <w:pPr>
        <w:spacing w:after="0" w:line="240" w:lineRule="auto" w:before="0"/>
      </w:pPr>
      <w:r>
        <w:rPr>
          <w:rFonts w:ascii="Microsoft YaHei" w:hAnsi="Microsoft YaHei" w:eastAsia="Microsoft YaHei"/>
          <w:sz w:val="8"/>
        </w:rPr>
      </w:r>
    </w:p>
    <w:p>
      <w:pPr>
        <w:widowControl/>
        <w:spacing w:after="120" w:line="307" w:lineRule="auto"/>
      </w:pPr>
      <w:r>
        <w:rPr>
          <w:rFonts w:ascii="Microsoft YaHei" w:hAnsi="Microsoft YaHei" w:eastAsia="Microsoft YaHei"/>
          <w:b w:val="0"/>
          <w:color w:val="22292D"/>
          <w:sz w:val="21"/>
        </w:rPr>
        <w:t>H 对政府技术合作变化仍起杠杆作用：U1、U2、N1 及 N2 与 S1 联动产生的 A 变化，按变化幅度乘以一加五分之一 H，再对幅度向下取整并保留正负号。ASML 自身 S2 与 S4 产生的 A 变化不受该杠杆放大。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000000"/>
          <w:sz w:val="31"/>
        </w:rPr>
        <w:t>三 S3 删除的实施范围</w:t>
      </w:r>
    </w:p>
    <w:p>
      <w:pPr>
        <w:widowControl/>
        <w:spacing w:after="120" w:line="307" w:lineRule="auto"/>
      </w:pPr>
      <w:r>
        <w:rPr>
          <w:rFonts w:ascii="Microsoft YaHei" w:hAnsi="Microsoft YaHei" w:eastAsia="Microsoft YaHei"/>
          <w:b w:val="0"/>
          <w:color w:val="22292D"/>
          <w:sz w:val="21"/>
        </w:rPr>
        <w:t>S3 的设计效果取决于回合开始时的 A 值，与 PASS 和 S1 的边界接近，缺少稳定的谈判价值。删除后不需要把原效果迁移到 S1 或其他动作；V1.3 用 S4 提供第三种明确策略。任何页面文案、示例或测试夹具中都不得继续把 S3 列为可选动作。</w:t>
      </w:r>
    </w:p>
    <w:tbl>
      <w:tblPr>
        <w:tblW w:type="dxa" w:w="10224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368"/>
        <w:gridCol w:w="6120"/>
        <w:gridCol w:w="2736"/>
      </w:tblGrid>
      <w:tr>
        <w:trPr>
          <w:tblHeader w:val="true"/>
          <w:cantSplit w:val="true"/>
        </w:trPr>
        <w:tc>
          <w:tcPr>
            <w:tcW w:type="dxa" w:w="1368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修改面</w:t>
            </w:r>
          </w:p>
        </w:tc>
        <w:tc>
          <w:tcPr>
            <w:tcW w:type="dxa" w:w="6120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必须完成的内容</w:t>
            </w:r>
          </w:p>
        </w:tc>
        <w:tc>
          <w:tcPr>
            <w:tcW w:type="dxa" w:w="2736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失败表现</w:t>
            </w:r>
          </w:p>
        </w:tc>
      </w:tr>
      <w:tr>
        <w:trPr>
          <w:cantSplit w:val="true"/>
        </w:trP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动作定义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ASML 动作数组只保留 S1、S2、S4；名称 W(S3) 不再由新对局解析。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页面仍显示 S3，或 API 返回 S3。</w:t>
            </w:r>
          </w:p>
        </w:tc>
      </w:tr>
      <w:tr>
        <w:trPr>
          <w:cantSplit w:val="true"/>
        </w:trPr>
        <w:tc>
          <w:tcPr>
            <w:tcW w:type="dxa" w:w="1368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服务端校验</w:t>
            </w:r>
          </w:p>
        </w:tc>
        <w:tc>
          <w:tcPr>
            <w:tcW w:type="dxa" w:w="6120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行动提交、协议承诺和 AI 输出校验都拒绝 S3，并返回稳定错误码。</w:t>
            </w:r>
          </w:p>
        </w:tc>
        <w:tc>
          <w:tcPr>
            <w:tcW w:type="dxa" w:w="2736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绕过前端后仍能提交 S3。</w:t>
            </w:r>
          </w:p>
        </w:tc>
      </w:tr>
      <w:tr>
        <w:trPr>
          <w:cantSplit w:val="true"/>
        </w:trP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协议系统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新协议不能承诺 S3；历史协议可保留 S3 文本但不能恢复执行。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签约时报错或静默改成其他动作。</w:t>
            </w:r>
          </w:p>
        </w:tc>
      </w:tr>
      <w:tr>
        <w:trPr>
          <w:cantSplit w:val="true"/>
        </w:trPr>
        <w:tc>
          <w:tcPr>
            <w:tcW w:type="dxa" w:w="1368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AI Agent</w:t>
            </w:r>
          </w:p>
        </w:tc>
        <w:tc>
          <w:tcPr>
            <w:tcW w:type="dxa" w:w="6120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系统提示词、工具描述和合法动作列表均不含 S3；非法输出重试一次后回退 PASS。</w:t>
            </w:r>
          </w:p>
        </w:tc>
        <w:tc>
          <w:tcPr>
            <w:tcW w:type="dxa" w:w="2736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Agent 继续选择 S3。</w:t>
            </w:r>
          </w:p>
        </w:tc>
      </w:tr>
      <w:tr>
        <w:trPr>
          <w:cantSplit w:val="true"/>
        </w:trP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前端界面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ASML 行动区显示三张卡；不再出现“维护现有合规客户”。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空按钮、重复卡或布局跳动。</w:t>
            </w:r>
          </w:p>
        </w:tc>
      </w:tr>
      <w:tr>
        <w:trPr>
          <w:cantSplit w:val="true"/>
        </w:trPr>
        <w:tc>
          <w:tcPr>
            <w:tcW w:type="dxa" w:w="1368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战报</w:t>
            </w:r>
          </w:p>
        </w:tc>
        <w:tc>
          <w:tcPr>
            <w:tcW w:type="dxa" w:w="6120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新战报不出现 S3；旧对局可显示“已停用动作”并保持只读。</w:t>
            </w:r>
          </w:p>
        </w:tc>
        <w:tc>
          <w:tcPr>
            <w:tcW w:type="dxa" w:w="2736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回放内容被篡改或新旧语义混用。</w:t>
            </w:r>
          </w:p>
        </w:tc>
      </w:tr>
      <w:tr>
        <w:trPr>
          <w:cantSplit w:val="true"/>
        </w:trP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分析埋点</w:t>
            </w:r>
          </w:p>
        </w:tc>
        <w:tc>
          <w:tcPr>
            <w:tcW w:type="dxa" w:w="61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按 schemaVersion 区分 S3 历史数据与 V1.3 新数据。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把旧 S3 频率误认为新版本行为。</w:t>
            </w:r>
          </w:p>
        </w:tc>
      </w:tr>
      <w:tr>
        <w:trPr>
          <w:cantSplit w:val="true"/>
        </w:trPr>
        <w:tc>
          <w:tcPr>
            <w:tcW w:type="dxa" w:w="1368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测试与文档</w:t>
            </w:r>
          </w:p>
        </w:tc>
        <w:tc>
          <w:tcPr>
            <w:tcW w:type="dxa" w:w="6120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删除所有 S3 合法路径用例，新增 S3 拒绝用例和旧存档兼容用例。</w:t>
            </w:r>
          </w:p>
        </w:tc>
        <w:tc>
          <w:tcPr>
            <w:tcW w:type="dxa" w:w="2736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测试仍要求 S3 可用。</w:t>
            </w:r>
          </w:p>
        </w:tc>
      </w:tr>
    </w:tbl>
    <w:p>
      <w:pPr>
        <w:spacing w:after="0" w:line="240" w:lineRule="auto" w:before="0"/>
      </w:pPr>
      <w:r>
        <w:rPr>
          <w:rFonts w:ascii="Microsoft YaHei" w:hAnsi="Microsoft YaHei" w:eastAsia="Microsoft YaHei"/>
          <w:sz w:val="8"/>
        </w:rPr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000000"/>
          <w:sz w:val="31"/>
        </w:rPr>
        <w:t>四 灰色交付与结算顺序</w:t>
      </w:r>
    </w:p>
    <w:p>
      <w:pPr>
        <w:widowControl/>
        <w:spacing w:after="120" w:line="307" w:lineRule="auto"/>
      </w:pPr>
      <w:r>
        <w:rPr>
          <w:rFonts w:ascii="Microsoft YaHei" w:hAnsi="Microsoft YaHei" w:eastAsia="Microsoft YaHei"/>
          <w:b w:val="0"/>
          <w:color w:val="22292D"/>
          <w:sz w:val="21"/>
        </w:rPr>
        <w:t>灰色交付查获率以回合开始时 H 计算：基础 20%，每点 H 增加 10%，美国本轮选择 U4 再增加 30%；若 ASML 曾因灰色交付被查获并使信用降至 0，后续基础查获率再增加 20%。所有加成相加后截断到 100%。H=2 且无 U4 时为 40%，有 U4 时为 70%；H=5 且有 U4 时固定为 100%。</w:t>
      </w:r>
    </w:p>
    <w:tbl>
      <w:tblPr>
        <w:tblW w:type="dxa" w:w="10224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296"/>
        <w:gridCol w:w="5903"/>
        <w:gridCol w:w="3024"/>
      </w:tblGrid>
      <w:tr>
        <w:trPr>
          <w:tblHeader w:val="true"/>
          <w:cantSplit w:val="true"/>
        </w:trPr>
        <w:tc>
          <w:tcPr>
            <w:tcW w:type="dxa" w:w="1296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5904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处理规则</w:t>
            </w:r>
          </w:p>
        </w:tc>
        <w:tc>
          <w:tcPr>
            <w:tcW w:type="dxa" w:w="3024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需要记录的内部数据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回合开始</w:t>
            </w:r>
          </w:p>
        </w:tc>
        <w:tc>
          <w:tcPr>
            <w:tcW w:type="dxa" w:w="59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先执行上回合遗留效果，再保存 roundStart 快照。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待生效研发、待生效 A 变化、回合初始 H。</w:t>
            </w:r>
          </w:p>
        </w:tc>
      </w:tr>
      <w:tr>
        <w:trPr>
          <w:cantSplit w:val="true"/>
        </w:trPr>
        <w:tc>
          <w:tcPr>
            <w:tcW w:type="dxa" w:w="1296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行动提交</w:t>
            </w:r>
          </w:p>
        </w:tc>
        <w:tc>
          <w:tcPr>
            <w:tcW w:type="dxa" w:w="5903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四方同时提交，提交后不可更改。</w:t>
            </w:r>
          </w:p>
        </w:tc>
        <w:tc>
          <w:tcPr>
            <w:tcW w:type="dxa" w:w="302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行动 ID、提交时间、schemaVersion。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基础增量</w:t>
            </w:r>
          </w:p>
        </w:tc>
        <w:tc>
          <w:tcPr>
            <w:tcW w:type="dxa" w:w="59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计算 U1 至 U4、C1 至 C3、N1 至 N3、S1、S2、S4 的常规效果。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动作来源与原始增量。</w:t>
            </w:r>
          </w:p>
        </w:tc>
      </w:tr>
      <w:tr>
        <w:trPr>
          <w:cantSplit w:val="true"/>
        </w:trPr>
        <w:tc>
          <w:tcPr>
            <w:tcW w:type="dxa" w:w="1296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S4 判定</w:t>
            </w:r>
          </w:p>
        </w:tc>
        <w:tc>
          <w:tcPr>
            <w:tcW w:type="dxa" w:w="5903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用 roundStart H 和本轮 U4 计算查获率，进行一次伯努利判定。</w:t>
            </w:r>
          </w:p>
        </w:tc>
        <w:tc>
          <w:tcPr>
            <w:tcW w:type="dxa" w:w="302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随机种子、查获概率、判定结果，仅内部可见。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联动与取整</w:t>
            </w:r>
          </w:p>
        </w:tc>
        <w:tc>
          <w:tcPr>
            <w:tcW w:type="dxa" w:w="59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应用政府 A 变化杠杆，按符号保留幅度取整，再合计所有增量。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每项修正后的增量。</w:t>
            </w:r>
          </w:p>
        </w:tc>
      </w:tr>
      <w:tr>
        <w:trPr>
          <w:cantSplit w:val="true"/>
        </w:trPr>
        <w:tc>
          <w:tcPr>
            <w:tcW w:type="dxa" w:w="1296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状态更新</w:t>
            </w:r>
          </w:p>
        </w:tc>
        <w:tc>
          <w:tcPr>
            <w:tcW w:type="dxa" w:w="5903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一次性截断到 0 至 5，更新信用和待生效效果。</w:t>
            </w:r>
          </w:p>
        </w:tc>
        <w:tc>
          <w:tcPr>
            <w:tcW w:type="dxa" w:w="302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最终状态、信用变化原因。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公开战报</w:t>
            </w:r>
          </w:p>
        </w:tc>
        <w:tc>
          <w:tcPr>
            <w:tcW w:type="dxa" w:w="59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公开可观察行动和指标结果；未查获 S4 不得显示动作名称或灰色渠道解释。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公开视图与内部审计视图分离。</w:t>
            </w:r>
          </w:p>
        </w:tc>
      </w:tr>
    </w:tbl>
    <w:p>
      <w:pPr>
        <w:spacing w:after="0" w:line="240" w:lineRule="auto" w:before="0"/>
      </w:pPr>
      <w:r>
        <w:rPr>
          <w:rFonts w:ascii="Microsoft YaHei" w:hAnsi="Microsoft YaHei" w:eastAsia="Microsoft YaHei"/>
          <w:sz w:val="8"/>
        </w:rPr>
      </w:r>
    </w:p>
    <w:p>
      <w:pPr>
        <w:widowControl/>
        <w:spacing w:after="120" w:line="307" w:lineRule="auto"/>
      </w:pPr>
      <w:r>
        <w:rPr>
          <w:rFonts w:ascii="Microsoft YaHei" w:hAnsi="Microsoft YaHei" w:eastAsia="Microsoft YaHei"/>
          <w:b w:val="0"/>
          <w:color w:val="22292D"/>
          <w:sz w:val="21"/>
        </w:rPr>
        <w:t>规则引擎不得直接计算期望收益后替代随机结果。查获率只用于显示风险和内部验证；每一局必须实际判定一次，并保存可复现的随机种子。未查获时，公开战报可以显示 A、B 的最终变化，但不能把变化原因写成“灰色交付”。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000000"/>
          <w:sz w:val="31"/>
        </w:rPr>
        <w:t>五 规则一致性修订</w:t>
      </w:r>
    </w:p>
    <w:p>
      <w:pPr>
        <w:widowControl/>
        <w:spacing w:after="120" w:line="307" w:lineRule="auto"/>
      </w:pPr>
      <w:r>
        <w:rPr>
          <w:rFonts w:ascii="Microsoft YaHei" w:hAnsi="Microsoft YaHei" w:eastAsia="Microsoft YaHei"/>
          <w:b w:val="0"/>
          <w:color w:val="22292D"/>
          <w:sz w:val="21"/>
        </w:rPr>
        <w:t>规则稿中存在几处会直接影响实现的表述冲突。V1.3 应先把这些冲突收敛为唯一口径，再进入前后端联调。</w:t>
      </w:r>
    </w:p>
    <w:tbl>
      <w:tblPr>
        <w:tblW w:type="dxa" w:w="10224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440"/>
        <w:gridCol w:w="3960"/>
        <w:gridCol w:w="4824"/>
      </w:tblGrid>
      <w:tr>
        <w:trPr>
          <w:tblHeader w:val="true"/>
          <w:cantSplit w:val="true"/>
        </w:trPr>
        <w:tc>
          <w:tcPr>
            <w:tcW w:type="dxa" w:w="1440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3960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现有冲突</w:t>
            </w:r>
          </w:p>
        </w:tc>
        <w:tc>
          <w:tcPr>
            <w:tcW w:type="dxa" w:w="4824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V1.3 口径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公开行动边界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一处写公开实际行动，另一处写未查获 S4 不公开。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统一为“公开可观察行动”；未查获 S4 不进入公共行动日志。</w:t>
            </w:r>
          </w:p>
        </w:tc>
      </w:tr>
      <w:tr>
        <w:trPr>
          <w:cantSplit w:val="true"/>
        </w:trPr>
        <w:tc>
          <w:tcPr>
            <w:tcW w:type="dxa" w:w="1440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整数与小数</w:t>
            </w:r>
          </w:p>
        </w:tc>
        <w:tc>
          <w:tcPr>
            <w:tcW w:type="dxa" w:w="3960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指标规定为整数，但存在 A+0.5、E-0.3 等效果。</w:t>
            </w:r>
          </w:p>
        </w:tc>
        <w:tc>
          <w:tcPr>
            <w:tcW w:type="dxa" w:w="482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动作效果改为整数；内部不使用小数状态。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负向取整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直接向下取整会把 -1 放大成 -1.4 再变成 -2。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按幅度向下取整，再恢复正负号。</w:t>
            </w:r>
          </w:p>
        </w:tc>
      </w:tr>
      <w:tr>
        <w:trPr>
          <w:cantSplit w:val="true"/>
        </w:trPr>
        <w:tc>
          <w:tcPr>
            <w:tcW w:type="dxa" w:w="1440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字母重名</w:t>
            </w:r>
          </w:p>
        </w:tc>
        <w:tc>
          <w:tcPr>
            <w:tcW w:type="dxa" w:w="3960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V1.2 的 A 是同盟协调度，线上 A 是技术合作机会。</w:t>
            </w:r>
          </w:p>
        </w:tc>
        <w:tc>
          <w:tcPr>
            <w:tcW w:type="dxa" w:w="482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保留线上 A/B/H/R；文档同时给出 T/A/E/S 语义映射。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协议合法性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协议可以承诺动作，但动作可能因条件变为非法。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发起和接受时校验；结算前仍非法则标记冲突，不静默替换。</w:t>
            </w:r>
          </w:p>
        </w:tc>
      </w:tr>
      <w:tr>
        <w:trPr>
          <w:cantSplit w:val="true"/>
        </w:trPr>
        <w:tc>
          <w:tcPr>
            <w:tcW w:type="dxa" w:w="1440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旧对局兼容</w:t>
            </w:r>
          </w:p>
        </w:tc>
        <w:tc>
          <w:tcPr>
            <w:tcW w:type="dxa" w:w="3960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旧状态含 S3，新引擎没有 S3。</w:t>
            </w:r>
          </w:p>
        </w:tc>
        <w:tc>
          <w:tcPr>
            <w:tcW w:type="dxa" w:w="482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按版本冻结旧对局；新引擎只处理 V1.3，不做动作映射。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AI 非法输出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LLM 可能输出已删除或不存在的动作。</w:t>
            </w:r>
          </w:p>
        </w:tc>
        <w:tc>
          <w:tcPr>
            <w:tcW w:type="dxa" w:w="48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重试一次；仍非法则回退 PASS，并记录内部事件。</w:t>
            </w:r>
          </w:p>
        </w:tc>
      </w:tr>
      <w:tr>
        <w:trPr>
          <w:cantSplit w:val="true"/>
        </w:trPr>
        <w:tc>
          <w:tcPr>
            <w:tcW w:type="dxa" w:w="1440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随机结果复盘</w:t>
            </w:r>
          </w:p>
        </w:tc>
        <w:tc>
          <w:tcPr>
            <w:tcW w:type="dxa" w:w="3960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只保存最终指标无法还原查获判定。</w:t>
            </w:r>
          </w:p>
        </w:tc>
        <w:tc>
          <w:tcPr>
            <w:tcW w:type="dxa" w:w="482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保存随机种子、概率和结果，公开层不暴露种子。</w:t>
            </w:r>
          </w:p>
        </w:tc>
      </w:tr>
    </w:tbl>
    <w:p>
      <w:pPr>
        <w:spacing w:after="0" w:line="240" w:lineRule="auto" w:before="0"/>
      </w:pPr>
      <w:r>
        <w:rPr>
          <w:rFonts w:ascii="Microsoft YaHei" w:hAnsi="Microsoft YaHei" w:eastAsia="Microsoft YaHei"/>
          <w:sz w:val="8"/>
        </w:rPr>
      </w:r>
    </w:p>
    <w:p>
      <w:pPr>
        <w:pStyle w:val="Heading2"/>
        <w:keepNext/>
        <w:spacing w:before="220" w:after="80"/>
      </w:pPr>
      <w:r>
        <w:rPr>
          <w:rFonts w:ascii="Microsoft YaHei" w:hAnsi="Microsoft YaHei" w:eastAsia="Microsoft YaHei"/>
          <w:b/>
          <w:color w:val="000000"/>
          <w:sz w:val="23"/>
        </w:rPr>
        <w:t>指标语义对照</w:t>
      </w:r>
    </w:p>
    <w:tbl>
      <w:tblPr>
        <w:tblW w:type="dxa" w:w="10224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224"/>
        <w:gridCol w:w="2088"/>
        <w:gridCol w:w="1080"/>
        <w:gridCol w:w="2088"/>
        <w:gridCol w:w="3744"/>
      </w:tblGrid>
      <w:tr>
        <w:trPr>
          <w:tblHeader w:val="true"/>
          <w:cantSplit w:val="true"/>
        </w:trPr>
        <w:tc>
          <w:tcPr>
            <w:tcW w:type="dxa" w:w="1224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规则稿符号</w:t>
            </w:r>
          </w:p>
        </w:tc>
        <w:tc>
          <w:tcPr>
            <w:tcW w:type="dxa" w:w="2088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规则稿含义</w:t>
            </w:r>
          </w:p>
        </w:tc>
        <w:tc>
          <w:tcPr>
            <w:tcW w:type="dxa" w:w="1080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线上字段</w:t>
            </w:r>
          </w:p>
        </w:tc>
        <w:tc>
          <w:tcPr>
            <w:tcW w:type="dxa" w:w="2088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线上含义</w:t>
            </w:r>
          </w:p>
        </w:tc>
        <w:tc>
          <w:tcPr>
            <w:tcW w:type="dxa" w:w="3744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迁移处理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T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技术管制强度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技术合作机会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方向相反，按语义换算后写入 A</w:t>
            </w:r>
          </w:p>
        </w:tc>
      </w:tr>
      <w:tr>
        <w:trPr>
          <w:cantSplit w:val="true"/>
        </w:trPr>
        <w:tc>
          <w:tcPr>
            <w:tcW w:type="dxa" w:w="122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E</w:t>
            </w:r>
          </w:p>
        </w:tc>
        <w:tc>
          <w:tcPr>
            <w:tcW w:type="dxa" w:w="2088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对华产业收益</w:t>
            </w:r>
          </w:p>
        </w:tc>
        <w:tc>
          <w:tcPr>
            <w:tcW w:type="dxa" w:w="1080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B</w:t>
            </w:r>
          </w:p>
        </w:tc>
        <w:tc>
          <w:tcPr>
            <w:tcW w:type="dxa" w:w="2088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商业活力</w:t>
            </w:r>
          </w:p>
        </w:tc>
        <w:tc>
          <w:tcPr>
            <w:tcW w:type="dxa" w:w="374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保留 B，作为整体商业环境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同盟协调度</w:t>
            </w:r>
          </w:p>
        </w:tc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H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美荷协调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保留 H，避免与线上 A 冲突</w:t>
            </w:r>
          </w:p>
        </w:tc>
      </w:tr>
      <w:tr>
        <w:trPr>
          <w:cantSplit w:val="true"/>
        </w:trPr>
        <w:tc>
          <w:tcPr>
            <w:tcW w:type="dxa" w:w="122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S</w:t>
            </w:r>
          </w:p>
        </w:tc>
        <w:tc>
          <w:tcPr>
            <w:tcW w:type="dxa" w:w="2088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中国自主能力</w:t>
            </w:r>
          </w:p>
        </w:tc>
        <w:tc>
          <w:tcPr>
            <w:tcW w:type="dxa" w:w="1080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R</w:t>
            </w:r>
          </w:p>
        </w:tc>
        <w:tc>
          <w:tcPr>
            <w:tcW w:type="dxa" w:w="2088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中国自主技术</w:t>
            </w:r>
          </w:p>
        </w:tc>
        <w:tc>
          <w:tcPr>
            <w:tcW w:type="dxa" w:w="374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保留 R，字段语义直接对应</w:t>
            </w:r>
          </w:p>
        </w:tc>
      </w:tr>
    </w:tbl>
    <w:p>
      <w:pPr>
        <w:spacing w:after="0" w:line="240" w:lineRule="auto" w:before="0"/>
      </w:pPr>
      <w:r>
        <w:rPr>
          <w:rFonts w:ascii="Microsoft YaHei" w:hAnsi="Microsoft YaHei" w:eastAsia="Microsoft YaHei"/>
          <w:sz w:val="8"/>
        </w:rPr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000000"/>
          <w:sz w:val="31"/>
        </w:rPr>
        <w:t>六 目标与胜利表达</w:t>
      </w:r>
    </w:p>
    <w:p>
      <w:pPr>
        <w:widowControl/>
        <w:spacing w:after="120" w:line="307" w:lineRule="auto"/>
      </w:pPr>
      <w:r>
        <w:rPr>
          <w:rFonts w:ascii="Microsoft YaHei" w:hAnsi="Microsoft YaHei" w:eastAsia="Microsoft YaHei"/>
          <w:b w:val="0"/>
          <w:color w:val="22292D"/>
          <w:sz w:val="21"/>
        </w:rPr>
        <w:t>当前线上采用单一的“正式胜利”，要求目标阈值、至少一份全员履约协议和信用不低于 1。V1.3 可以保留这一完整胜利，增加“实质胜利”作为较低层级的结果标签：数值达标且信用不低于 1，但不要求履约协议。这样既能保留谈判价值，也能让单边达成目标的玩家看到结果。</w:t>
      </w:r>
    </w:p>
    <w:tbl>
      <w:tblPr>
        <w:tblW w:type="dxa" w:w="10224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296"/>
        <w:gridCol w:w="1944"/>
        <w:gridCol w:w="4536"/>
        <w:gridCol w:w="2448"/>
      </w:tblGrid>
      <w:tr>
        <w:trPr>
          <w:tblHeader w:val="true"/>
          <w:cantSplit w:val="true"/>
        </w:trPr>
        <w:tc>
          <w:tcPr>
            <w:tcW w:type="dxa" w:w="1296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1944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4536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线上 A/B/H/R 条件</w:t>
            </w:r>
          </w:p>
        </w:tc>
        <w:tc>
          <w:tcPr>
            <w:tcW w:type="dxa" w:w="2448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结果标签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美国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安全优先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A≤1 且 R≤2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实质胜利</w:t>
            </w:r>
          </w:p>
        </w:tc>
      </w:tr>
      <w:tr>
        <w:trPr>
          <w:cantSplit w:val="true"/>
        </w:trPr>
        <w:tc>
          <w:tcPr>
            <w:tcW w:type="dxa" w:w="1296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美国</w:t>
            </w:r>
          </w:p>
        </w:tc>
        <w:tc>
          <w:tcPr>
            <w:tcW w:type="dxa" w:w="194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联盟优先</w:t>
            </w:r>
          </w:p>
        </w:tc>
        <w:tc>
          <w:tcPr>
            <w:tcW w:type="dxa" w:w="4536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H≥4 且 A≤2</w:t>
            </w:r>
          </w:p>
        </w:tc>
        <w:tc>
          <w:tcPr>
            <w:tcW w:type="dxa" w:w="2448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实质胜利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中国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自主突破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R≥3 且 A≥2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实质胜利</w:t>
            </w:r>
          </w:p>
        </w:tc>
      </w:tr>
      <w:tr>
        <w:trPr>
          <w:cantSplit w:val="true"/>
        </w:trPr>
        <w:tc>
          <w:tcPr>
            <w:tcW w:type="dxa" w:w="1296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中国</w:t>
            </w:r>
          </w:p>
        </w:tc>
        <w:tc>
          <w:tcPr>
            <w:tcW w:type="dxa" w:w="194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合作维持</w:t>
            </w:r>
          </w:p>
        </w:tc>
        <w:tc>
          <w:tcPr>
            <w:tcW w:type="dxa" w:w="4536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A≥3 且 B≥4</w:t>
            </w:r>
          </w:p>
        </w:tc>
        <w:tc>
          <w:tcPr>
            <w:tcW w:type="dxa" w:w="2448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实质胜利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荷兰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协调优先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H≥4 且 B≥3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实质胜利</w:t>
            </w:r>
          </w:p>
        </w:tc>
      </w:tr>
      <w:tr>
        <w:trPr>
          <w:cantSplit w:val="true"/>
        </w:trPr>
        <w:tc>
          <w:tcPr>
            <w:tcW w:type="dxa" w:w="1296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荷兰</w:t>
            </w:r>
          </w:p>
        </w:tc>
        <w:tc>
          <w:tcPr>
            <w:tcW w:type="dxa" w:w="194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商业优先</w:t>
            </w:r>
          </w:p>
        </w:tc>
        <w:tc>
          <w:tcPr>
            <w:tcW w:type="dxa" w:w="4536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A≥3 且 B≥4</w:t>
            </w:r>
          </w:p>
        </w:tc>
        <w:tc>
          <w:tcPr>
            <w:tcW w:type="dxa" w:w="2448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实质胜利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ASML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对华深耕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A≥3 且 B≥4</w:t>
            </w:r>
          </w:p>
        </w:tc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实质胜利</w:t>
            </w:r>
          </w:p>
        </w:tc>
      </w:tr>
      <w:tr>
        <w:trPr>
          <w:cantSplit w:val="true"/>
        </w:trPr>
        <w:tc>
          <w:tcPr>
            <w:tcW w:type="dxa" w:w="1296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ASML</w:t>
            </w:r>
          </w:p>
        </w:tc>
        <w:tc>
          <w:tcPr>
            <w:tcW w:type="dxa" w:w="194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全球多元</w:t>
            </w:r>
          </w:p>
        </w:tc>
        <w:tc>
          <w:tcPr>
            <w:tcW w:type="dxa" w:w="4536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B=5 且 H≥3</w:t>
            </w:r>
          </w:p>
        </w:tc>
        <w:tc>
          <w:tcPr>
            <w:tcW w:type="dxa" w:w="2448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实质胜利</w:t>
            </w:r>
          </w:p>
        </w:tc>
      </w:tr>
    </w:tbl>
    <w:p>
      <w:pPr>
        <w:spacing w:after="0" w:line="240" w:lineRule="auto" w:before="0"/>
      </w:pPr>
      <w:r>
        <w:rPr>
          <w:rFonts w:ascii="Microsoft YaHei" w:hAnsi="Microsoft YaHei" w:eastAsia="Microsoft YaHei"/>
          <w:sz w:val="8"/>
        </w:rPr>
      </w:r>
    </w:p>
    <w:p>
      <w:pPr>
        <w:widowControl/>
        <w:spacing w:after="120" w:line="307" w:lineRule="auto"/>
      </w:pPr>
      <w:r>
        <w:rPr>
          <w:rFonts w:ascii="Microsoft YaHei" w:hAnsi="Microsoft YaHei" w:eastAsia="Microsoft YaHei"/>
          <w:b w:val="0"/>
          <w:color w:val="22292D"/>
          <w:sz w:val="21"/>
        </w:rPr>
        <w:t>最终结算时按顺序检查：条件与信用是否满足，决定是否获得实质胜利；再检查是否至少有一份本人参与且全员履约的协议，满足时升级为外交胜利。结果页同时显示两种标签、未满足条件、信用和履约协议数量，便于复盘。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000000"/>
          <w:sz w:val="31"/>
        </w:rPr>
        <w:t>七 界面与 AI 行为</w:t>
      </w:r>
    </w:p>
    <w:p>
      <w:pPr>
        <w:widowControl/>
        <w:spacing w:after="120" w:line="307" w:lineRule="auto"/>
      </w:pPr>
      <w:r>
        <w:rPr>
          <w:rFonts w:ascii="Microsoft YaHei" w:hAnsi="Microsoft YaHei" w:eastAsia="Microsoft YaHei"/>
          <w:b w:val="0"/>
          <w:color w:val="22292D"/>
          <w:sz w:val="21"/>
        </w:rPr>
        <w:t>动作删除后，ASML 行动区应稳定显示 S1、S2、S4 三张卡，不留下空位。S4 卡片必须明确写出查获率区间、未查获和查获两类结果，以及信用下降后的持续风险。N2 的禁用条件应在签约前显示，而不是等到行动提交时才报错。</w:t>
      </w:r>
    </w:p>
    <w:p>
      <w:pPr>
        <w:pStyle w:val="ListBullet"/>
        <w:spacing w:after="50" w:line="283" w:lineRule="auto"/>
        <w:ind w:left="346" w:hanging="259"/>
      </w:pPr>
      <w:r>
        <w:rPr>
          <w:rFonts w:ascii="Microsoft YaHei" w:hAnsi="Microsoft YaHei" w:eastAsia="Microsoft YaHei"/>
          <w:b w:val="0"/>
          <w:color w:val="22292D"/>
          <w:sz w:val="20"/>
        </w:rPr>
        <w:t>行动卡显示前置条件、基础效果和联动效果，S4 额外显示当前查获率。</w:t>
      </w:r>
    </w:p>
    <w:p>
      <w:pPr>
        <w:pStyle w:val="ListBullet"/>
        <w:spacing w:after="50" w:line="283" w:lineRule="auto"/>
        <w:ind w:left="346" w:hanging="259"/>
      </w:pPr>
      <w:r>
        <w:rPr>
          <w:rFonts w:ascii="Microsoft YaHei" w:hAnsi="Microsoft YaHei" w:eastAsia="Microsoft YaHei"/>
          <w:b w:val="0"/>
          <w:color w:val="22292D"/>
          <w:sz w:val="20"/>
        </w:rPr>
        <w:t>协议卡只允许选择当前合法动作；H≥4 时 N2 不可选，并说明原因。</w:t>
      </w:r>
    </w:p>
    <w:p>
      <w:pPr>
        <w:pStyle w:val="ListBullet"/>
        <w:spacing w:after="50" w:line="283" w:lineRule="auto"/>
        <w:ind w:left="346" w:hanging="259"/>
      </w:pPr>
      <w:r>
        <w:rPr>
          <w:rFonts w:ascii="Microsoft YaHei" w:hAnsi="Microsoft YaHei" w:eastAsia="Microsoft YaHei"/>
          <w:b w:val="0"/>
          <w:color w:val="22292D"/>
          <w:sz w:val="20"/>
        </w:rPr>
        <w:t>战报对未查获 S4 只展示公开指标变化；对查获 S4 展示处罚、信用变化和下回合 A 变化。</w:t>
      </w:r>
    </w:p>
    <w:p>
      <w:pPr>
        <w:pStyle w:val="ListBullet"/>
        <w:spacing w:after="50" w:line="283" w:lineRule="auto"/>
        <w:ind w:left="346" w:hanging="259"/>
      </w:pPr>
      <w:r>
        <w:rPr>
          <w:rFonts w:ascii="Microsoft YaHei" w:hAnsi="Microsoft YaHei" w:eastAsia="Microsoft YaHei"/>
          <w:b w:val="0"/>
          <w:color w:val="22292D"/>
          <w:sz w:val="20"/>
        </w:rPr>
        <w:t>结果页显示实质胜利或外交胜利，不把所有未获外交胜利的玩家统一写成失败。</w:t>
      </w:r>
    </w:p>
    <w:p>
      <w:pPr>
        <w:pStyle w:val="ListBullet"/>
        <w:spacing w:after="50" w:line="283" w:lineRule="auto"/>
        <w:ind w:left="346" w:hanging="259"/>
      </w:pPr>
      <w:r>
        <w:rPr>
          <w:rFonts w:ascii="Microsoft YaHei" w:hAnsi="Microsoft YaHei" w:eastAsia="Microsoft YaHei"/>
          <w:b w:val="0"/>
          <w:color w:val="22292D"/>
          <w:sz w:val="20"/>
        </w:rPr>
        <w:t>AI Agent 与秘书 Agent 共用服务端合法动作和可见信息边界，不读取隐藏判定或未查获 S4 记录。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000000"/>
          <w:sz w:val="31"/>
        </w:rPr>
        <w:t>八 实施顺序</w:t>
      </w:r>
    </w:p>
    <w:tbl>
      <w:tblPr>
        <w:tblW w:type="dxa" w:w="10224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1368"/>
        <w:gridCol w:w="4320"/>
        <w:gridCol w:w="4536"/>
      </w:tblGrid>
      <w:tr>
        <w:trPr>
          <w:tblHeader w:val="true"/>
          <w:cantSplit w:val="true"/>
        </w:trPr>
        <w:tc>
          <w:tcPr>
            <w:tcW w:type="dxa" w:w="1368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320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交付内容</w:t>
            </w:r>
          </w:p>
        </w:tc>
        <w:tc>
          <w:tcPr>
            <w:tcW w:type="dxa" w:w="4536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完成标准</w:t>
            </w:r>
          </w:p>
        </w:tc>
      </w:tr>
      <w:tr>
        <w:trPr>
          <w:cantSplit w:val="true"/>
        </w:trP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1 冻结规则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确定 V1.3 动作表、整数效果、指标映射和胜负层级。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产品规则、界面文案和规则引擎使用同一动作清单。</w:t>
            </w:r>
          </w:p>
        </w:tc>
      </w:tr>
      <w:tr>
        <w:trPr>
          <w:cantSplit w:val="true"/>
        </w:trPr>
        <w:tc>
          <w:tcPr>
            <w:tcW w:type="dxa" w:w="1368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2 升级引擎</w:t>
            </w:r>
          </w:p>
        </w:tc>
        <w:tc>
          <w:tcPr>
            <w:tcW w:type="dxa" w:w="4320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新增 schemaVersion、U4、S4、查获判定、信用处罚和旧对局只读。</w:t>
            </w:r>
          </w:p>
        </w:tc>
        <w:tc>
          <w:tcPr>
            <w:tcW w:type="dxa" w:w="4536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接口无法提交 S3；旧对局不被新引擎改写。</w:t>
            </w:r>
          </w:p>
        </w:tc>
      </w:tr>
      <w:tr>
        <w:trPr>
          <w:cantSplit w:val="true"/>
        </w:trP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3 更新界面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ASML 三卡布局、S4 风险说明、N2 条件、两级结果和隐藏战报。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桌面与移动端均无空卡、溢出或信息泄露。</w:t>
            </w:r>
          </w:p>
        </w:tc>
      </w:tr>
      <w:tr>
        <w:trPr>
          <w:cantSplit w:val="true"/>
        </w:trPr>
        <w:tc>
          <w:tcPr>
            <w:tcW w:type="dxa" w:w="1368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4 对齐 AI</w:t>
            </w:r>
          </w:p>
        </w:tc>
        <w:tc>
          <w:tcPr>
            <w:tcW w:type="dxa" w:w="4320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更新 Agent 工具、提示词、协议校验、非法输出回退。</w:t>
            </w:r>
          </w:p>
        </w:tc>
        <w:tc>
          <w:tcPr>
            <w:tcW w:type="dxa" w:w="4536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Agent 无法选择 S3，且不会读取隐藏结果。</w:t>
            </w:r>
          </w:p>
        </w:tc>
      </w:tr>
      <w:tr>
        <w:trPr>
          <w:cantSplit w:val="true"/>
        </w:trPr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5 回归测试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动作、概率、信用、协议、战报、存档和回放测试。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下表验收项全部通过。</w:t>
            </w:r>
          </w:p>
        </w:tc>
      </w:tr>
      <w:tr>
        <w:trPr>
          <w:cantSplit w:val="true"/>
        </w:trPr>
        <w:tc>
          <w:tcPr>
            <w:tcW w:type="dxa" w:w="1368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6 平衡测试</w:t>
            </w:r>
          </w:p>
        </w:tc>
        <w:tc>
          <w:tcPr>
            <w:tcW w:type="dxa" w:w="4320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规则型 Agent 批量自博弈，再抽样真实 LLM 对局。</w:t>
            </w:r>
          </w:p>
        </w:tc>
        <w:tc>
          <w:tcPr>
            <w:tcW w:type="dxa" w:w="4536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无明显单角色压制或行动频率异常。</w:t>
            </w:r>
          </w:p>
        </w:tc>
      </w:tr>
    </w:tbl>
    <w:p>
      <w:pPr>
        <w:spacing w:after="0" w:line="240" w:lineRule="auto" w:before="0"/>
      </w:pPr>
      <w:r>
        <w:rPr>
          <w:rFonts w:ascii="Microsoft YaHei" w:hAnsi="Microsoft YaHei" w:eastAsia="Microsoft YaHei"/>
          <w:sz w:val="8"/>
        </w:rPr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000000"/>
          <w:sz w:val="31"/>
        </w:rPr>
        <w:t>九 验收与平衡测试</w:t>
      </w:r>
    </w:p>
    <w:tbl>
      <w:tblPr>
        <w:tblW w:type="dxa" w:w="10224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20"/>
        <w:gridCol w:w="2592"/>
        <w:gridCol w:w="6912"/>
      </w:tblGrid>
      <w:tr>
        <w:trPr>
          <w:tblHeader w:val="true"/>
          <w:cantSplit w:val="true"/>
        </w:trPr>
        <w:tc>
          <w:tcPr>
            <w:tcW w:type="dxa" w:w="720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592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测试项</w:t>
            </w:r>
          </w:p>
        </w:tc>
        <w:tc>
          <w:tcPr>
            <w:tcW w:type="dxa" w:w="6912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预期结果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T01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ASML 新对局合法动作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仅返回 S1、S2、S4 和 PASS，不含 S3。</w:t>
            </w:r>
          </w:p>
        </w:tc>
      </w:tr>
      <w:tr>
        <w:trPr>
          <w:cantSplit w:val="true"/>
        </w:trPr>
        <w:tc>
          <w:tcPr>
            <w:tcW w:type="dxa" w:w="720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T02</w:t>
            </w:r>
          </w:p>
        </w:tc>
        <w:tc>
          <w:tcPr>
            <w:tcW w:type="dxa" w:w="2592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提交 S3</w:t>
            </w:r>
          </w:p>
        </w:tc>
        <w:tc>
          <w:tcPr>
            <w:tcW w:type="dxa" w:w="6912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服务端返回明确非法动作，不改变状态。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T03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协议承诺 S3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发起或接受阶段被拒绝，不生成生效协议。</w:t>
            </w:r>
          </w:p>
        </w:tc>
      </w:tr>
      <w:tr>
        <w:trPr>
          <w:cantSplit w:val="true"/>
        </w:trPr>
        <w:tc>
          <w:tcPr>
            <w:tcW w:type="dxa" w:w="720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T04</w:t>
            </w:r>
          </w:p>
        </w:tc>
        <w:tc>
          <w:tcPr>
            <w:tcW w:type="dxa" w:w="2592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AI 输出 S3</w:t>
            </w:r>
          </w:p>
        </w:tc>
        <w:tc>
          <w:tcPr>
            <w:tcW w:type="dxa" w:w="6912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重试一次后回退 PASS，内部记录原因。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T05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旧对局含 S3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可查看和回放，不能继续行动，也不自动映射为 S4。</w:t>
            </w:r>
          </w:p>
        </w:tc>
      </w:tr>
      <w:tr>
        <w:trPr>
          <w:cantSplit w:val="true"/>
        </w:trPr>
        <w:tc>
          <w:tcPr>
            <w:tcW w:type="dxa" w:w="720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T06</w:t>
            </w:r>
          </w:p>
        </w:tc>
        <w:tc>
          <w:tcPr>
            <w:tcW w:type="dxa" w:w="2592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S4 未查获</w:t>
            </w:r>
          </w:p>
        </w:tc>
        <w:tc>
          <w:tcPr>
            <w:tcW w:type="dxa" w:w="6912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A+1、B+3，公共日志不出现 S4 名称或灰色渠道解释。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T07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S4 被查获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B-2、credit-1，下回合开始 A-1，并公开处罚结果。</w:t>
            </w:r>
          </w:p>
        </w:tc>
      </w:tr>
      <w:tr>
        <w:trPr>
          <w:cantSplit w:val="true"/>
        </w:trPr>
        <w:tc>
          <w:tcPr>
            <w:tcW w:type="dxa" w:w="720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T08</w:t>
            </w:r>
          </w:p>
        </w:tc>
        <w:tc>
          <w:tcPr>
            <w:tcW w:type="dxa" w:w="2592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查获概率</w:t>
            </w:r>
          </w:p>
        </w:tc>
        <w:tc>
          <w:tcPr>
            <w:tcW w:type="dxa" w:w="6912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H=2 无 U4 为 40%，有 U4 为 70%；H=5 有 U4 为 100%。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T09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N2 条件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回合开始时 H≥4 时不可选；H=3 时可选。</w:t>
            </w:r>
          </w:p>
        </w:tc>
      </w:tr>
      <w:tr>
        <w:trPr>
          <w:cantSplit w:val="true"/>
        </w:trPr>
        <w:tc>
          <w:tcPr>
            <w:tcW w:type="dxa" w:w="720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T10</w:t>
            </w:r>
          </w:p>
        </w:tc>
        <w:tc>
          <w:tcPr>
            <w:tcW w:type="dxa" w:w="2592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整数结算</w:t>
            </w:r>
          </w:p>
        </w:tc>
        <w:tc>
          <w:tcPr>
            <w:tcW w:type="dxa" w:w="6912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任一动作组合的最终状态均为 0 至 5 的整数。</w:t>
            </w:r>
          </w:p>
        </w:tc>
      </w:tr>
      <w:tr>
        <w:trPr>
          <w:cantSplit w:val="true"/>
        </w:trPr>
        <w:tc>
          <w:tcPr>
            <w:tcW w:type="dxa" w:w="7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T11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复盘一致性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同一种子重复结算得到同一查获结果和指标状态。</w:t>
            </w:r>
          </w:p>
        </w:tc>
      </w:tr>
      <w:tr>
        <w:trPr>
          <w:cantSplit w:val="true"/>
        </w:trPr>
        <w:tc>
          <w:tcPr>
            <w:tcW w:type="dxa" w:w="720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T12</w:t>
            </w:r>
          </w:p>
        </w:tc>
        <w:tc>
          <w:tcPr>
            <w:tcW w:type="dxa" w:w="2592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结果层级</w:t>
            </w:r>
          </w:p>
        </w:tc>
        <w:tc>
          <w:tcPr>
            <w:tcW w:type="dxa" w:w="6912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7"/>
              </w:rPr>
              <w:t>实质胜利与外交胜利标签、条件说明和信用记录一致。</w:t>
            </w:r>
          </w:p>
        </w:tc>
      </w:tr>
    </w:tbl>
    <w:p>
      <w:pPr>
        <w:spacing w:after="0" w:line="240" w:lineRule="auto" w:before="0"/>
      </w:pPr>
      <w:r>
        <w:rPr>
          <w:rFonts w:ascii="Microsoft YaHei" w:hAnsi="Microsoft YaHei" w:eastAsia="Microsoft YaHei"/>
          <w:sz w:val="8"/>
        </w:rPr>
      </w:r>
    </w:p>
    <w:p>
      <w:pPr>
        <w:widowControl/>
        <w:spacing w:after="120" w:line="307" w:lineRule="auto"/>
      </w:pPr>
      <w:r>
        <w:rPr>
          <w:rFonts w:ascii="Microsoft YaHei" w:hAnsi="Microsoft YaHei" w:eastAsia="Microsoft YaHei"/>
          <w:b w:val="0"/>
          <w:color w:val="22292D"/>
          <w:sz w:val="21"/>
        </w:rPr>
        <w:t>首轮平衡测试至少记录各角色胜率、各动作使用率、S4 选择率、平均查获率、协议形成率、违约率、N2 因 H 条件被禁用的次数和无胜者比例。先用规则型 Agent 跑大批量机械回归，再用少量真实 LLM 对局检查谈判是否围绕 S4、N2 和履约协议展开。</w:t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000000"/>
          <w:sz w:val="31"/>
        </w:rPr>
        <w:t>十 可进一步修改的地方</w:t>
      </w:r>
    </w:p>
    <w:p>
      <w:pPr>
        <w:widowControl/>
        <w:spacing w:after="120" w:line="307" w:lineRule="auto"/>
      </w:pPr>
      <w:r>
        <w:rPr>
          <w:rFonts w:ascii="Microsoft YaHei" w:hAnsi="Microsoft YaHei" w:eastAsia="Microsoft YaHei"/>
          <w:b w:val="0"/>
          <w:color w:val="22292D"/>
          <w:sz w:val="21"/>
        </w:rPr>
        <w:t>以下项目不建议与 S3 删除同时上线。先在 V1.3 获得稳定的动作频率和胜率数据，再决定是否扩大规则复杂度。</w:t>
      </w:r>
    </w:p>
    <w:tbl>
      <w:tblPr>
        <w:tblW w:type="dxa" w:w="10224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864"/>
        <w:gridCol w:w="1800"/>
        <w:gridCol w:w="4752"/>
        <w:gridCol w:w="2808"/>
      </w:tblGrid>
      <w:tr>
        <w:trPr>
          <w:tblHeader w:val="true"/>
          <w:cantSplit w:val="true"/>
        </w:trPr>
        <w:tc>
          <w:tcPr>
            <w:tcW w:type="dxa" w:w="864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1800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修改方向</w:t>
            </w:r>
          </w:p>
        </w:tc>
        <w:tc>
          <w:tcPr>
            <w:tcW w:type="dxa" w:w="4752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建议做法</w:t>
            </w:r>
          </w:p>
        </w:tc>
        <w:tc>
          <w:tcPr>
            <w:tcW w:type="dxa" w:w="2808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判断依据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P1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自研对冲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R≥3 时减弱技术收紧造成的 B 损失；R≥4 时按规则调整有效技术压制。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若美国收紧策略胜率明显过高，再启用。</w:t>
            </w:r>
          </w:p>
        </w:tc>
      </w:tr>
      <w:tr>
        <w:trPr>
          <w:cantSplit w:val="true"/>
        </w:trPr>
        <w:tc>
          <w:tcPr>
            <w:tcW w:type="dxa" w:w="86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P1</w:t>
            </w:r>
          </w:p>
        </w:tc>
        <w:tc>
          <w:tcPr>
            <w:tcW w:type="dxa" w:w="1800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动作预览</w:t>
            </w:r>
          </w:p>
        </w:tc>
        <w:tc>
          <w:tcPr>
            <w:tcW w:type="dxa" w:w="4752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行动提交前显示基础效果、联动条件和最坏结果，不预测对手选择。</w:t>
            </w:r>
          </w:p>
        </w:tc>
        <w:tc>
          <w:tcPr>
            <w:tcW w:type="dxa" w:w="2808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降低新玩家误解 S1 与 S4 的成本。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P1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S4 风险曲线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根据首轮自博弈调整基础查获率或 U4 加成。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若 S4 使用率过高或几乎无人使用。</w:t>
            </w:r>
          </w:p>
        </w:tc>
      </w:tr>
      <w:tr>
        <w:trPr>
          <w:cantSplit w:val="true"/>
        </w:trPr>
        <w:tc>
          <w:tcPr>
            <w:tcW w:type="dxa" w:w="86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P2</w:t>
            </w:r>
          </w:p>
        </w:tc>
        <w:tc>
          <w:tcPr>
            <w:tcW w:type="dxa" w:w="1800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跨回合协议</w:t>
            </w:r>
          </w:p>
        </w:tc>
        <w:tc>
          <w:tcPr>
            <w:tcW w:type="dxa" w:w="4752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允许协议承诺两回合内的行动组合，并明确违约时点。</w:t>
            </w:r>
          </w:p>
        </w:tc>
        <w:tc>
          <w:tcPr>
            <w:tcW w:type="dxa" w:w="2808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在四方谈判已经稳定后进行。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P2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第三方转口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增加一条成本更高、查获后处罚更重的灰色路径。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当 S4 已被玩家充分理解后。</w:t>
            </w:r>
          </w:p>
        </w:tc>
      </w:tr>
      <w:tr>
        <w:trPr>
          <w:cantSplit w:val="true"/>
        </w:trPr>
        <w:tc>
          <w:tcPr>
            <w:tcW w:type="dxa" w:w="86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P2</w:t>
            </w:r>
          </w:p>
        </w:tc>
        <w:tc>
          <w:tcPr>
            <w:tcW w:type="dxa" w:w="1800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随机事件卡</w:t>
            </w:r>
          </w:p>
        </w:tc>
        <w:tc>
          <w:tcPr>
            <w:tcW w:type="dxa" w:w="4752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加入供应链扰动或国内政治事件，限制单次波动幅度。</w:t>
            </w:r>
          </w:p>
        </w:tc>
        <w:tc>
          <w:tcPr>
            <w:tcW w:type="dxa" w:w="2808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避免事件压过玩家行动的主因果。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P3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判断力计分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在结果页评价对手类型判断和协议判断，独立于胜负。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用于教学和复盘，不改变本局胜负。</w:t>
            </w:r>
          </w:p>
        </w:tc>
      </w:tr>
      <w:tr>
        <w:trPr>
          <w:cantSplit w:val="true"/>
        </w:trPr>
        <w:tc>
          <w:tcPr>
            <w:tcW w:type="dxa" w:w="864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P3</w:t>
            </w:r>
          </w:p>
        </w:tc>
        <w:tc>
          <w:tcPr>
            <w:tcW w:type="dxa" w:w="1800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扩展角色</w:t>
            </w:r>
          </w:p>
        </w:tc>
        <w:tc>
          <w:tcPr>
            <w:tcW w:type="dxa" w:w="4752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引入日本或台积电作为环境变量，而非直接增加第五名玩家。</w:t>
            </w:r>
          </w:p>
        </w:tc>
        <w:tc>
          <w:tcPr>
            <w:tcW w:type="dxa" w:w="2808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6"/>
              </w:rPr>
              <w:t>先验证四角色版本的稳定性和时长。</w:t>
            </w:r>
          </w:p>
        </w:tc>
      </w:tr>
    </w:tbl>
    <w:p>
      <w:pPr>
        <w:spacing w:after="0" w:line="240" w:lineRule="auto" w:before="0"/>
      </w:pPr>
      <w:r>
        <w:rPr>
          <w:rFonts w:ascii="Microsoft YaHei" w:hAnsi="Microsoft YaHei" w:eastAsia="Microsoft YaHei"/>
          <w:sz w:val="8"/>
        </w:rPr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Microsoft YaHei" w:hAnsi="Microsoft YaHei" w:eastAsia="Microsoft YaHei"/>
          <w:b/>
          <w:color w:val="000000"/>
          <w:sz w:val="31"/>
        </w:rPr>
        <w:t>十一 上线检查表</w:t>
      </w:r>
    </w:p>
    <w:tbl>
      <w:tblPr>
        <w:tblW w:type="dxa" w:w="972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7703"/>
        <w:gridCol w:w="2015"/>
      </w:tblGrid>
      <w:tr>
        <w:trPr>
          <w:tblHeader w:val="true"/>
          <w:cantSplit w:val="true"/>
        </w:trPr>
        <w:tc>
          <w:tcPr>
            <w:tcW w:type="dxa" w:w="7704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2016"/>
            <w:shd w:fill="203B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77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8"/>
              </w:rPr>
              <w:t>新对局动作表中不存在 S3</w:t>
            </w:r>
          </w:p>
        </w:tc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8"/>
              </w:rPr>
              <w:t>待勾选</w:t>
            </w:r>
          </w:p>
        </w:tc>
      </w:tr>
      <w:tr>
        <w:trPr>
          <w:cantSplit w:val="true"/>
        </w:trPr>
        <w:tc>
          <w:tcPr>
            <w:tcW w:type="dxa" w:w="7703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8"/>
              </w:rPr>
              <w:t>U4 与 S4 在同一 schemaVersion 启用</w:t>
            </w:r>
          </w:p>
        </w:tc>
        <w:tc>
          <w:tcPr>
            <w:tcW w:type="dxa" w:w="2015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8"/>
              </w:rPr>
              <w:t>待勾选</w:t>
            </w:r>
          </w:p>
        </w:tc>
      </w:tr>
      <w:tr>
        <w:trPr>
          <w:cantSplit w:val="true"/>
        </w:trPr>
        <w:tc>
          <w:tcPr>
            <w:tcW w:type="dxa" w:w="77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8"/>
              </w:rPr>
              <w:t>协议、AI、API 均拒绝 S3</w:t>
            </w:r>
          </w:p>
        </w:tc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8"/>
              </w:rPr>
              <w:t>待勾选</w:t>
            </w:r>
          </w:p>
        </w:tc>
      </w:tr>
      <w:tr>
        <w:trPr>
          <w:cantSplit w:val="true"/>
        </w:trPr>
        <w:tc>
          <w:tcPr>
            <w:tcW w:type="dxa" w:w="7703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8"/>
              </w:rPr>
              <w:t>旧对局只读且可回放</w:t>
            </w:r>
          </w:p>
        </w:tc>
        <w:tc>
          <w:tcPr>
            <w:tcW w:type="dxa" w:w="2015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8"/>
              </w:rPr>
              <w:t>待勾选</w:t>
            </w:r>
          </w:p>
        </w:tc>
      </w:tr>
      <w:tr>
        <w:trPr>
          <w:cantSplit w:val="true"/>
        </w:trPr>
        <w:tc>
          <w:tcPr>
            <w:tcW w:type="dxa" w:w="77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8"/>
              </w:rPr>
              <w:t>未查获 S4 不出现在公共行动日志</w:t>
            </w:r>
          </w:p>
        </w:tc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8"/>
              </w:rPr>
              <w:t>待勾选</w:t>
            </w:r>
          </w:p>
        </w:tc>
      </w:tr>
      <w:tr>
        <w:trPr>
          <w:cantSplit w:val="true"/>
        </w:trPr>
        <w:tc>
          <w:tcPr>
            <w:tcW w:type="dxa" w:w="7703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8"/>
              </w:rPr>
              <w:t>查获率、信用、下回合效果和随机种子可复现</w:t>
            </w:r>
          </w:p>
        </w:tc>
        <w:tc>
          <w:tcPr>
            <w:tcW w:type="dxa" w:w="2015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8"/>
              </w:rPr>
              <w:t>待勾选</w:t>
            </w:r>
          </w:p>
        </w:tc>
      </w:tr>
      <w:tr>
        <w:trPr>
          <w:cantSplit w:val="true"/>
        </w:trPr>
        <w:tc>
          <w:tcPr>
            <w:tcW w:type="dxa" w:w="77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8"/>
              </w:rPr>
              <w:t>N2 在 H≥4 时的禁用文案已上线</w:t>
            </w:r>
          </w:p>
        </w:tc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8"/>
              </w:rPr>
              <w:t>待勾选</w:t>
            </w:r>
          </w:p>
        </w:tc>
      </w:tr>
      <w:tr>
        <w:trPr>
          <w:cantSplit w:val="true"/>
        </w:trPr>
        <w:tc>
          <w:tcPr>
            <w:tcW w:type="dxa" w:w="7703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8"/>
              </w:rPr>
              <w:t>结果页支持实质胜利与外交胜利</w:t>
            </w:r>
          </w:p>
        </w:tc>
        <w:tc>
          <w:tcPr>
            <w:tcW w:type="dxa" w:w="2015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8"/>
              </w:rPr>
              <w:t>待勾选</w:t>
            </w:r>
          </w:p>
        </w:tc>
      </w:tr>
      <w:tr>
        <w:trPr>
          <w:cantSplit w:val="true"/>
        </w:trPr>
        <w:tc>
          <w:tcPr>
            <w:tcW w:type="dxa" w:w="770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8"/>
              </w:rPr>
              <w:t>桌面端和移动端 ASML 三卡布局通过截图检查</w:t>
            </w:r>
          </w:p>
        </w:tc>
        <w:tc>
          <w:tcPr>
            <w:tcW w:type="dxa" w:w="20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8"/>
              </w:rPr>
              <w:t>待勾选</w:t>
            </w:r>
          </w:p>
        </w:tc>
      </w:tr>
      <w:tr>
        <w:trPr>
          <w:cantSplit w:val="true"/>
        </w:trPr>
        <w:tc>
          <w:tcPr>
            <w:tcW w:type="dxa" w:w="7703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92D"/>
                <w:sz w:val="18"/>
              </w:rPr>
              <w:t>规则型自博弈与真实 LLM 对局完成抽样复盘</w:t>
            </w:r>
          </w:p>
        </w:tc>
        <w:tc>
          <w:tcPr>
            <w:tcW w:type="dxa" w:w="2015"/>
            <w:shd w:fill="F2F5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92D"/>
                <w:sz w:val="18"/>
              </w:rPr>
              <w:t>待勾选</w:t>
            </w:r>
          </w:p>
        </w:tc>
      </w:tr>
    </w:tbl>
    <w:p>
      <w:pPr>
        <w:spacing w:after="0" w:line="240" w:lineRule="auto" w:before="0"/>
      </w:pPr>
      <w:r>
        <w:rPr>
          <w:rFonts w:ascii="Microsoft YaHei" w:hAnsi="Microsoft YaHei" w:eastAsia="Microsoft YaHei"/>
          <w:sz w:val="8"/>
        </w:rPr>
      </w:r>
    </w:p>
    <w:p>
      <w:pPr>
        <w:widowControl/>
        <w:spacing w:after="120" w:line="307" w:lineRule="auto"/>
      </w:pPr>
      <w:r>
        <w:rPr>
          <w:rFonts w:ascii="Microsoft YaHei" w:hAnsi="Microsoft YaHei" w:eastAsia="Microsoft YaHei"/>
          <w:b w:val="0"/>
          <w:color w:val="22292D"/>
          <w:sz w:val="21"/>
        </w:rPr>
        <w:t>发布后先观察动作选择、协议履约和异常报错，再决定是否进入自研对冲、跨回合协议或新增灰色路径。如果在首轮数据中 S4 被高频无脑选择，应优先调整查获率或 U4 成本，而不是继续增加新动作。</w:t>
      </w:r>
    </w:p>
    <w:sectPr w:rsidR="00FC693F" w:rsidRPr="0006063C" w:rsidSect="00034616"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7" w:lineRule="auto"/>
    </w:pPr>
    <w:rPr>
      <w:rFonts w:ascii="Microsoft YaHei" w:hAnsi="Microsoft YaHei" w:eastAsia="Microsoft YaHei"/>
      <w:color w:val="2229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芯片外交 V1.3 修改设计方案</dc:title>
  <dc:subject>删除 ASML S3 并接入灰色交付机制</dc:subject>
  <dc:creator>芯片外交项目组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