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EE2E93">
      <w:pPr>
        <w:pStyle w:val="31"/>
      </w:pPr>
      <w:r>
        <w:t>芯片战争不完全信息动态博弈</w:t>
      </w:r>
      <w:r>
        <w:br w:type="textWrapping"/>
      </w:r>
      <w:r>
        <w:t>最终游戏设计方案</w:t>
      </w:r>
    </w:p>
    <w:p w14:paraId="5F9DD4CE">
      <w:pPr>
        <w:pStyle w:val="3"/>
      </w:pPr>
      <w:r>
        <w:t>设计摘要</w:t>
      </w:r>
    </w:p>
    <w:p w14:paraId="102221CD">
      <w:r>
        <w:rPr>
          <w:rFonts w:hint="eastAsia"/>
          <w:lang w:val="en-US" w:eastAsia="zh-CN"/>
        </w:rPr>
        <w:t>1</w:t>
      </w:r>
      <w:r>
        <w:t>玩家控制中国政府，在六轮政策周期中观察受控生成的世界事件、美国 Agent 信号和已发生的政策行动，推断美国当前属于安全优先型、产业敏感型还是条件交换型，并据此选择产业、管制与外交政策。</w:t>
      </w:r>
    </w:p>
    <w:p w14:paraId="0BDF32E9">
      <w:r>
        <w:rPr>
          <w:rFonts w:hint="eastAsia"/>
          <w:lang w:val="en-US" w:eastAsia="zh-CN"/>
        </w:rPr>
        <w:t>2</w:t>
      </w:r>
      <w:r>
        <w:t>第三轮结束后触发美国执政联盟更替。大选结果公开，新政府真实类型仍然隐藏，旧证据保留但权重下降，美国政策进入一轮过渡期。玩家需要在第四轮重新判断新政府，并调整前三轮遗留的供应链路径。</w:t>
      </w:r>
    </w:p>
    <w:p w14:paraId="1782A469">
      <w:r>
        <w:rPr>
          <w:rFonts w:hint="eastAsia"/>
          <w:lang w:val="en-US" w:eastAsia="zh-CN"/>
        </w:rPr>
        <w:t>3</w:t>
      </w:r>
      <w:r>
        <w:t xml:space="preserve">保留文档 </w:t>
      </w:r>
      <w:r>
        <w:rPr>
          <w:rFonts w:hint="eastAsia"/>
          <w:lang w:val="en-US" w:eastAsia="zh-CN"/>
        </w:rPr>
        <w:t>4</w:t>
      </w:r>
      <w:r>
        <w:t>的收益结算作为国家绩效层，在其上增加隐藏类型、信念、局部博弈树和 Agent 决策层。</w:t>
      </w:r>
    </w:p>
    <w:p w14:paraId="7D4A3226">
      <w:r>
        <w:rPr>
          <w:rFonts w:hint="eastAsia"/>
          <w:lang w:val="en-US" w:eastAsia="zh-CN"/>
        </w:rPr>
        <w:t>4</w:t>
      </w:r>
      <w:r>
        <w:t>大模型只负责把结构化事件改写成具体情境</w:t>
      </w:r>
    </w:p>
    <w:p w14:paraId="3CD60519">
      <w:pPr>
        <w:pStyle w:val="4"/>
      </w:pPr>
      <w:r>
        <w:t>五项最终决策</w:t>
      </w:r>
    </w:p>
    <w:p w14:paraId="174D88AF">
      <w:pPr>
        <w:spacing w:after="80" w:line="300" w:lineRule="auto"/>
        <w:ind w:left="403" w:hanging="403"/>
      </w:pPr>
      <w:r>
        <w:t>1.  采用六轮结构，第三轮结束触发美国执政联盟更替。</w:t>
      </w:r>
    </w:p>
    <w:p w14:paraId="4C0623E1">
      <w:pPr>
        <w:spacing w:after="80" w:line="300" w:lineRule="auto"/>
        <w:ind w:left="403" w:hanging="403"/>
      </w:pPr>
      <w:r>
        <w:t>2.  美国使用安全优先、产业敏感、条件交换三种稳定类型。</w:t>
      </w:r>
    </w:p>
    <w:p w14:paraId="478C46B9">
      <w:pPr>
        <w:spacing w:after="80" w:line="300" w:lineRule="auto"/>
        <w:ind w:left="403" w:hanging="403"/>
      </w:pPr>
      <w:r>
        <w:t>3.  每轮一条世界事件、一条 Agent 信号、一道预测题和三张政策卡。</w:t>
      </w:r>
    </w:p>
    <w:p w14:paraId="2ED7238F">
      <w:pPr>
        <w:spacing w:after="80" w:line="300" w:lineRule="auto"/>
        <w:ind w:left="403" w:hanging="403"/>
      </w:pPr>
      <w:r>
        <w:t>4.  后端使用局部博弈树和期望效用选择动作，界面只显示关键分支。</w:t>
      </w:r>
    </w:p>
    <w:p w14:paraId="56ECDFF0">
      <w:pPr>
        <w:spacing w:after="80" w:line="300" w:lineRule="auto"/>
        <w:ind w:left="403" w:hanging="403"/>
      </w:pPr>
      <w:r>
        <w:t>5.  大模型负责情境叙事，规则引擎负责事实、概率、合法动作和结算。</w:t>
      </w:r>
    </w:p>
    <w:p w14:paraId="2B032F6F">
      <w:pPr>
        <w:spacing w:after="80" w:line="300" w:lineRule="auto"/>
        <w:ind w:left="403" w:hanging="403"/>
        <w:rPr>
          <w:rFonts w:hint="eastAsia" w:eastAsia="微软雅黑"/>
          <w:lang w:val="en-US" w:eastAsia="zh-CN"/>
        </w:rPr>
      </w:pPr>
      <w:r>
        <w:t>“策略游戏模式”用于加入不确定性和玩家</w:t>
      </w:r>
      <w:r>
        <w:rPr>
          <w:rFonts w:hint="eastAsia"/>
          <w:lang w:val="en-US" w:eastAsia="zh-CN"/>
        </w:rPr>
        <w:t>判断</w:t>
      </w:r>
    </w:p>
    <w:p w14:paraId="44FA8D7C">
      <w:pPr>
        <w:pStyle w:val="3"/>
        <w:pageBreakBefore/>
      </w:pPr>
      <w:r>
        <w:t>最终定位与运行模式</w:t>
      </w:r>
    </w:p>
    <w:p w14:paraId="0B76B878">
      <w:r>
        <w:t>游戏的核心不是让玩家看完所有模型数据，而是让</w:t>
      </w:r>
      <w:r>
        <w:rPr>
          <w:highlight w:val="yellow"/>
        </w:rPr>
        <w:t>玩家在信息不完整时作出可解释的政策选择</w:t>
      </w:r>
      <w:r>
        <w:t>。玩家需要判断美国当前意图，在产业损失、技术安全和外交空间之间取舍，并承担预测错误与政策路径依赖。</w:t>
      </w:r>
    </w:p>
    <w:p w14:paraId="328EABDE">
      <w:pPr>
        <w:keepNext/>
        <w:spacing w:before="40" w:after="80"/>
        <w:jc w:val="left"/>
      </w:pPr>
      <w:r>
        <w:rPr>
          <w:rFonts w:ascii="微软雅黑" w:hAnsi="微软雅黑" w:eastAsia="微软雅黑"/>
          <w:color w:val="566267"/>
          <w:sz w:val="18"/>
        </w:rPr>
        <w:t>表 1  两种运行模式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7F5F6A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3293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213D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C98525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模式</w:t>
            </w:r>
          </w:p>
        </w:tc>
        <w:tc>
          <w:tcPr>
            <w:tcW w:w="3293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213D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A9C708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信息条件</w:t>
            </w:r>
          </w:p>
        </w:tc>
        <w:tc>
          <w:tcPr>
            <w:tcW w:w="3293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213D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34EA2B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</w:tr>
      <w:tr w14:paraId="0ADB24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3293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7F757B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91F22"/>
                <w:sz w:val="18"/>
              </w:rPr>
              <w:t>策略游戏</w:t>
            </w:r>
          </w:p>
        </w:tc>
        <w:tc>
          <w:tcPr>
            <w:tcW w:w="3293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696F25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8"/>
              </w:rPr>
              <w:t>美国类型隐藏，第三轮后换台，情境受控随机。</w:t>
            </w:r>
          </w:p>
        </w:tc>
        <w:tc>
          <w:tcPr>
            <w:tcW w:w="3293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0E9A05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8"/>
              </w:rPr>
              <w:t>玩家判断、Agent 对手、分支预测和沉浸式复盘。</w:t>
            </w:r>
          </w:p>
        </w:tc>
      </w:tr>
    </w:tbl>
    <w:p w14:paraId="1C70D558">
      <w:pPr>
        <w:spacing w:after="40"/>
      </w:pPr>
    </w:p>
    <w:p w14:paraId="0D9408C7">
      <w:pPr>
        <w:pStyle w:val="4"/>
      </w:pPr>
      <w:r>
        <w:t>核心规则</w:t>
      </w:r>
    </w:p>
    <w:p w14:paraId="67701AD5">
      <w:pPr>
        <w:keepNext/>
        <w:spacing w:before="40" w:after="80"/>
        <w:jc w:val="left"/>
      </w:pPr>
      <w:r>
        <w:rPr>
          <w:rFonts w:ascii="微软雅黑" w:hAnsi="微软雅黑" w:eastAsia="微软雅黑"/>
          <w:color w:val="566267"/>
          <w:sz w:val="18"/>
        </w:rPr>
        <w:t>表 2  游戏核心规则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15AB49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44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213D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A58468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w="7920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213D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994FE2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设定</w:t>
            </w:r>
          </w:p>
        </w:tc>
      </w:tr>
      <w:tr w14:paraId="672AF1C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7F9BF3F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91F22"/>
                <w:sz w:val="18"/>
              </w:rPr>
              <w:t>对局长度</w:t>
            </w:r>
          </w:p>
        </w:tc>
        <w:tc>
          <w:tcPr>
            <w:tcW w:w="7920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A83E76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8"/>
              </w:rPr>
              <w:t>六轮。前三轮为旧政府，第四轮为过渡政府，第五至六轮为新政府。</w:t>
            </w:r>
          </w:p>
        </w:tc>
      </w:tr>
      <w:tr w14:paraId="214E37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215EFD4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91F22"/>
                <w:sz w:val="18"/>
              </w:rPr>
              <w:t>玩家角色</w:t>
            </w:r>
          </w:p>
        </w:tc>
        <w:tc>
          <w:tcPr>
            <w:tcW w:w="7920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6B45CB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8"/>
              </w:rPr>
              <w:t>中国政府。玩家拥有 2 AP，每轮最多执行两项主政策。</w:t>
            </w:r>
          </w:p>
        </w:tc>
      </w:tr>
      <w:tr w14:paraId="183ED1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B93031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91F22"/>
                <w:sz w:val="18"/>
              </w:rPr>
              <w:t>主政策卡</w:t>
            </w:r>
          </w:p>
        </w:tc>
        <w:tc>
          <w:tcPr>
            <w:tcW w:w="7920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F61B0C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8"/>
              </w:rPr>
              <w:t>产业、管制、外交三类各一张，其他政策进入扩展抽屉。</w:t>
            </w:r>
          </w:p>
        </w:tc>
      </w:tr>
      <w:tr w14:paraId="3B137D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51E679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91F22"/>
                <w:sz w:val="18"/>
              </w:rPr>
              <w:t>核心推理</w:t>
            </w:r>
          </w:p>
        </w:tc>
        <w:tc>
          <w:tcPr>
            <w:tcW w:w="7920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4EB12BA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8"/>
              </w:rPr>
              <w:t>每轮一道美国行为预测题，预测锁定后才能选择政策。</w:t>
            </w:r>
          </w:p>
        </w:tc>
      </w:tr>
      <w:tr w14:paraId="422FA4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9C17135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91F22"/>
                <w:sz w:val="18"/>
              </w:rPr>
              <w:t>美国类型</w:t>
            </w:r>
          </w:p>
        </w:tc>
        <w:tc>
          <w:tcPr>
            <w:tcW w:w="7920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7E7275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8"/>
              </w:rPr>
              <w:t>安全优先型、产业敏感型、条件交换型。</w:t>
            </w:r>
          </w:p>
        </w:tc>
      </w:tr>
      <w:tr w14:paraId="36212B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4E373B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91F22"/>
                <w:sz w:val="18"/>
              </w:rPr>
              <w:t>其他 Agent</w:t>
            </w:r>
          </w:p>
        </w:tc>
        <w:tc>
          <w:tcPr>
            <w:tcW w:w="7920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C79181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8"/>
              </w:rPr>
              <w:t>荷兰、日本、韩国政府及美国、中国企业和台积电。</w:t>
            </w:r>
          </w:p>
        </w:tc>
      </w:tr>
    </w:tbl>
    <w:p w14:paraId="0DF117FA">
      <w:pPr>
        <w:spacing w:after="40"/>
      </w:pPr>
    </w:p>
    <w:p w14:paraId="7E7B7F00">
      <w:pPr>
        <w:pStyle w:val="4"/>
      </w:pPr>
      <w:r>
        <w:t>玩家目标</w:t>
      </w:r>
    </w:p>
    <w:p w14:paraId="35867A36">
      <w:pPr>
        <w:pStyle w:val="16"/>
      </w:pPr>
      <w:r>
        <w:t>维持可用算力和国产有效交付，避免先进封装、制造设备或 HBM 成为持续瓶颈。</w:t>
      </w:r>
    </w:p>
    <w:p w14:paraId="6634C804">
      <w:pPr>
        <w:pStyle w:val="16"/>
      </w:pPr>
      <w:r>
        <w:t>控制产业压力和财政成本，避免为了短期安全目标透支后续政策空间。</w:t>
      </w:r>
    </w:p>
    <w:p w14:paraId="701B688B">
      <w:pPr>
        <w:pStyle w:val="16"/>
      </w:pPr>
      <w:r>
        <w:t>在前三轮为美国换台保留调整余地，第四轮根据新政府信号重新配置资源。</w:t>
      </w:r>
    </w:p>
    <w:p w14:paraId="5BBF7D18">
      <w:pPr>
        <w:pStyle w:val="3"/>
        <w:pageBreakBefore/>
      </w:pPr>
      <w:r>
        <w:t>二  六轮结构与选举冲击</w:t>
      </w:r>
    </w:p>
    <w:p w14:paraId="29C7E05B">
      <w:r>
        <w:t>大选是公开事件，新政府类型是隐藏状态。玩家提前知道第三轮结束会发生换台，因此前三轮不仅要判断当前政府，还要为下一届政府保留调整空间。</w:t>
      </w:r>
    </w:p>
    <w:p w14:paraId="575A6C48">
      <w:pPr>
        <w:spacing w:before="80" w:after="40"/>
        <w:jc w:val="center"/>
      </w:pPr>
      <w:r>
        <w:drawing>
          <wp:inline distT="0" distB="0" distL="114300" distR="114300">
            <wp:extent cx="5897880" cy="2653665"/>
            <wp:effectExtent l="0" t="0" r="762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2654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218A">
      <w:pPr>
        <w:keepNext w:val="0"/>
        <w:spacing w:before="80" w:after="200"/>
        <w:jc w:val="left"/>
      </w:pPr>
      <w:r>
        <w:rPr>
          <w:rFonts w:ascii="微软雅黑" w:hAnsi="微软雅黑" w:eastAsia="微软雅黑"/>
          <w:color w:val="566267"/>
          <w:sz w:val="18"/>
        </w:rPr>
        <w:t>图 1  六轮结构与美国执政联盟更替</w:t>
      </w:r>
    </w:p>
    <w:p w14:paraId="7DA8B42E">
      <w:pPr>
        <w:keepNext/>
        <w:spacing w:before="40" w:after="80"/>
        <w:jc w:val="left"/>
      </w:pPr>
      <w:r>
        <w:rPr>
          <w:rFonts w:ascii="微软雅黑" w:hAnsi="微软雅黑" w:eastAsia="微软雅黑"/>
          <w:color w:val="566267"/>
          <w:sz w:val="18"/>
        </w:rPr>
        <w:t>表 3  各阶段玩法重点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0B02CC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44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213D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784571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阶段</w:t>
            </w:r>
          </w:p>
        </w:tc>
        <w:tc>
          <w:tcPr>
            <w:tcW w:w="3168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213D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88354E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美国状态</w:t>
            </w:r>
          </w:p>
        </w:tc>
        <w:tc>
          <w:tcPr>
            <w:tcW w:w="4752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213D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838546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玩家任务</w:t>
            </w:r>
          </w:p>
        </w:tc>
      </w:tr>
      <w:tr w14:paraId="51DA28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333350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91F22"/>
                <w:sz w:val="18"/>
              </w:rPr>
              <w:t>第 1 至 3 轮</w:t>
            </w:r>
          </w:p>
        </w:tc>
        <w:tc>
          <w:tcPr>
            <w:tcW w:w="3168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4C37A3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8"/>
              </w:rPr>
              <w:t>旧政府隐藏类型稳定</w:t>
            </w:r>
          </w:p>
        </w:tc>
        <w:tc>
          <w:tcPr>
            <w:tcW w:w="4752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D915E8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8"/>
              </w:rPr>
              <w:t>积累证据，判断旧政府，控制供应链暴露。</w:t>
            </w:r>
          </w:p>
        </w:tc>
      </w:tr>
      <w:tr w14:paraId="0ADCF0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63515D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91F22"/>
                <w:sz w:val="18"/>
              </w:rPr>
              <w:t>第 3 轮结束</w:t>
            </w:r>
          </w:p>
        </w:tc>
        <w:tc>
          <w:tcPr>
            <w:tcW w:w="3168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FDC886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8"/>
              </w:rPr>
              <w:t>执政联盟更替公开</w:t>
            </w:r>
          </w:p>
        </w:tc>
        <w:tc>
          <w:tcPr>
            <w:tcW w:w="4752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9D96CE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8"/>
              </w:rPr>
              <w:t>观察选举结果、新政府纲领和人事信号。</w:t>
            </w:r>
          </w:p>
        </w:tc>
      </w:tr>
      <w:tr w14:paraId="379712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1DC8E5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91F22"/>
                <w:sz w:val="18"/>
              </w:rPr>
              <w:t>第 4 轮</w:t>
            </w:r>
          </w:p>
        </w:tc>
        <w:tc>
          <w:tcPr>
            <w:tcW w:w="3168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998EB7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8"/>
              </w:rPr>
              <w:t>新政府过渡，政策惯性</w:t>
            </w:r>
          </w:p>
        </w:tc>
        <w:tc>
          <w:tcPr>
            <w:tcW w:w="4752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93B448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8"/>
              </w:rPr>
              <w:t>重新判断新类型，决定等待或提前调整。</w:t>
            </w:r>
          </w:p>
        </w:tc>
      </w:tr>
      <w:tr w14:paraId="283BD6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FFEF7B2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91F22"/>
                <w:sz w:val="18"/>
              </w:rPr>
              <w:t>第 5 至 6 轮</w:t>
            </w:r>
          </w:p>
        </w:tc>
        <w:tc>
          <w:tcPr>
            <w:tcW w:w="3168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AD291A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8"/>
              </w:rPr>
              <w:t>新政府类型逐步稳定</w:t>
            </w:r>
          </w:p>
        </w:tc>
        <w:tc>
          <w:tcPr>
            <w:tcW w:w="4752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19F2BA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8"/>
              </w:rPr>
              <w:t>利用已经形成的路径，争取最终目标。</w:t>
            </w:r>
          </w:p>
        </w:tc>
      </w:tr>
    </w:tbl>
    <w:p w14:paraId="7740F428">
      <w:pPr>
        <w:spacing w:after="40"/>
      </w:pPr>
    </w:p>
    <w:p w14:paraId="5DF69FD0">
      <w:r>
        <w:t>新类型通过条件转移概率决定。旧政府类型、选举结果和第三轮经济状态共同影响新政府分布。第四轮保留政策惯性，避免一次事件把前三轮的判断和供应链影响全部抹掉。</w:t>
      </w:r>
    </w:p>
    <w:p w14:paraId="19BC9C94">
      <w:pPr>
        <w:pStyle w:val="16"/>
      </w:pPr>
      <w:r>
        <w:t>选举结果公开，但新政府真实类型继续隐藏。</w:t>
      </w:r>
    </w:p>
    <w:p w14:paraId="5EEF8211">
      <w:pPr>
        <w:pStyle w:val="16"/>
      </w:pPr>
      <w:r>
        <w:t>旧政府证据仍然保留，新政府证据在第四轮获得更高权重。</w:t>
      </w:r>
    </w:p>
    <w:p w14:paraId="7166D9B6">
      <w:pPr>
        <w:pStyle w:val="16"/>
      </w:pPr>
      <w:r>
        <w:t>第四轮只部分执行新政府偏好，第五轮起逐步稳定。</w:t>
      </w:r>
    </w:p>
    <w:p w14:paraId="2B85F113">
      <w:pPr>
        <w:pStyle w:val="3"/>
        <w:pageBreakBefore/>
      </w:pPr>
      <w:r>
        <w:t>三  参与主体与隐藏类型</w:t>
      </w:r>
    </w:p>
    <w:p w14:paraId="5A95CBC4">
      <w:pPr>
        <w:keepNext/>
        <w:spacing w:before="40" w:after="80"/>
        <w:jc w:val="left"/>
      </w:pPr>
      <w:r>
        <w:rPr>
          <w:rFonts w:ascii="微软雅黑" w:hAnsi="微软雅黑" w:eastAsia="微软雅黑"/>
          <w:color w:val="566267"/>
          <w:sz w:val="18"/>
        </w:rPr>
        <w:t>表 4  参与主体与行动逻辑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1468C7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232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213D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91EC43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主体</w:t>
            </w:r>
          </w:p>
        </w:tc>
        <w:tc>
          <w:tcPr>
            <w:tcW w:w="7632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213D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B77B68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行动逻辑</w:t>
            </w:r>
          </w:p>
        </w:tc>
      </w:tr>
      <w:tr w14:paraId="429E72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EBFA3A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91F22"/>
                <w:sz w:val="18"/>
              </w:rPr>
              <w:t>中国玩家</w:t>
            </w:r>
          </w:p>
        </w:tc>
        <w:tc>
          <w:tcPr>
            <w:tcW w:w="7632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5EA024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8"/>
              </w:rPr>
              <w:t>根据证据判断美国类型，选择政策组合和公开表态。</w:t>
            </w:r>
          </w:p>
        </w:tc>
      </w:tr>
      <w:tr w14:paraId="36AFE2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34323D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91F22"/>
                <w:sz w:val="18"/>
              </w:rPr>
              <w:t>美国政府 Agent</w:t>
            </w:r>
          </w:p>
        </w:tc>
        <w:tc>
          <w:tcPr>
            <w:tcW w:w="7632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B9C0F0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8"/>
              </w:rPr>
              <w:t>依据隐藏类型、国内压力、中国信号和历史承诺选择管制与协调政策。</w:t>
            </w:r>
          </w:p>
        </w:tc>
      </w:tr>
      <w:tr w14:paraId="1D0401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C7F5F7">
            <w:pPr>
              <w:spacing w:before="0" w:after="0" w:line="259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/>
                <w:color w:val="191F22"/>
                <w:sz w:val="18"/>
              </w:rPr>
              <w:t>荷兰、日本、韩国</w:t>
            </w:r>
            <w:r>
              <w:rPr>
                <w:rFonts w:hint="eastAsia"/>
                <w:b/>
                <w:color w:val="191F22"/>
                <w:sz w:val="18"/>
                <w:lang w:val="en-US" w:eastAsia="zh-CN"/>
              </w:rPr>
              <w:t>政府agent</w:t>
            </w:r>
          </w:p>
        </w:tc>
        <w:tc>
          <w:tcPr>
            <w:tcW w:w="7632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F2A8E9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8"/>
              </w:rPr>
              <w:t>依据商业暴露、美国压力、中国反制和本国产业收益选择配合强度。</w:t>
            </w:r>
          </w:p>
        </w:tc>
      </w:tr>
      <w:tr w14:paraId="340A3F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480872">
            <w:pPr>
              <w:spacing w:before="0" w:after="0" w:line="259" w:lineRule="auto"/>
              <w:jc w:val="left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/>
                <w:color w:val="191F22"/>
                <w:sz w:val="18"/>
              </w:rPr>
              <w:t>企业</w:t>
            </w:r>
            <w:r>
              <w:rPr>
                <w:rFonts w:hint="eastAsia"/>
                <w:b/>
                <w:color w:val="191F22"/>
                <w:sz w:val="18"/>
                <w:lang w:val="en-US" w:eastAsia="zh-CN"/>
              </w:rPr>
              <w:t>agent</w:t>
            </w:r>
          </w:p>
        </w:tc>
        <w:tc>
          <w:tcPr>
            <w:tcW w:w="7632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9A03EC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8"/>
              </w:rPr>
              <w:t>依据许可、利润、库存、客户和供应商关系调整经营。</w:t>
            </w:r>
          </w:p>
        </w:tc>
      </w:tr>
      <w:tr w14:paraId="133128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232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447EB9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91F22"/>
                <w:sz w:val="18"/>
              </w:rPr>
              <w:t>台积电</w:t>
            </w:r>
          </w:p>
        </w:tc>
        <w:tc>
          <w:tcPr>
            <w:tcW w:w="7632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6C30C35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8"/>
              </w:rPr>
              <w:t>依据产能、客户承诺、海外布局和管制风险分配产能。</w:t>
            </w:r>
          </w:p>
        </w:tc>
      </w:tr>
    </w:tbl>
    <w:p w14:paraId="32C567C6">
      <w:pPr>
        <w:spacing w:after="40"/>
      </w:pPr>
    </w:p>
    <w:p w14:paraId="4D7D2E7F">
      <w:pPr>
        <w:keepNext/>
        <w:spacing w:before="40" w:after="80"/>
        <w:jc w:val="left"/>
      </w:pPr>
      <w:r>
        <w:rPr>
          <w:rFonts w:ascii="微软雅黑" w:hAnsi="微软雅黑" w:eastAsia="微软雅黑"/>
          <w:color w:val="566267"/>
          <w:sz w:val="18"/>
        </w:rPr>
        <w:t>表 5  美国隐藏类型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09E980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213D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099F57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3168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213D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BB5BF9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核心偏好</w:t>
            </w:r>
          </w:p>
        </w:tc>
        <w:tc>
          <w:tcPr>
            <w:tcW w:w="4896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213D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05558E5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可观察行为</w:t>
            </w:r>
          </w:p>
        </w:tc>
      </w:tr>
      <w:tr w14:paraId="77C2D4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6FEB25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91F22"/>
                <w:sz w:val="18"/>
              </w:rPr>
              <w:t>安全优先型</w:t>
            </w:r>
          </w:p>
        </w:tc>
        <w:tc>
          <w:tcPr>
            <w:tcW w:w="3168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24C682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8"/>
              </w:rPr>
              <w:t>技术安全、盟友协调、长期限制</w:t>
            </w:r>
          </w:p>
        </w:tc>
        <w:tc>
          <w:tcPr>
            <w:tcW w:w="4896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08999C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8"/>
              </w:rPr>
              <w:t>扩大许可审查，增加执法预算，对产业损失容忍度高。</w:t>
            </w:r>
          </w:p>
        </w:tc>
      </w:tr>
      <w:tr w14:paraId="57A1FE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B6E69D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91F22"/>
                <w:sz w:val="18"/>
              </w:rPr>
              <w:t>产业敏感型</w:t>
            </w:r>
          </w:p>
        </w:tc>
        <w:tc>
          <w:tcPr>
            <w:tcW w:w="3168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FE410B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8"/>
              </w:rPr>
              <w:t>企业利润、就业、供应链稳定</w:t>
            </w:r>
          </w:p>
        </w:tc>
        <w:tc>
          <w:tcPr>
            <w:tcW w:w="4896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83C6AB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8"/>
              </w:rPr>
              <w:t>保留豁免，延迟执行，对国内产业压力反应强。</w:t>
            </w:r>
          </w:p>
        </w:tc>
      </w:tr>
      <w:tr w14:paraId="14D147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F18F01E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91F22"/>
                <w:sz w:val="18"/>
              </w:rPr>
              <w:t>条件交换型</w:t>
            </w:r>
          </w:p>
        </w:tc>
        <w:tc>
          <w:tcPr>
            <w:tcW w:w="3168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C61B89C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8"/>
              </w:rPr>
              <w:t>对等让步、盟友支持、政策交换</w:t>
            </w:r>
          </w:p>
        </w:tc>
        <w:tc>
          <w:tcPr>
            <w:tcW w:w="4896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57B2C0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8"/>
              </w:rPr>
              <w:t>根据中国让步和盟友协调改变管制强度。</w:t>
            </w:r>
          </w:p>
        </w:tc>
      </w:tr>
    </w:tbl>
    <w:p w14:paraId="63ECAF41">
      <w:pPr>
        <w:spacing w:after="40"/>
      </w:pPr>
    </w:p>
    <w:p w14:paraId="362D777B">
      <w:r>
        <w:t>类型决定 Agent 的效用权重和动作分布，不能只改变政策解释。类型在每届政府内保持稳定，第三轮结束时才允许发生一次有条件转换。</w:t>
      </w:r>
    </w:p>
    <w:p w14:paraId="3A42F038">
      <w:r>
        <w:t>玩家看到的是类型概率、证据来源和历史行为，不看到真实类型和内部权重。盟国政府和企业使用规则 Agent，第一版不增加它们的隐藏类型。</w:t>
      </w:r>
    </w:p>
    <w:p w14:paraId="38FCCC90">
      <w:pPr>
        <w:pStyle w:val="3"/>
        <w:pageBreakBefore/>
      </w:pPr>
      <w:r>
        <w:t>四  单轮互动流程</w:t>
      </w:r>
    </w:p>
    <w:p w14:paraId="19E894F3">
      <w:pPr>
        <w:keepNext/>
        <w:spacing w:before="40" w:after="80"/>
        <w:jc w:val="left"/>
      </w:pPr>
      <w:r>
        <w:rPr>
          <w:rFonts w:ascii="微软雅黑" w:hAnsi="微软雅黑" w:eastAsia="微软雅黑"/>
          <w:color w:val="566267"/>
          <w:sz w:val="18"/>
        </w:rPr>
        <w:t>表 6  单轮玩家操作流程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795FDF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2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213D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C4E477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步骤</w:t>
            </w:r>
          </w:p>
        </w:tc>
        <w:tc>
          <w:tcPr>
            <w:tcW w:w="4464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213D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783242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界面行为</w:t>
            </w:r>
          </w:p>
        </w:tc>
        <w:tc>
          <w:tcPr>
            <w:tcW w:w="3528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213D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0804EF3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玩家操作</w:t>
            </w:r>
          </w:p>
        </w:tc>
      </w:tr>
      <w:tr w14:paraId="689D2B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B65969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91F22"/>
                <w:sz w:val="17"/>
              </w:rPr>
              <w:t>1  事件出现</w:t>
            </w:r>
          </w:p>
        </w:tc>
        <w:tc>
          <w:tcPr>
            <w:tcW w:w="4464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1186D7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7"/>
              </w:rPr>
              <w:t>展示世界事件、来源、可信度和证据标签。</w:t>
            </w:r>
          </w:p>
        </w:tc>
        <w:tc>
          <w:tcPr>
            <w:tcW w:w="3528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C34199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7"/>
              </w:rPr>
              <w:t>阅读证据，不需要立即决策。</w:t>
            </w:r>
          </w:p>
        </w:tc>
      </w:tr>
      <w:tr w14:paraId="180043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AD9EC5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91F22"/>
                <w:sz w:val="17"/>
              </w:rPr>
              <w:t>2  类型研判</w:t>
            </w:r>
          </w:p>
        </w:tc>
        <w:tc>
          <w:tcPr>
            <w:tcW w:w="4464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554895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7"/>
              </w:rPr>
              <w:t>展示当前美国类型概率和证据板。</w:t>
            </w:r>
          </w:p>
        </w:tc>
        <w:tc>
          <w:tcPr>
            <w:tcW w:w="3528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67774C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7"/>
              </w:rPr>
              <w:t>把证据归入支持或反对某类型的假设。</w:t>
            </w:r>
          </w:p>
        </w:tc>
      </w:tr>
      <w:tr w14:paraId="377A8D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51D8B1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91F22"/>
                <w:sz w:val="17"/>
              </w:rPr>
              <w:t>3  锁定判断</w:t>
            </w:r>
          </w:p>
        </w:tc>
        <w:tc>
          <w:tcPr>
            <w:tcW w:w="4464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E06F7F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7"/>
              </w:rPr>
              <w:t>显示一道核心预测题。</w:t>
            </w:r>
          </w:p>
        </w:tc>
        <w:tc>
          <w:tcPr>
            <w:tcW w:w="3528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1BC615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7"/>
              </w:rPr>
              <w:t>给出概率并锁定，之后不能修改。</w:t>
            </w:r>
          </w:p>
        </w:tc>
      </w:tr>
      <w:tr w14:paraId="2C9E93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2879FA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91F22"/>
                <w:sz w:val="17"/>
              </w:rPr>
              <w:t>4  政策选择</w:t>
            </w:r>
          </w:p>
        </w:tc>
        <w:tc>
          <w:tcPr>
            <w:tcW w:w="4464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091B6A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7"/>
              </w:rPr>
              <w:t>展示三张主卡、AP、预算和分支结果。</w:t>
            </w:r>
          </w:p>
        </w:tc>
        <w:tc>
          <w:tcPr>
            <w:tcW w:w="3528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18C93E7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7"/>
              </w:rPr>
              <w:t>选择 1 至 2 张卡，形成政策组合。</w:t>
            </w:r>
          </w:p>
        </w:tc>
      </w:tr>
      <w:tr w14:paraId="2E92D1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80F11B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91F22"/>
                <w:sz w:val="17"/>
              </w:rPr>
              <w:t>5  公开表态</w:t>
            </w:r>
          </w:p>
        </w:tc>
        <w:tc>
          <w:tcPr>
            <w:tcW w:w="4464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F2783E3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7"/>
              </w:rPr>
              <w:t>强硬、模糊、合作三种措辞。</w:t>
            </w:r>
          </w:p>
        </w:tc>
        <w:tc>
          <w:tcPr>
            <w:tcW w:w="3528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958C669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7"/>
              </w:rPr>
              <w:t>选择是否释放信号，并承担可信度变化。</w:t>
            </w:r>
          </w:p>
        </w:tc>
      </w:tr>
      <w:tr w14:paraId="7F778C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7F1D82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91F22"/>
                <w:sz w:val="17"/>
              </w:rPr>
              <w:t>6  提交</w:t>
            </w:r>
          </w:p>
        </w:tc>
        <w:tc>
          <w:tcPr>
            <w:tcW w:w="4464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FBDB0A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7"/>
              </w:rPr>
              <w:t>确认预测、政策和表态。</w:t>
            </w:r>
          </w:p>
        </w:tc>
        <w:tc>
          <w:tcPr>
            <w:tcW w:w="3528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679C5F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7"/>
              </w:rPr>
              <w:t>提交后进入封闭结算。</w:t>
            </w:r>
          </w:p>
        </w:tc>
      </w:tr>
      <w:tr w14:paraId="171E4C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4296A4C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91F22"/>
                <w:sz w:val="17"/>
              </w:rPr>
              <w:t>7  行动揭示</w:t>
            </w:r>
          </w:p>
        </w:tc>
        <w:tc>
          <w:tcPr>
            <w:tcW w:w="4464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09C5E15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7"/>
              </w:rPr>
              <w:t>揭示美国政策、盟国反应和企业调整。</w:t>
            </w:r>
          </w:p>
        </w:tc>
        <w:tc>
          <w:tcPr>
            <w:tcW w:w="3528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DAE5BBE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7"/>
              </w:rPr>
              <w:t>观察，不进行操作。</w:t>
            </w:r>
          </w:p>
        </w:tc>
      </w:tr>
      <w:tr w14:paraId="2335F5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C2D64D1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91F22"/>
                <w:sz w:val="17"/>
              </w:rPr>
              <w:t>8  因果战报</w:t>
            </w:r>
          </w:p>
        </w:tc>
        <w:tc>
          <w:tcPr>
            <w:tcW w:w="4464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148265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7"/>
              </w:rPr>
              <w:t>显示前三影响、预测对比和信念更新。</w:t>
            </w:r>
          </w:p>
        </w:tc>
        <w:tc>
          <w:tcPr>
            <w:tcW w:w="3528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44BCC66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7"/>
              </w:rPr>
              <w:t>判断本轮推理是否成立。</w:t>
            </w:r>
          </w:p>
        </w:tc>
      </w:tr>
      <w:tr w14:paraId="4E6C3A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82900F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91F22"/>
                <w:sz w:val="17"/>
              </w:rPr>
              <w:t>9  下轮准备</w:t>
            </w:r>
          </w:p>
        </w:tc>
        <w:tc>
          <w:tcPr>
            <w:tcW w:w="4464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A9471C0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7"/>
              </w:rPr>
              <w:t>显示下轮预警和阶段目标。</w:t>
            </w:r>
          </w:p>
        </w:tc>
        <w:tc>
          <w:tcPr>
            <w:tcW w:w="3528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EF203A1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7"/>
              </w:rPr>
              <w:t>决定继续坚持还是调整战略。</w:t>
            </w:r>
          </w:p>
        </w:tc>
      </w:tr>
    </w:tbl>
    <w:p w14:paraId="6FC35B1C">
      <w:pPr>
        <w:spacing w:after="40"/>
      </w:pPr>
    </w:p>
    <w:p w14:paraId="64F13734">
      <w:r>
        <w:t>判断必须先于政策选择。这样玩家会先思考美国可能的行动，再判断哪张政策卡最能承受不同类型分支，而不是根据即时收益直接挑选最强政策。</w:t>
      </w:r>
    </w:p>
    <w:p w14:paraId="6EFC7C3C">
      <w:pPr>
        <w:pStyle w:val="4"/>
      </w:pPr>
      <w:r>
        <w:t>判断力计分</w:t>
      </w:r>
    </w:p>
    <w:p w14:paraId="17F2FAEF">
      <w:r>
        <w:t>玩家的预测与实际结果单独形成判断力评分，不计入国家绩效。概率越接近实际结果，评分越高；如果预测错误但政策在另一分支下仍可承受，复盘会分别评价“判断质量”和“决策质量”。</w:t>
      </w:r>
    </w:p>
    <w:p w14:paraId="11407B92">
      <w:pPr>
        <w:pStyle w:val="16"/>
      </w:pPr>
      <w:r>
        <w:t>每轮记录玩家给出的概率、美国实际行为和系统后验。</w:t>
      </w:r>
    </w:p>
    <w:p w14:paraId="41060B84">
      <w:pPr>
        <w:pStyle w:val="16"/>
      </w:pPr>
      <w:r>
        <w:t>结算后显示预测误差，并保留最近三轮的判断趋势。</w:t>
      </w:r>
    </w:p>
    <w:p w14:paraId="70E1B661">
      <w:pPr>
        <w:pStyle w:val="16"/>
      </w:pPr>
      <w:r>
        <w:t>判断力评分只用于复盘和教学，不替代国家绩效。</w:t>
      </w:r>
    </w:p>
    <w:p w14:paraId="5C406174">
      <w:pPr>
        <w:pStyle w:val="3"/>
        <w:pageBreakBefore/>
      </w:pPr>
      <w:r>
        <w:t>五  决策界面与证据板</w:t>
      </w:r>
    </w:p>
    <w:p w14:paraId="0A00CB5A">
      <w:r>
        <w:t>主界面保持一屏决策。左侧供应链地图承担局势读取，右侧情报板承担不确定性，底部政策卡承担行动选择。玩家不需要在多个页面之间来回寻找信息。</w:t>
      </w:r>
    </w:p>
    <w:p w14:paraId="35A72F8B">
      <w:pPr>
        <w:spacing w:before="80" w:after="40"/>
        <w:jc w:val="center"/>
      </w:pPr>
      <w:r>
        <w:drawing>
          <wp:inline distT="0" distB="0" distL="114300" distR="114300">
            <wp:extent cx="5897880" cy="4128135"/>
            <wp:effectExtent l="0" t="0" r="762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128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352AE">
      <w:pPr>
        <w:keepNext w:val="0"/>
        <w:spacing w:before="80" w:after="200"/>
        <w:jc w:val="left"/>
      </w:pPr>
      <w:r>
        <w:rPr>
          <w:rFonts w:ascii="微软雅黑" w:hAnsi="微软雅黑" w:eastAsia="微软雅黑"/>
          <w:color w:val="566267"/>
          <w:sz w:val="18"/>
        </w:rPr>
        <w:t>图 2  新政府过渡期的决策主界面示意</w:t>
      </w:r>
    </w:p>
    <w:p w14:paraId="6DF59F12">
      <w:pPr>
        <w:pStyle w:val="4"/>
      </w:pPr>
      <w:r>
        <w:t>界面区域</w:t>
      </w:r>
    </w:p>
    <w:p w14:paraId="50696B67">
      <w:pPr>
        <w:pStyle w:val="16"/>
      </w:pPr>
      <w:r>
        <w:t>顶部：轮次、阶段任务、三项角色指标和当前政权状态。</w:t>
      </w:r>
    </w:p>
    <w:p w14:paraId="7769B4BF">
      <w:pPr>
        <w:pStyle w:val="16"/>
      </w:pPr>
      <w:r>
        <w:t>左侧：供应链地图、瓶颈节点和三类镜头。</w:t>
      </w:r>
    </w:p>
    <w:p w14:paraId="27E4421F">
      <w:pPr>
        <w:pStyle w:val="16"/>
      </w:pPr>
      <w:r>
        <w:t>右侧：公开信号、证据标签、类型概率和本轮预测。</w:t>
      </w:r>
    </w:p>
    <w:p w14:paraId="077B9453">
      <w:pPr>
        <w:pStyle w:val="16"/>
      </w:pPr>
      <w:r>
        <w:t>底部：三张政策卡、AP、预算、公开表态和提交按钮。</w:t>
      </w:r>
    </w:p>
    <w:p w14:paraId="616FC788">
      <w:r>
        <w:t>大选后旧证据保留在证据板上并标记为“旧政府时期”，新证据优先更新当前判断。玩家可以展开完整证据历史，但主屏只显示最近三条。</w:t>
      </w:r>
    </w:p>
    <w:p w14:paraId="564BBF0A">
      <w:pPr>
        <w:pStyle w:val="3"/>
        <w:pageBreakBefore/>
      </w:pPr>
      <w:r>
        <w:t>六  受控情境生成</w:t>
      </w:r>
    </w:p>
    <w:p w14:paraId="57625BD8">
      <w:r>
        <w:t>情境可以随机生成，但必须受规则约束。随机的是本轮出现哪类证据，不是大模型凭空发明一个与状态无关的新事实。</w:t>
      </w:r>
    </w:p>
    <w:p w14:paraId="06F30D12">
      <w:pPr>
        <w:keepNext/>
        <w:spacing w:before="40" w:after="80"/>
        <w:jc w:val="left"/>
      </w:pPr>
      <w:r>
        <w:rPr>
          <w:rFonts w:ascii="微软雅黑" w:hAnsi="微软雅黑" w:eastAsia="微软雅黑"/>
          <w:color w:val="566267"/>
          <w:sz w:val="18"/>
        </w:rPr>
        <w:t>表 7  三类决策依据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22CEDB4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44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213D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7660314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  <w:tc>
          <w:tcPr>
            <w:tcW w:w="4608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213D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2FD424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示例</w:t>
            </w:r>
          </w:p>
        </w:tc>
        <w:tc>
          <w:tcPr>
            <w:tcW w:w="3312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213D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8B234E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对判断的作用</w:t>
            </w:r>
          </w:p>
        </w:tc>
      </w:tr>
      <w:tr w14:paraId="467B69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2C45A8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91F22"/>
                <w:sz w:val="18"/>
              </w:rPr>
              <w:t>世界事件</w:t>
            </w:r>
          </w:p>
        </w:tc>
        <w:tc>
          <w:tcPr>
            <w:tcW w:w="4608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3259E0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8"/>
              </w:rPr>
              <w:t>出口数据异常、设备订单积压、企业盈利变化</w:t>
            </w:r>
          </w:p>
        </w:tc>
        <w:tc>
          <w:tcPr>
            <w:tcW w:w="3312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C7F95C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8"/>
              </w:rPr>
              <w:t>提供产业状态线索，不直接说明美国类型。</w:t>
            </w:r>
          </w:p>
        </w:tc>
      </w:tr>
      <w:tr w14:paraId="2DEF49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FA8902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91F22"/>
                <w:sz w:val="18"/>
              </w:rPr>
              <w:t>Agent 信号</w:t>
            </w:r>
          </w:p>
        </w:tc>
        <w:tc>
          <w:tcPr>
            <w:tcW w:w="4608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EC6239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8"/>
              </w:rPr>
              <w:t>官员讲话、盟友磋商、匿名泄密、政策吹风</w:t>
            </w:r>
          </w:p>
        </w:tc>
        <w:tc>
          <w:tcPr>
            <w:tcW w:w="3312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A739B9A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8"/>
              </w:rPr>
              <w:t>可能提供意图线索，也可能是虚张声势。</w:t>
            </w:r>
          </w:p>
        </w:tc>
      </w:tr>
      <w:tr w14:paraId="0E4F6D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F3F36C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91F22"/>
                <w:sz w:val="18"/>
              </w:rPr>
              <w:t>已发生行动</w:t>
            </w:r>
          </w:p>
        </w:tc>
        <w:tc>
          <w:tcPr>
            <w:tcW w:w="4608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CEBFF7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8"/>
              </w:rPr>
              <w:t>扩大许可审查、给予豁免、增加执法预算</w:t>
            </w:r>
          </w:p>
        </w:tc>
        <w:tc>
          <w:tcPr>
            <w:tcW w:w="3312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137F03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8"/>
              </w:rPr>
              <w:t>最强行为证据，结算后更新类型概率。</w:t>
            </w:r>
          </w:p>
        </w:tc>
      </w:tr>
    </w:tbl>
    <w:p w14:paraId="1E8B10E6">
      <w:pPr>
        <w:spacing w:after="40"/>
      </w:pPr>
    </w:p>
    <w:p w14:paraId="1C1B4614">
      <w:pPr>
        <w:pStyle w:val="4"/>
      </w:pPr>
      <w:r>
        <w:t>生成流程</w:t>
      </w:r>
    </w:p>
    <w:p w14:paraId="6428C646">
      <w:pPr>
        <w:pStyle w:val="16"/>
      </w:pPr>
      <w:r>
        <w:t>规则引擎根据当前状态、美国类型和事件权重选取结构化事件模板。</w:t>
      </w:r>
    </w:p>
    <w:p w14:paraId="23A267FB">
      <w:pPr>
        <w:pStyle w:val="16"/>
      </w:pPr>
      <w:r>
        <w:t>模板携带来源类型、可信度、可见事实、证据标签和似然参数。</w:t>
      </w:r>
    </w:p>
    <w:p w14:paraId="5FA42113">
      <w:pPr>
        <w:pStyle w:val="16"/>
      </w:pPr>
      <w:r>
        <w:t>大模型根据模板生成新闻、讲话、企业公告或简报文本。</w:t>
      </w:r>
    </w:p>
    <w:p w14:paraId="6411026B">
      <w:pPr>
        <w:pStyle w:val="16"/>
      </w:pPr>
      <w:r>
        <w:t>校验器检查文本没有泄露真实类型，也没有新增数字、事实和行为主体。</w:t>
      </w:r>
    </w:p>
    <w:p w14:paraId="23FB13A1">
      <w:pPr>
        <w:pStyle w:val="16"/>
      </w:pPr>
      <w:r>
        <w:t>界面把结构化事实和生成文本合成为情报卡，交给玩家判断。</w:t>
      </w:r>
    </w:p>
    <w:p w14:paraId="3365AB48">
      <w:pPr>
        <w:pStyle w:val="16"/>
      </w:pPr>
      <w:r>
        <w:t>结算后由规则引擎使用似然参数更新类型概率，不由大模型输出概率。</w:t>
      </w:r>
    </w:p>
    <w:p w14:paraId="3BAAACC2">
      <w:r>
        <w:t>每局使用固定随机种子。相同种子、相同政策和相同类型应产生可复盘的情境序列，以便调试、平衡和比较不同玩家策略。</w:t>
      </w:r>
    </w:p>
    <w:p w14:paraId="7C8DB1AD">
      <w:pPr>
        <w:pStyle w:val="4"/>
      </w:pPr>
      <w:r>
        <w:t>示例情报卡</w:t>
      </w:r>
    </w:p>
    <w:p w14:paraId="4C8279CC">
      <w:r>
        <w:rPr>
          <w:b/>
        </w:rPr>
        <w:t>结构化事实：</w:t>
      </w:r>
      <w:r>
        <w:t>美国推动日本和荷兰统一敏感设备许可口径；来源为盟友政策简报；可信度 70%；证据标签为盟友协调、管制升级；影响美国设备许可和中国材料许可。</w:t>
      </w:r>
    </w:p>
    <w:p w14:paraId="4E8E8E58">
      <w:r>
        <w:rPr>
          <w:b/>
        </w:rPr>
        <w:t>生成文本：</w:t>
      </w:r>
      <w:r>
        <w:t>美国正要求日本和荷兰统一敏感设备许可口径。多名参与磋商的人士称，美方希望在下轮政策调整前完成协调。</w:t>
      </w:r>
    </w:p>
    <w:p w14:paraId="78B55551">
      <w:pPr>
        <w:pStyle w:val="3"/>
        <w:pageBreakBefore/>
      </w:pPr>
      <w:r>
        <w:t>七  局部博弈树与 Agent 架构</w:t>
      </w:r>
    </w:p>
    <w:p w14:paraId="5EDE05BF">
      <w:r>
        <w:t>完整六轮五方博弈树不适合在浏览器中实时求解。游戏使用局部博弈树，只展开当前政策、美国类型和第三方主要反应。</w:t>
      </w:r>
    </w:p>
    <w:p w14:paraId="2B503F93">
      <w:pPr>
        <w:spacing w:before="80" w:after="40"/>
        <w:jc w:val="center"/>
      </w:pPr>
      <w:r>
        <w:drawing>
          <wp:inline distT="0" distB="0" distL="114300" distR="114300">
            <wp:extent cx="5897880" cy="3317240"/>
            <wp:effectExtent l="0" t="0" r="7620" b="1016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3317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E3049">
      <w:pPr>
        <w:keepNext w:val="0"/>
        <w:spacing w:before="80" w:after="200"/>
        <w:jc w:val="left"/>
      </w:pPr>
      <w:r>
        <w:rPr>
          <w:rFonts w:ascii="微软雅黑" w:hAnsi="微软雅黑" w:eastAsia="微软雅黑"/>
          <w:color w:val="566267"/>
          <w:sz w:val="18"/>
        </w:rPr>
        <w:t>图 3  Agent 决策与局部博弈树流程</w:t>
      </w:r>
    </w:p>
    <w:p w14:paraId="40DAD354">
      <w:pPr>
        <w:keepNext/>
        <w:spacing w:before="40" w:after="80"/>
        <w:jc w:val="left"/>
      </w:pPr>
      <w:r>
        <w:rPr>
          <w:rFonts w:ascii="微软雅黑" w:hAnsi="微软雅黑" w:eastAsia="微软雅黑"/>
          <w:color w:val="566267"/>
          <w:sz w:val="18"/>
        </w:rPr>
        <w:t>表 8  博弈树的两种用途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3890DBE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213D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015DBDD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层级</w:t>
            </w:r>
          </w:p>
        </w:tc>
        <w:tc>
          <w:tcPr>
            <w:tcW w:w="4392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213D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7C6108F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内容</w:t>
            </w:r>
          </w:p>
        </w:tc>
        <w:tc>
          <w:tcPr>
            <w:tcW w:w="3672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213D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B335C88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7"/>
              </w:rPr>
              <w:t>使用方式</w:t>
            </w:r>
          </w:p>
        </w:tc>
      </w:tr>
      <w:tr w14:paraId="2E8320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C1D4589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91F22"/>
                <w:sz w:val="17"/>
              </w:rPr>
              <w:t>实时局部树</w:t>
            </w:r>
          </w:p>
        </w:tc>
        <w:tc>
          <w:tcPr>
            <w:tcW w:w="4392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BDC546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7"/>
              </w:rPr>
              <w:t>中国候选政策 × 美国类型 × 第三方反应</w:t>
            </w:r>
          </w:p>
        </w:tc>
        <w:tc>
          <w:tcPr>
            <w:tcW w:w="3672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6E1D33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7"/>
              </w:rPr>
              <w:t>生成分支结果、最低结果和期望结果。</w:t>
            </w:r>
          </w:p>
        </w:tc>
      </w:tr>
      <w:tr w14:paraId="187DB3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3E173E5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91F22"/>
                <w:sz w:val="17"/>
              </w:rPr>
              <w:t>离线完整模型</w:t>
            </w:r>
          </w:p>
        </w:tc>
        <w:tc>
          <w:tcPr>
            <w:tcW w:w="4392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8CD861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7"/>
              </w:rPr>
              <w:t>六轮状态、历史、类型转换和全部候选动作</w:t>
            </w:r>
          </w:p>
        </w:tc>
        <w:tc>
          <w:tcPr>
            <w:tcW w:w="3672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5AF222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7"/>
              </w:rPr>
              <w:t>PBE、CFR、逆向归纳和参数平衡测试。</w:t>
            </w:r>
          </w:p>
        </w:tc>
      </w:tr>
      <w:tr w14:paraId="62C3D2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8A07268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91F22"/>
                <w:sz w:val="17"/>
              </w:rPr>
              <w:t>玩家界面</w:t>
            </w:r>
          </w:p>
        </w:tc>
        <w:tc>
          <w:tcPr>
            <w:tcW w:w="4392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1B86C9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7"/>
              </w:rPr>
              <w:t>两到三条主要分支</w:t>
            </w:r>
          </w:p>
        </w:tc>
        <w:tc>
          <w:tcPr>
            <w:tcW w:w="3672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AE6915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7"/>
              </w:rPr>
              <w:t>帮助玩家理解不确定性，不展示内部求解细节。</w:t>
            </w:r>
          </w:p>
        </w:tc>
      </w:tr>
    </w:tbl>
    <w:p w14:paraId="4F38E438">
      <w:pPr>
        <w:spacing w:after="40"/>
      </w:pPr>
    </w:p>
    <w:p w14:paraId="7C90E5F8">
      <w:r>
        <w:t>每个 Agent 至少包含私有类型、当前信念、记忆、合法动作集和效用权重。美国 Agent 依据当前类型和公开信号选择政策，盟国与企业 Agent 依据政策结果和自身状态反应。</w:t>
      </w:r>
    </w:p>
    <w:p w14:paraId="7999973E">
      <w:r>
        <w:t>大选换台后，美国 Agent 的类型和效用权重更新，但政策承诺、既有管制和企业预期保留。第四轮只部分执行新政府偏好，形成一轮可观察的政策惯性。</w:t>
      </w:r>
    </w:p>
    <w:p w14:paraId="534DE5B5">
      <w:pPr>
        <w:pStyle w:val="3"/>
        <w:pageBreakBefore/>
      </w:pPr>
      <w:r>
        <w:t>八  目标函数与 Agent 效用</w:t>
      </w:r>
    </w:p>
    <w:p w14:paraId="59F34239">
      <w:r>
        <w:t>文档 2 的收益函数保留为世界结算层。三种角色分别评价联合限制收益、商业损失、资源损失、施压成本、配合收益和自身反制成本。六轮总分用于结局评价与情景比较。</w:t>
      </w:r>
    </w:p>
    <w:p w14:paraId="13A26E2A">
      <w:pPr>
        <w:keepNext/>
        <w:spacing w:before="40" w:after="80"/>
        <w:jc w:val="left"/>
      </w:pPr>
      <w:r>
        <w:rPr>
          <w:rFonts w:ascii="微软雅黑" w:hAnsi="微软雅黑" w:eastAsia="微软雅黑"/>
          <w:color w:val="566267"/>
          <w:sz w:val="18"/>
        </w:rPr>
        <w:t>表 9  国家结算层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25055D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60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213D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FF7FA6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w="7704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213D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BB5B22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收益构成</w:t>
            </w:r>
          </w:p>
        </w:tc>
      </w:tr>
      <w:tr w14:paraId="621F9D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20AF482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91F22"/>
                <w:sz w:val="18"/>
              </w:rPr>
              <w:t>美国</w:t>
            </w:r>
          </w:p>
        </w:tc>
        <w:tc>
          <w:tcPr>
            <w:tcW w:w="7704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4F9AEB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8"/>
              </w:rPr>
              <w:t>联合限制战略收益 - 商业暴露成本 - 资源成本 - 施压执行成本</w:t>
            </w:r>
          </w:p>
        </w:tc>
      </w:tr>
      <w:tr w14:paraId="3D7F01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0A496C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91F22"/>
                <w:sz w:val="18"/>
              </w:rPr>
              <w:t>荷兰、日本、韩国</w:t>
            </w:r>
          </w:p>
        </w:tc>
        <w:tc>
          <w:tcPr>
            <w:tcW w:w="7704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462DAC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8"/>
              </w:rPr>
              <w:t>配合收益 - 商业暴露成本 - 资源成本 - 不配合成本</w:t>
            </w:r>
          </w:p>
        </w:tc>
      </w:tr>
      <w:tr w14:paraId="1B27B2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D0B1CC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91F22"/>
                <w:sz w:val="18"/>
              </w:rPr>
              <w:t>中国</w:t>
            </w:r>
          </w:p>
        </w:tc>
        <w:tc>
          <w:tcPr>
            <w:tcW w:w="7704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3C3D6B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8"/>
              </w:rPr>
              <w:t>负联合限制强度 - 自身资源反制成本</w:t>
            </w:r>
          </w:p>
        </w:tc>
      </w:tr>
    </w:tbl>
    <w:p w14:paraId="202D0822">
      <w:pPr>
        <w:spacing w:after="40"/>
      </w:pPr>
    </w:p>
    <w:p w14:paraId="69EEB406">
      <w:r>
        <w:t>国家结算分不能直接作为 Agent 的唯一奖励。中国的结算收益中，反制只增加自身成本，完全理性的最后一轮会选择零反制。因此还需增加独立的 Agent 决策效用。</w:t>
      </w:r>
    </w:p>
    <w:p w14:paraId="1A7CB46A">
      <w:pPr>
        <w:keepNext/>
        <w:spacing w:before="40" w:after="80"/>
        <w:jc w:val="left"/>
      </w:pPr>
      <w:r>
        <w:rPr>
          <w:rFonts w:ascii="微软雅黑" w:hAnsi="微软雅黑" w:eastAsia="微软雅黑"/>
          <w:color w:val="566267"/>
          <w:sz w:val="18"/>
        </w:rPr>
        <w:t>表 10  国家绩效与 Agent 效用的分工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59AA10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44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213D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17CCF75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概念</w:t>
            </w:r>
          </w:p>
        </w:tc>
        <w:tc>
          <w:tcPr>
            <w:tcW w:w="6120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213D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5E5ACF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用途</w:t>
            </w:r>
          </w:p>
        </w:tc>
        <w:tc>
          <w:tcPr>
            <w:tcW w:w="1800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213D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D017789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是否公开</w:t>
            </w:r>
          </w:p>
        </w:tc>
      </w:tr>
      <w:tr w14:paraId="342E29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83B23F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91F22"/>
                <w:sz w:val="18"/>
              </w:rPr>
              <w:t>国家绩效</w:t>
            </w:r>
          </w:p>
        </w:tc>
        <w:tc>
          <w:tcPr>
            <w:tcW w:w="6120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CC9E99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8"/>
              </w:rPr>
              <w:t>评价一局结果，生成总分、分项和结局等级。</w:t>
            </w:r>
          </w:p>
        </w:tc>
        <w:tc>
          <w:tcPr>
            <w:tcW w:w="1800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EA01316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8"/>
              </w:rPr>
              <w:t>结算后公开。</w:t>
            </w:r>
          </w:p>
        </w:tc>
      </w:tr>
      <w:tr w14:paraId="19400E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677354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91F22"/>
                <w:sz w:val="18"/>
              </w:rPr>
              <w:t>Agent 效用</w:t>
            </w:r>
          </w:p>
        </w:tc>
        <w:tc>
          <w:tcPr>
            <w:tcW w:w="6120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59E3A1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8"/>
              </w:rPr>
              <w:t>驱动隐藏类型的行为选择，可包含安全、产业、外交、声誉等权重。</w:t>
            </w:r>
          </w:p>
        </w:tc>
        <w:tc>
          <w:tcPr>
            <w:tcW w:w="1800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80F719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8"/>
              </w:rPr>
              <w:t>不公开具体权重。</w:t>
            </w:r>
          </w:p>
        </w:tc>
      </w:tr>
    </w:tbl>
    <w:p w14:paraId="65EB0305">
      <w:pPr>
        <w:spacing w:after="40"/>
      </w:pPr>
    </w:p>
    <w:p w14:paraId="71FC80D2">
      <w:pPr>
        <w:keepNext/>
        <w:spacing w:before="40" w:after="80"/>
        <w:jc w:val="left"/>
      </w:pPr>
      <w:r>
        <w:rPr>
          <w:rFonts w:ascii="微软雅黑" w:hAnsi="微软雅黑" w:eastAsia="微软雅黑"/>
          <w:color w:val="566267"/>
          <w:sz w:val="18"/>
        </w:rPr>
        <w:t>表 11  类型权重的主要差异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 w14:paraId="4F805A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44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213D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F64B789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类型</w:t>
            </w:r>
          </w:p>
        </w:tc>
        <w:tc>
          <w:tcPr>
            <w:tcW w:w="4320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213D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F10F078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高权重目标</w:t>
            </w:r>
          </w:p>
        </w:tc>
        <w:tc>
          <w:tcPr>
            <w:tcW w:w="3600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213D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6D81DF4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低权重目标</w:t>
            </w:r>
          </w:p>
        </w:tc>
      </w:tr>
      <w:tr w14:paraId="4E64A92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14046C0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91F22"/>
                <w:sz w:val="18"/>
              </w:rPr>
              <w:t>安全优先型</w:t>
            </w:r>
          </w:p>
        </w:tc>
        <w:tc>
          <w:tcPr>
            <w:tcW w:w="4320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20294C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8"/>
              </w:rPr>
              <w:t>技术安全、联盟协调</w:t>
            </w:r>
          </w:p>
        </w:tc>
        <w:tc>
          <w:tcPr>
            <w:tcW w:w="3600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DA8BC9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8"/>
              </w:rPr>
              <w:t>企业短期利润</w:t>
            </w:r>
          </w:p>
        </w:tc>
      </w:tr>
      <w:tr w14:paraId="3253BA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CBC090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91F22"/>
                <w:sz w:val="18"/>
              </w:rPr>
              <w:t>产业敏感型</w:t>
            </w:r>
          </w:p>
        </w:tc>
        <w:tc>
          <w:tcPr>
            <w:tcW w:w="4320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DC8DBD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8"/>
              </w:rPr>
              <w:t>企业收入、就业、供应链稳定</w:t>
            </w:r>
          </w:p>
        </w:tc>
        <w:tc>
          <w:tcPr>
            <w:tcW w:w="3600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5CC6D1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8"/>
              </w:rPr>
              <w:t>长期技术限制收益</w:t>
            </w:r>
          </w:p>
        </w:tc>
      </w:tr>
      <w:tr w14:paraId="655C2F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D90351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91F22"/>
                <w:sz w:val="18"/>
              </w:rPr>
              <w:t>条件交换型</w:t>
            </w:r>
          </w:p>
        </w:tc>
        <w:tc>
          <w:tcPr>
            <w:tcW w:w="4320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576999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8"/>
              </w:rPr>
              <w:t>对等让步、政策交换、可信承诺</w:t>
            </w:r>
          </w:p>
        </w:tc>
        <w:tc>
          <w:tcPr>
            <w:tcW w:w="3600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842F22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8"/>
              </w:rPr>
              <w:t>单边升级收益</w:t>
            </w:r>
          </w:p>
        </w:tc>
      </w:tr>
    </w:tbl>
    <w:p w14:paraId="5F43608A">
      <w:pPr>
        <w:spacing w:after="40"/>
      </w:pPr>
    </w:p>
    <w:p w14:paraId="70B35B5F">
      <w:r>
        <w:t>大模型可以解释政策，也可以把类型权重转化为政策讲话。隐藏类型、概率、动作选择和收益结算必须由规则引擎完成。</w:t>
      </w:r>
    </w:p>
    <w:p w14:paraId="46E30083">
      <w:pPr>
        <w:pStyle w:val="3"/>
        <w:pageBreakBefore/>
      </w:pPr>
      <w:r>
        <w:t>九  结局评价与首版范围</w:t>
      </w:r>
    </w:p>
    <w:p w14:paraId="71219CD6">
      <w:pPr>
        <w:keepNext/>
        <w:spacing w:before="40" w:after="80"/>
        <w:jc w:val="left"/>
      </w:pPr>
      <w:r>
        <w:rPr>
          <w:rFonts w:ascii="微软雅黑" w:hAnsi="微软雅黑" w:eastAsia="微软雅黑"/>
          <w:color w:val="566267"/>
          <w:sz w:val="18"/>
        </w:rPr>
        <w:t>表 12  结局评价维度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39"/>
        <w:gridCol w:w="4939"/>
      </w:tblGrid>
      <w:tr w14:paraId="5FBF29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44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213D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F39DE4E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维度</w:t>
            </w:r>
          </w:p>
        </w:tc>
        <w:tc>
          <w:tcPr>
            <w:tcW w:w="7920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213D4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504CB81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评价内容</w:t>
            </w:r>
          </w:p>
        </w:tc>
      </w:tr>
      <w:tr w14:paraId="20A48E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079CE1A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91F22"/>
                <w:sz w:val="18"/>
              </w:rPr>
              <w:t>国家绩效</w:t>
            </w:r>
          </w:p>
        </w:tc>
        <w:tc>
          <w:tcPr>
            <w:tcW w:w="7920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17197D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8"/>
              </w:rPr>
              <w:t>可用算力、国产交付、产业压力、财政和供应链风险。</w:t>
            </w:r>
          </w:p>
        </w:tc>
      </w:tr>
      <w:tr w14:paraId="33CEA7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AC93AA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91F22"/>
                <w:sz w:val="18"/>
              </w:rPr>
              <w:t>判断质量</w:t>
            </w:r>
          </w:p>
        </w:tc>
        <w:tc>
          <w:tcPr>
            <w:tcW w:w="7920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C3401E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8"/>
              </w:rPr>
              <w:t>预测概率与实际结果的误差，以及证据使用的合理性。</w:t>
            </w:r>
          </w:p>
        </w:tc>
      </w:tr>
      <w:tr w14:paraId="1CCAD6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45319C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91F22"/>
                <w:sz w:val="18"/>
              </w:rPr>
              <w:t>适应能力</w:t>
            </w:r>
          </w:p>
        </w:tc>
        <w:tc>
          <w:tcPr>
            <w:tcW w:w="7920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FFFFF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5882BEA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8"/>
              </w:rPr>
              <w:t>大选后重新判断新政府并调整政策的速度与效果。</w:t>
            </w:r>
          </w:p>
        </w:tc>
      </w:tr>
      <w:tr w14:paraId="76B5B8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E286CAA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/>
                <w:color w:val="191F22"/>
                <w:sz w:val="18"/>
              </w:rPr>
              <w:t>政策路径</w:t>
            </w:r>
          </w:p>
        </w:tc>
        <w:tc>
          <w:tcPr>
            <w:tcW w:w="7920" w:type="dxa"/>
            <w:tcBorders>
              <w:top w:val="single" w:color="D5DEE1" w:sz="4" w:space="0"/>
              <w:left w:val="single" w:color="D5DEE1" w:sz="4" w:space="0"/>
              <w:bottom w:val="single" w:color="D5DEE1" w:sz="4" w:space="0"/>
              <w:right w:val="single" w:color="D5DEE1" w:sz="4" w:space="0"/>
              <w:insideH w:val="single" w:sz="4" w:space="0"/>
              <w:insideV w:val="single" w:sz="4" w:space="0"/>
            </w:tcBorders>
            <w:shd w:val="clear" w:color="auto" w:fill="F2F6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563056">
            <w:pPr>
              <w:spacing w:before="0" w:after="0" w:line="259" w:lineRule="auto"/>
              <w:jc w:val="left"/>
            </w:pPr>
            <w:r>
              <w:rPr>
                <w:rFonts w:ascii="微软雅黑" w:hAnsi="微软雅黑" w:eastAsia="微软雅黑"/>
                <w:b w:val="0"/>
                <w:color w:val="191F22"/>
                <w:sz w:val="18"/>
              </w:rPr>
              <w:t>前三轮选择造成的库存、供应链、盟友关系与承诺。</w:t>
            </w:r>
          </w:p>
        </w:tc>
      </w:tr>
    </w:tbl>
    <w:p w14:paraId="6392F9FC">
      <w:pPr>
        <w:spacing w:after="40"/>
      </w:pPr>
    </w:p>
    <w:p w14:paraId="77F9A8A6">
      <w:bookmarkStart w:id="0" w:name="_GoBack"/>
      <w:bookmarkEnd w:id="0"/>
    </w:p>
    <w:sectPr>
      <w:footerReference r:id="rId5" w:type="default"/>
      <w:pgSz w:w="12240" w:h="15840"/>
      <w:pgMar w:top="1123" w:right="1181" w:bottom="1094" w:left="1181" w:header="461" w:footer="461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CC09D2">
    <w:pPr>
      <w:pStyle w:val="24"/>
      <w:jc w:val="center"/>
    </w:pPr>
    <w:r>
      <w:rPr>
        <w:rFonts w:ascii="微软雅黑" w:hAnsi="微软雅黑" w:eastAsia="微软雅黑"/>
        <w:color w:val="566267"/>
        <w:sz w:val="16"/>
      </w:rPr>
      <w:t xml:space="preserve">芯片战争不完全信息动态博弈最终游戏设计方案  |  第 </w:t>
    </w:r>
    <w:r>
      <w:rPr>
        <w:rFonts w:ascii="微软雅黑" w:hAnsi="微软雅黑" w:eastAsia="微软雅黑"/>
        <w:color w:val="566267"/>
        <w:sz w:val="16"/>
      </w:rPr>
      <w:fldChar w:fldCharType="begin"/>
    </w:r>
    <w:r>
      <w:rPr>
        <w:rFonts w:ascii="微软雅黑" w:hAnsi="微软雅黑" w:eastAsia="微软雅黑"/>
        <w:color w:val="566267"/>
        <w:sz w:val="16"/>
      </w:rPr>
      <w:instrText xml:space="preserve"> PAGE </w:instrText>
    </w:r>
    <w:r>
      <w:rPr>
        <w:rFonts w:ascii="微软雅黑" w:hAnsi="微软雅黑" w:eastAsia="微软雅黑"/>
        <w:color w:val="566267"/>
        <w:sz w:val="16"/>
      </w:rPr>
      <w:fldChar w:fldCharType="separate"/>
    </w:r>
    <w:r>
      <w:rPr>
        <w:rFonts w:ascii="微软雅黑" w:hAnsi="微软雅黑" w:eastAsia="微软雅黑"/>
        <w:color w:val="566267"/>
        <w:sz w:val="16"/>
      </w:rPr>
      <w:fldChar w:fldCharType="end"/>
    </w:r>
    <w:r>
      <w:rPr>
        <w:rFonts w:ascii="微软雅黑" w:hAnsi="微软雅黑" w:eastAsia="微软雅黑"/>
        <w:color w:val="566267"/>
        <w:sz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7" w:lineRule="auto"/>
      </w:pPr>
      <w:r>
        <w:separator/>
      </w:r>
    </w:p>
  </w:footnote>
  <w:footnote w:type="continuationSeparator" w:id="1">
    <w:p>
      <w:pPr>
        <w:spacing w:before="0" w:after="0" w:line="317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6BF3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0" w:after="120" w:line="317" w:lineRule="auto"/>
    </w:pPr>
    <w:rPr>
      <w:rFonts w:ascii="微软雅黑" w:hAnsi="微软雅黑" w:eastAsia="微软雅黑" w:cstheme="minorBidi"/>
      <w:color w:val="191F22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320" w:after="160" w:line="264" w:lineRule="auto"/>
      <w:outlineLvl w:val="0"/>
    </w:pPr>
    <w:rPr>
      <w:rFonts w:asciiTheme="majorHAnsi" w:hAnsiTheme="majorHAnsi" w:eastAsiaTheme="majorEastAsia" w:cstheme="majorBidi"/>
      <w:b/>
      <w:bCs/>
      <w:color w:val="000000"/>
      <w:sz w:val="33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20" w:after="80" w:line="269" w:lineRule="auto"/>
      <w:outlineLvl w:val="1"/>
    </w:pPr>
    <w:rPr>
      <w:rFonts w:asciiTheme="majorHAnsi" w:hAnsiTheme="majorHAnsi" w:eastAsiaTheme="majorEastAsia" w:cstheme="majorBidi"/>
      <w:b/>
      <w:bCs/>
      <w:color w:val="000000"/>
      <w:sz w:val="25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160" w:after="60"/>
      <w:outlineLvl w:val="2"/>
    </w:pPr>
    <w:rPr>
      <w:rFonts w:asciiTheme="majorHAnsi" w:hAnsiTheme="majorHAnsi" w:eastAsiaTheme="majorEastAsia" w:cstheme="majorBidi"/>
      <w:b/>
      <w:bCs/>
      <w:color w:val="000000"/>
      <w:sz w:val="22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spacing w:after="80" w:line="300" w:lineRule="auto"/>
      <w:contextualSpacing/>
    </w:pPr>
    <w:rPr>
      <w:rFonts w:ascii="微软雅黑" w:hAnsi="微软雅黑" w:eastAsia="微软雅黑"/>
      <w:color w:val="191F22"/>
      <w:sz w:val="21"/>
    </w:r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spacing w:after="80" w:line="300" w:lineRule="auto"/>
      <w:contextualSpacing/>
    </w:pPr>
    <w:rPr>
      <w:rFonts w:ascii="微软雅黑" w:hAnsi="微软雅黑" w:eastAsia="微软雅黑"/>
      <w:color w:val="191F22"/>
      <w:sz w:val="21"/>
    </w:r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pPr>
      <w:spacing w:before="0" w:after="240" w:line="276" w:lineRule="auto"/>
    </w:pPr>
    <w:rPr>
      <w:rFonts w:asciiTheme="majorHAnsi" w:hAnsiTheme="majorHAnsi" w:eastAsiaTheme="majorEastAsia" w:cstheme="majorBidi"/>
      <w:iCs/>
      <w:color w:val="000000"/>
      <w:spacing w:val="15"/>
      <w:sz w:val="25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spacing w:before="0" w:after="280" w:line="252" w:lineRule="auto"/>
      <w:contextualSpacing/>
    </w:pPr>
    <w:rPr>
      <w:rFonts w:asciiTheme="majorHAnsi" w:hAnsiTheme="majorHAnsi" w:eastAsiaTheme="majorEastAsia" w:cstheme="majorBidi"/>
      <w:b/>
      <w:color w:val="000000"/>
      <w:spacing w:val="5"/>
      <w:kern w:val="28"/>
      <w:sz w:val="4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701</Words>
  <Characters>729</Characters>
  <Lines>0</Lines>
  <Paragraphs>0</Paragraphs>
  <TotalTime>11</TotalTime>
  <ScaleCrop>false</ScaleCrop>
  <LinksUpToDate>false</LinksUpToDate>
  <CharactersWithSpaces>763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杨祎然</dc:creator>
  <dc:description>generated by python-docx</dc:description>
  <cp:keywords>芯片战争, 不完全信息, 动态博弈, 智能体, 大模型, 游戏设计</cp:keywords>
  <cp:lastModifiedBy>杨祎然</cp:lastModifiedBy>
  <dcterms:modified xsi:type="dcterms:W3CDTF">2026-10-28T12:31:34Z</dcterms:modified>
  <dc:subject>游戏规则、交互流程、智能体架构与选举换台机制</dc:subject>
  <dc:title>芯片战争不完全信息动态博弈最终游戏设计方案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eyJoZGlkIjoiMjkxYzQwNDE3YjlkNDM4YmM4OWI4NzQwZGM5YmEyMWUiLCJ1c2VySWQiOiIxNjY5NjQ4MjI0In0=</vt:lpwstr>
  </property>
  <property fmtid="{D5CDD505-2E9C-101B-9397-08002B2CF9AE}" pid="3" name="KSOProductBuildVer">
    <vt:lpwstr>2052-12.1.0.29161</vt:lpwstr>
  </property>
  <property fmtid="{D5CDD505-2E9C-101B-9397-08002B2CF9AE}" pid="4" name="ICV">
    <vt:lpwstr>BE97C5772FEA43F7BC5BA3E551CA80CE_12</vt:lpwstr>
  </property>
</Properties>
</file>