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《第六届粤港澳大学生公共治理数据分析大赛》团队执行任务与工序依赖总表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555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18"/>
          <w:szCs w:val="18"/>
          <w:rtl w:val="0"/>
        </w:rPr>
        <w:t xml:space="preserve">（强化lkx技术工程支持与图表绘制、工序依赖无缝衔接、画像颗粒度暂挂起待定）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核心工序依赖关系（谁是谁的前序）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rtl w:val="0"/>
              </w:rPr>
              <w:t xml:space="preserve">阶段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rtl w:val="0"/>
              </w:rPr>
              <w:t xml:space="preserve">当前工作项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rtl w:val="0"/>
              </w:rPr>
              <w:t xml:space="preserve">执行人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rtl w:val="0"/>
              </w:rPr>
              <w:t xml:space="preserve">前序依赖任务（必须等谁完成）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rtl w:val="0"/>
              </w:rPr>
              <w:t xml:space="preserve">交付给谁（作为谁的前序）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6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前置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案例特征与分类统计图（图 2-1）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小徐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无（基于现有 33 起全量案例库直接出图）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交付主笔（嵌入报告第二章）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前置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微观评论情绪极性分析（图 3-1）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小徐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无（基于现有 comments_clean.csv 直接计算）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① 交付主笔（嵌入第三章）；② 情绪三段占比交付 lkx/主笔（供师姐确认画像）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前置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核心议题 LDA 主题聚类（图 3-2）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小徐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无（基于现有 comments_clean.csv 直接计算）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交付主笔（嵌入第三章）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前置 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研究样本特征描述三线表（表 3-1）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小徐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无（提取 sample_statistics.csv 整理导出）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交付主笔（嵌入第三章方法论）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前置 5（扩充）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技术路线图（图 1-1）与理论机制图绘制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color w:val="c5303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c53030"/>
                <w:sz w:val="18"/>
                <w:szCs w:val="18"/>
                <w:rtl w:val="0"/>
              </w:rPr>
              <w:t xml:space="preserve">lkx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无（基于报告整体研究框架直接制图）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交付主笔（嵌入报告第一章与第二章）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前置 6（扩充）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客观事实对照组数据清洗（表 2-2）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color w:val="c5303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c53030"/>
                <w:sz w:val="18"/>
                <w:szCs w:val="18"/>
                <w:rtl w:val="0"/>
              </w:rPr>
              <w:t xml:space="preserve">lkx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无（提取 platform3_objective_facts.csv 整理三线表）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交付主笔（嵌入第二章痛点对照）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中继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报告第一章、第二章正文起笔撰写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主笔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依赖小徐图 2-1、lkx 图 1-1 及表 2-2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全篇统稿底盘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中继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Agent 画像颗粒度与参数确认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主笔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依赖小徐产出的真实情绪分布区间（&lt;0.35, 0.35~0.65, &gt;0.65 比例）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主笔带数据向师姐确认后，向 lkx 下发最终画像指令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后续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Agent 仿真实验运行与对比制图（图 4-1、4-2）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lkx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严格依赖：必须等主笔向师姐确认画像颗粒度并下发指令后再跑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交付主笔（嵌入第四章）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后续 2（扩充）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多智能体传播网络拓扑机制图绘制（图 4-3）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color w:val="c5303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c53030"/>
                <w:sz w:val="18"/>
                <w:szCs w:val="18"/>
                <w:rtl w:val="0"/>
              </w:rPr>
              <w:t xml:space="preserve">lkx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依赖仿真网络参数配置（NetworkX 节点导出）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交付主笔（嵌入第四章）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后续 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报告第三章、第四章、第五章撰写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主笔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第三章依赖小徐图 3-1、图 3-2；第四章依赖 lkx 仿真图表及说明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形成报告全篇初稿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后续 4（扩充）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数智治理对策协同框架图绘制（图 5-1）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color w:val="c5303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c53030"/>
                <w:sz w:val="18"/>
                <w:szCs w:val="18"/>
                <w:rtl w:val="0"/>
              </w:rPr>
              <w:t xml:space="preserve">lkx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依赖主笔第五章治理机制要点（事前-事中-事后流程）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交付主笔（嵌入第五章）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终审 1（扩充）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图表统一高清渲染、排版嵌入与附录代码整理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b w:val="1"/>
                <w:bCs w:val="1"/>
                <w:color w:val="c5303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c53030"/>
                <w:sz w:val="18"/>
                <w:szCs w:val="18"/>
                <w:rtl w:val="0"/>
              </w:rPr>
              <w:t xml:space="preserve">lkx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全组图表汇总完毕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交付主笔进行合规核查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终审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全文逐段改写降重（&lt;15%）与全篇绝对匿名排查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主笔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依赖全篇图文素材合并完成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导出最终可编辑 PDF 提交成果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个人具体任务清单（只列执行动作）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【小徐】数据分析与图表产出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7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任务 1（图 2-1 制作）：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 33 起全量案例库，统计 AIGC 合成、旧闻拼接、恶意洗稿在四大场景的分布，导出横向堆叠条形图（PDF 矢量格式 + 300 DPI PNG 兜底）。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7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任务 2（图 3-1 制作与情绪数据提取）：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读取 comments_clean.csv，用 SnowNLP 计算评论情感得分（0~1分），按小时聚合计算均值，结合官方辟谣时间戳画出情绪时序折线图（标注发酵点与辟谣点）；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立即提取并交付数据：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统计情绪分 &lt;0.35、0.35~0.65、&gt;0.65 的三段实际百分比数值，发给主笔（用于向师姐确认 Agent 画像）。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7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任务 3（图 3-2 制作）：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 comments_clean.csv 运行 LDA 主题聚类（聚成 3 类议题：物资保供焦虑、人身交通险情、官方求证与谴责造谣），导出主题词分布图或词云图。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87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任务 4（表 3-1 制作）：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 sample_statistics.csv 整理样本总量、清洗剔除量、留存率、时间跨度，导出标准三线表 CSV。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【lkx】Agent 仿真推演与工程架构支撑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7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任务 1（前置制图与事实对照整理，立即启动）：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绘制图 1-1（研究技术路线图）：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Visio / draw.io 绘制从“多源数据抓取清洗 → SnowNLP/LDA实证挖掘 → Agent反事实推演 → 数智协同政策创新”的全篇技术路线流程图（矢量 PDF 格式）；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整理表 2-2（客观事实与虚假险情对照三线表）：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提取 platform3_objective_facts.csv 与 platform1_official_debunks.csv，整理出“虚假险情表述 vs 真实水文排涝/商超保供数据”的对比三线表 CSV。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（这个可以考虑一下你做还是小徐做，如果数据全部他处理比较方便的话那就小徐做，你们两个可以看一眼工作量决定）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7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任务 2（Agent 环境与网络机制图准备，画像暂不动）：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搭建 Python 运行环境（openai, pandas, matplotlib, networkx），调通基础 API 接口 Demo；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绘制图 4-3（多智能体小世界网络拓扑演化机制图）：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 NetworkX 绘制具备小世界特征的信息传播与辟谣阻断网络拓扑示意图（PDF 矢量图）；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人设画像颗粒度暂挂起：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暂不敲定具体 Prompt 角色，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等待主笔拿小徐的数据向师姐确认后再配置。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7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任务 3（等待指令后运行三组实验）：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实验一（造谣技术对比）：传统文字谣言 vs AIGC 高拟真图文谣言（测算无干预恐慌峰值与囤货率）；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实验二（干预窗口期）：谣言发生 1 小时（黄金期）、4 小时（扩散期）、12 小时（滞后期）接入辟谣的效果衰减；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实验三（回应形态对比）：传统纯文字辟谣 vs 数智实证辟谣（实时监控+商超库存数据+AI造假特征拆解）；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导出对比图表（图 4-1、图 4-2，PDF 矢量图 + 300 DPI PNG）及 600 字实验设定与参数说明文档。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7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任务 4（绘制图 5-1 政策创新机制流程图）：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根据主笔第五章提出的对策，绘制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“涉灾AIGC虚假信息事前沙盒打标-事中实证对冲-事后跨域联动数智治理协同架构图”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（Visio/SVG 矢量格式）。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7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任务 5（终审技术排版与附录代码整理）：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负责对全组所有图表进行统一字体（如 Arial / 华文中宋）、统一长宽比例的高清复核；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整理精简版仿真推演 Python 核心脚本（脱敏后）与数据字典，作为论文附录备查材料。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【主笔】报告撰写、师姐沟通与合规终审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87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任务 1（并行起草）：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撰写报告第一章（背景与痛点）和第二章（33 起案例库场景编码），接收小徐的图 2-1 与 lkx 的图 1-1、表 2-2 嵌入正文。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7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任务 2（向师姐确认画像）：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从小徐处获取真实评论情绪的三段占比数据后，找师姐确认 Agent 画像设定方案，确认完毕后向 lkx 下发实验启动指令。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7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任务 3（报告合并与撰写）：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接收小徐的图 3-1、图 3-2 和表 3-1，撰写第三章（实证挖掘学理解读）；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接收 lkx 的图 4-1、4-2、4-3 与说明文档，撰写第四章（反事实推演论证）；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接收 lkx 的图 5-1 机制图，撰写第五章（公共应急数智治理机制）。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7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任务 4（双红线合规与封版）：</w:t>
      </w:r>
    </w:p>
    <w:p w:rsidR="00000000" w:rsidDel="00000000" w:rsidP="00000000" w:rsidRDefault="00000000" w:rsidRPr="00000000" w14:paraId="0000007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降重控制：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全篇逐段改写与重构，通过查重系统将查重率压在 15% 以下；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匿名排查：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清除正文、图表水印、文档元属性中的学校与个人真实信息；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1740" w:right="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排版并导出最终可编辑 PDF 提交文件。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7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7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7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7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7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7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7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7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7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7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7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11111"/>
        <w:sz w:val="18"/>
        <w:szCs w:val="18"/>
      </w:rPr>
    </w:rPrDefault>
    <w:pPrDefault>
      <w:pPr>
        <w:widowControl w:val="0"/>
        <w:spacing w:after="300" w:before="300" w:line="36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ind w:left="0" w:right="0" w:firstLine="0"/>
      <w:jc w:val="center"/>
    </w:pPr>
    <w:rPr>
      <w:b w:val="1"/>
      <w:bCs w:val="1"/>
      <w:i w:val="0"/>
      <w:iCs w:val="0"/>
      <w:sz w:val="26"/>
      <w:szCs w:val="2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70" w:lineRule="auto"/>
      <w:ind w:left="0" w:right="0" w:firstLine="0"/>
    </w:pPr>
    <w:rPr>
      <w:b w:val="1"/>
      <w:bCs w:val="1"/>
      <w:i w:val="0"/>
      <w:iCs w:val="0"/>
      <w:sz w:val="22"/>
      <w:szCs w:val="2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