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before="360" w:line="240" w:lineRule="auto"/>
      </w:pPr>
      <w:r>
        <w:rPr>
          <w:rFonts w:ascii="Arial" w:cs="Arial" w:eastAsia="Arial" w:hAnsi="Arial"/>
        </w:rPr>
        <w:t xml:space="preserve">Wellbeing — Questions &amp; Answers</w:t>
      </w:r>
    </w:p>
    <w:p>
      <w:pPr>
        <w:spacing w:before="300" w:after="180" w:line="240" w:lineRule="auto"/>
      </w:pPr>
      <w:r>
        <w:rPr>
          <w:rFonts w:ascii="Arial" w:cs="Arial" w:eastAsia="Arial" w:hAnsi="Arial"/>
          <w:b/>
          <w:bCs/>
        </w:rPr>
        <w:t xml:space="preserve">Understanding Your Score</w:t>
      </w:r>
    </w:p>
    <w:p>
      <w:pPr>
        <w:spacing w:before="300" w:after="120" w:line="240" w:lineRule="auto"/>
      </w:pPr>
      <w:r>
        <w:rPr>
          <w:rFonts w:ascii="Arial" w:cs="Arial" w:eastAsia="Arial" w:hAnsi="Arial"/>
          <w:b/>
          <w:bCs/>
          <w:sz w:val="24"/>
          <w:szCs w:val="24"/>
        </w:rPr>
        <w:t xml:space="preserve">Q: I scored below 25% on wellbeing — what health risks am I facing?</w:t>
      </w:r>
    </w:p>
    <w:p>
      <w:pPr>
        <w:spacing w:after="240" w:line="240" w:lineRule="auto"/>
      </w:pPr>
      <w:r>
        <w:rPr>
          <w:rFonts w:ascii="Arial" w:cs="Arial" w:eastAsia="Arial" w:hAnsi="Arial"/>
          <w:sz w:val="24"/>
          <w:szCs w:val="24"/>
        </w:rPr>
        <w:t xml:space="preserve">Low positive wellbeing is associated with an 18% increase in all-cause mortality, independent of depression and negative affect. A meta-analysis of 70 prospective studies found that healthy individuals lacking positive psychological wellbeing had significantly higher mortality risk (HR 0.82 for high wellbeing), with the association strongest for cardiovascular mortality [1]. Social isolation—a key component of low wellbeing—carries even greater risk: a meta-analysis of over 3.4 million participants found social isolation increases mortality by 29%, loneliness by 26%, and living alone by 32%, effect sizes comparable to smoking up to 15 cigarettes daily [2]. Lacking a sense of purpose independently predicts mortality as well: a meta-analysis of 136,265 participants found that high purpose was associated with significantly reduced all-cause mortality and cardiovascular events [3]. The encouraging news: wellbeing is highly modifiable, often responding to targeted interventions within weeks.</w:t>
      </w:r>
    </w:p>
    <w:p>
      <w:pPr>
        <w:spacing w:before="300" w:after="120" w:line="240" w:lineRule="auto"/>
      </w:pPr>
      <w:r>
        <w:rPr>
          <w:rFonts w:ascii="Arial" w:cs="Arial" w:eastAsia="Arial" w:hAnsi="Arial"/>
          <w:b/>
          <w:bCs/>
          <w:sz w:val="24"/>
          <w:szCs w:val="24"/>
        </w:rPr>
        <w:t xml:space="preserve">Q: I scored above 75% — what benefits am I getting from strong wellbeing?</w:t>
      </w:r>
    </w:p>
    <w:p>
      <w:pPr>
        <w:spacing w:after="240" w:line="240" w:lineRule="auto"/>
      </w:pPr>
      <w:r>
        <w:rPr>
          <w:rFonts w:ascii="Arial" w:cs="Arial" w:eastAsia="Arial" w:hAnsi="Arial"/>
          <w:sz w:val="24"/>
          <w:szCs w:val="24"/>
        </w:rPr>
        <w:t xml:space="preserve">High positive wellbeing is associated with 18% lower all-cause mortality, stronger immune function, better cardiovascular health, and preserved cognitive performance. The Chida &amp; Steptoe meta-analysis found that positive psychological wellbeing predicted reduced mortality independently of negative affect—meaning it’s not simply the absence of depression that protects you, but the active presence of positive emotions, engagement, and purpose [1]. Strong social connections—reflected in your Relationships score—provide both psychological and biological protection through lower inflammatory markers (C-reactive protein, interleukin-6), better immune function, and more effective stress recovery [2]. Your strong wellbeing score reflects habits that compound over decades. The key now is maintaining these patterns during life transitions—career changes, relocation, retirement—when social connections and sense of purpose can be disrupted.</w:t>
      </w:r>
    </w:p>
    <w:p>
      <w:pPr>
        <w:spacing w:before="300" w:after="120" w:line="240" w:lineRule="auto"/>
      </w:pPr>
      <w:r>
        <w:rPr>
          <w:rFonts w:ascii="Arial" w:cs="Arial" w:eastAsia="Arial" w:hAnsi="Arial"/>
          <w:b/>
          <w:bCs/>
          <w:sz w:val="24"/>
          <w:szCs w:val="24"/>
        </w:rPr>
        <w:t xml:space="preserve">Q: Why does this assessment use the PERMA framework?</w:t>
      </w:r>
    </w:p>
    <w:p>
      <w:pPr>
        <w:spacing w:after="240" w:line="240" w:lineRule="auto"/>
      </w:pPr>
      <w:r>
        <w:rPr>
          <w:rFonts w:ascii="Arial" w:cs="Arial" w:eastAsia="Arial" w:hAnsi="Arial"/>
          <w:sz w:val="24"/>
          <w:szCs w:val="24"/>
        </w:rPr>
        <w:t xml:space="preserve">PERMA—Positive emotions, Engagement, Relationships, Meaning, and Accomplishment—is Martin Seligman’s multidimensional model of flourishing. Unlike a single “rate your life satisfaction” question, PERMA captures five distinct dimensions, each contributing independently to wellbeing. The PERMA Profiler, validated across 31,966 participants in 11 studies, demonstrated acceptable model fit, internal consistency (Cronbach’s α &gt; .70 for all dimensions), and convergent validity with established wellbeing measures [4]. The advantage is diagnostic value: someone who scores high on Positive Emotions but low on Relationships has a very different improvement path than someone low on Meaning but high on Engagement. Our assessment maps your strengths and gaps across all five PERMA dimensions plus stress balance, giving you targeted areas for improvement.</w:t>
      </w:r>
    </w:p>
    <w:p>
      <w:pPr>
        <w:spacing w:before="300" w:after="180" w:line="240" w:lineRule="auto"/>
      </w:pPr>
      <w:r>
        <w:rPr>
          <w:rFonts w:ascii="Arial" w:cs="Arial" w:eastAsia="Arial" w:hAnsi="Arial"/>
          <w:b/>
          <w:bCs/>
        </w:rPr>
        <w:t xml:space="preserve">Common Questions</w:t>
      </w:r>
    </w:p>
    <w:p>
      <w:pPr>
        <w:spacing w:before="300" w:after="120" w:line="240" w:lineRule="auto"/>
      </w:pPr>
      <w:r>
        <w:rPr>
          <w:rFonts w:ascii="Arial" w:cs="Arial" w:eastAsia="Arial" w:hAnsi="Arial"/>
          <w:b/>
          <w:bCs/>
          <w:sz w:val="24"/>
          <w:szCs w:val="24"/>
        </w:rPr>
        <w:t xml:space="preserve">Q: Can positive emotions actually affect physical health and longevity?</w:t>
      </w:r>
    </w:p>
    <w:p>
      <w:pPr>
        <w:spacing w:after="240" w:line="240" w:lineRule="auto"/>
      </w:pPr>
      <w:r>
        <w:rPr>
          <w:rFonts w:ascii="Arial" w:cs="Arial" w:eastAsia="Arial" w:hAnsi="Arial"/>
          <w:sz w:val="24"/>
          <w:szCs w:val="24"/>
        </w:rPr>
        <w:t xml:space="preserve">Yes. A meta-analysis of 70 prospective studies found that positive psychological wellbeing predicts 18% lower mortality (HR 0.82)—and this effect is independent of depression or negative emotions [1]. The critical insight is that positive and negative affect are not simply opposites on the same scale—they operate through partly independent biological pathways. Positive emotional states are associated with lower cortisol output, reduced systemic inflammation (lower C-reactive protein and interleukin-6), improved heart rate variability, and enhanced natural killer cell activity. These are not transient effects—habitual positive affect shapes the baseline inflammatory and neuroendocrine profile over years. People who regularly experience gratitude, joy, and contentment are investing in their longevity through measurable physiological pathways.</w:t>
      </w:r>
    </w:p>
    <w:p>
      <w:pPr>
        <w:spacing w:before="300" w:after="120" w:line="240" w:lineRule="auto"/>
      </w:pPr>
      <w:r>
        <w:rPr>
          <w:rFonts w:ascii="Arial" w:cs="Arial" w:eastAsia="Arial" w:hAnsi="Arial"/>
          <w:b/>
          <w:bCs/>
          <w:sz w:val="24"/>
          <w:szCs w:val="24"/>
        </w:rPr>
        <w:t xml:space="preserve">Q: What is “flow” and why does it matter for health?</w:t>
      </w:r>
    </w:p>
    <w:p>
      <w:pPr>
        <w:spacing w:after="240" w:line="240" w:lineRule="auto"/>
      </w:pPr>
      <w:r>
        <w:rPr>
          <w:rFonts w:ascii="Arial" w:cs="Arial" w:eastAsia="Arial" w:hAnsi="Arial"/>
          <w:sz w:val="24"/>
          <w:szCs w:val="24"/>
        </w:rPr>
        <w:t xml:space="preserve">Flow is the psychological state of being fully immersed in an activity—losing track of time while feeling both challenged and capable. First described by Mihaly Csikszentmihalyi, flow occurs when the challenge of an activity closely matches your skill level: too easy produces boredom, too hard produces anxiety, but the sweet spot produces effortless focus. A scoping review of 252 studies found that flow experiences consistently contributed to personal wellbeing and full functioning, with associations to higher performance, greater life satisfaction, and effective stress buffering across work, education, sports, and creative activities [5]. Flow states are also associated with reduced cortisol levels during the activity, suggesting a direct stress-buffering mechanism. People who regularly experience flow appear to build psychological resilience that protects against chronic stress accumulation.</w:t>
      </w:r>
    </w:p>
    <w:p>
      <w:pPr>
        <w:spacing w:before="300" w:after="120" w:line="240" w:lineRule="auto"/>
      </w:pPr>
      <w:r>
        <w:rPr>
          <w:rFonts w:ascii="Arial" w:cs="Arial" w:eastAsia="Arial" w:hAnsi="Arial"/>
          <w:b/>
          <w:bCs/>
          <w:sz w:val="24"/>
          <w:szCs w:val="24"/>
        </w:rPr>
        <w:t xml:space="preserve">Q: How does social isolation compare to other health risks?</w:t>
      </w:r>
    </w:p>
    <w:p>
      <w:pPr>
        <w:spacing w:after="240" w:line="240" w:lineRule="auto"/>
      </w:pPr>
      <w:r>
        <w:rPr>
          <w:rFonts w:ascii="Arial" w:cs="Arial" w:eastAsia="Arial" w:hAnsi="Arial"/>
          <w:sz w:val="24"/>
          <w:szCs w:val="24"/>
        </w:rPr>
        <w:t xml:space="preserve">A meta-analysis of over 3.4 million participants found that social isolation increases mortality risk by 29%, loneliness by 26%, and living alone by 32%—effect sizes comparable to well-established risk factors including obesity and physical inactivity [2]. The effect was consistent across gender, length of follow-up, and world region, and social deficits were actually more predictive of death in younger samples (average age &lt;65) than in older adults, challenging the assumption that social isolation is primarily an elderly health concern. The biological mechanisms include chronic activation of the hypothalamic-pituitary-adrenal (HPA) axis, elevated inflammatory markers, impaired immune surveillance, disrupted sleep, and increased cardiovascular reactivity. Importantly, the research distinguishes between objective isolation (few social contacts) and subjective loneliness (feeling disconnected despite contacts)—both carry independent health risks. This is why our assessment asks about relationship quality rather than simply the number of social contacts.</w:t>
      </w:r>
    </w:p>
    <w:p>
      <w:pPr>
        <w:spacing w:before="300" w:after="120" w:line="240" w:lineRule="auto"/>
      </w:pPr>
      <w:r>
        <w:rPr>
          <w:rFonts w:ascii="Arial" w:cs="Arial" w:eastAsia="Arial" w:hAnsi="Arial"/>
          <w:b/>
          <w:bCs/>
          <w:sz w:val="24"/>
          <w:szCs w:val="24"/>
        </w:rPr>
        <w:t xml:space="preserve">Q: Does having a sense of purpose really extend lifespan?</w:t>
      </w:r>
    </w:p>
    <w:p>
      <w:pPr>
        <w:spacing w:after="240" w:line="240" w:lineRule="auto"/>
      </w:pPr>
      <w:r>
        <w:rPr>
          <w:rFonts w:ascii="Arial" w:cs="Arial" w:eastAsia="Arial" w:hAnsi="Arial"/>
          <w:sz w:val="24"/>
          <w:szCs w:val="24"/>
        </w:rPr>
        <w:t xml:space="preserve">Yes. A meta-analysis of 10 prospective studies (n=136,265) found that high purpose in life was associated with significantly reduced all-cause mortality and cardiovascular events, with the authors concluding that purpose is a modifiable risk factor warranting intervention research [3]. A separate prospective study of nearly 7,000 US adults over age 50 found that, after adjusting for demographics, lifestyle, and health conditions, those with the lowest sense of purpose had more than double the mortality risk compared to those with the highest purpose—an association that held across multiple causes of death [6]. Purpose doesn’t require a grand mission—it can come from meaningful work, caregiving, community involvement, creative pursuits, mentoring, or spiritual practice. What matters is the subjective sense that your life has direction and that your activities matter beyond yourself.</w:t>
      </w:r>
    </w:p>
    <w:p>
      <w:pPr>
        <w:spacing w:before="300" w:after="120" w:line="240" w:lineRule="auto"/>
      </w:pPr>
      <w:r>
        <w:rPr>
          <w:rFonts w:ascii="Arial" w:cs="Arial" w:eastAsia="Arial" w:hAnsi="Arial"/>
          <w:b/>
          <w:bCs/>
          <w:sz w:val="24"/>
          <w:szCs w:val="24"/>
        </w:rPr>
        <w:t xml:space="preserve">Q: Is all stress bad? What’s the difference between eustress and distress?</w:t>
      </w:r>
    </w:p>
    <w:p>
      <w:pPr>
        <w:spacing w:after="240" w:line="240" w:lineRule="auto"/>
      </w:pPr>
      <w:r>
        <w:rPr>
          <w:rFonts w:ascii="Arial" w:cs="Arial" w:eastAsia="Arial" w:hAnsi="Arial"/>
          <w:sz w:val="24"/>
          <w:szCs w:val="24"/>
        </w:rPr>
        <w:t xml:space="preserve">Hans Selye, who coined the term “stress,” distinguished between eustress (positive challenge stress that motivates and energizes) and distress (negative, overwhelming stress that drains and harms). Eustress occurs when you face a challenge you believe you can meet, triggering a short-term cortisol and adrenaline response that enhances focus and performance, followed by recovery. Distress occurs when demands exceed perceived coping resources, triggering sustained stress without recovery—leading to chronic cortisol elevation, systemic inflammation, and allostatic load. A landmark prospective study of 28,753 adults found that high stress combined with the perception that stress is harmful was associated with a 43% increased risk of premature death—yet people who reported high stress but did not believe it affected their health had among the lowest mortality, even lower than those reporting little stress [7]. Important nuance: this does not mean you should simply ignore real stress. Chronic distress with inadequate recovery causes measurable biological harm regardless of perception. The finding suggests that reframing manageable challenges as opportunities can shift both the psychological and physiological response toward a healthier pattern.</w:t>
      </w:r>
    </w:p>
    <w:p>
      <w:pPr>
        <w:spacing w:before="300" w:after="120" w:line="240" w:lineRule="auto"/>
      </w:pPr>
      <w:r>
        <w:rPr>
          <w:rFonts w:ascii="Arial" w:cs="Arial" w:eastAsia="Arial" w:hAnsi="Arial"/>
          <w:b/>
          <w:bCs/>
          <w:sz w:val="24"/>
          <w:szCs w:val="24"/>
        </w:rPr>
        <w:t xml:space="preserve">Q: Do meditation and mindfulness actually work for health?</w:t>
      </w:r>
    </w:p>
    <w:p>
      <w:pPr>
        <w:spacing w:after="240" w:line="240" w:lineRule="auto"/>
      </w:pPr>
      <w:r>
        <w:rPr>
          <w:rFonts w:ascii="Arial" w:cs="Arial" w:eastAsia="Arial" w:hAnsi="Arial"/>
          <w:sz w:val="24"/>
          <w:szCs w:val="24"/>
        </w:rPr>
        <w:t xml:space="preserve">The most rigorous meta-analysis (47 trials, n=3,515, published in JAMA Internal Medicine) found that mindfulness meditation produces moderate improvements in anxiety (effect size 0.38) and depression (effect size 0.30)—comparable to antidepressant medications [8]. However, evidence for other outcomes like stress reduction and overall wellbeing is weaker, and meditation was not shown to be superior to exercise, cognitive behavioral therapy, or other active treatments. The practical implication: meditation is a legitimate, evidence-based tool for managing anxiety and depressive symptoms with no side effects, but it is not a cure-all. This is why our assessment asks about any regular stress-management practice—not meditation specifically. What matters for health is having a consistent recovery practice that you actually do. Meditation, breathwork, journaling, time in nature, and therapy all have supporting evidence, and the best practice is the one you’ll sustain.</w:t>
      </w:r>
    </w:p>
    <w:p>
      <w:pPr>
        <w:spacing w:before="300" w:after="180" w:line="240" w:lineRule="auto"/>
      </w:pPr>
      <w:r>
        <w:rPr>
          <w:rFonts w:ascii="Arial" w:cs="Arial" w:eastAsia="Arial" w:hAnsi="Arial"/>
          <w:b/>
          <w:bCs/>
        </w:rPr>
        <w:t xml:space="preserve">Taking Action</w:t>
      </w:r>
    </w:p>
    <w:p>
      <w:pPr>
        <w:spacing w:before="300" w:after="120" w:line="240" w:lineRule="auto"/>
      </w:pPr>
      <w:r>
        <w:rPr>
          <w:rFonts w:ascii="Arial" w:cs="Arial" w:eastAsia="Arial" w:hAnsi="Arial"/>
          <w:b/>
          <w:bCs/>
          <w:sz w:val="24"/>
          <w:szCs w:val="24"/>
        </w:rPr>
        <w:t xml:space="preserve">Q: What are the most evidence-backed ways to improve my wellbeing?</w:t>
      </w:r>
    </w:p>
    <w:p>
      <w:pPr>
        <w:spacing w:after="240" w:line="240" w:lineRule="auto"/>
      </w:pPr>
      <w:r>
        <w:rPr>
          <w:rFonts w:ascii="Arial" w:cs="Arial" w:eastAsia="Arial" w:hAnsi="Arial"/>
          <w:sz w:val="24"/>
          <w:szCs w:val="24"/>
        </w:rPr>
        <w:t xml:space="preserve">The five highest-impact, evidence-backed practices, each targeting a specific PERMA dimension, are: (1) Gratitude practice (targets Positive Emotions)—a randomized trial found that participants who kept weekly gratitude journals exercised more, reported fewer physical symptoms, and felt better about their lives compared to controls [9]. (2) Nature exposure (targets Positive Emotions + stress recovery)—a study of 19,806 participants found that spending at least 120 minutes per week in natural settings was associated with significantly better self-reported health and wellbeing, with benefits peaking at 200–300 minutes [10]. (3) Social investment (targets Relationships)—given the Holt-Lunstad finding that social isolation rivals smoking in mortality risk, one meaningful conversation per day or joining a group activity can meaningfully shift your connection score [2]. (4) Purposeful activity (targets Meaning + Accomplishment)—volunteering, mentoring, creative projects, or contributing to a cause you care about are directly health-protective based on the Cohen et al. meta-analysis [3]. (5) Mindfulness or stress-management practice (targets Stress Balance)—any regular recovery practice done 3+ times per week builds the stress-recovery capacity that protects long-term health [8].</w:t>
      </w:r>
    </w:p>
    <w:p>
      <w:pPr>
        <w:spacing w:before="300" w:after="120" w:line="240" w:lineRule="auto"/>
      </w:pPr>
      <w:r>
        <w:rPr>
          <w:rFonts w:ascii="Arial" w:cs="Arial" w:eastAsia="Arial" w:hAnsi="Arial"/>
          <w:b/>
          <w:bCs/>
          <w:sz w:val="24"/>
          <w:szCs w:val="24"/>
        </w:rPr>
        <w:t xml:space="preserve">Q: Where can I get personalized help with this?</w:t>
      </w:r>
    </w:p>
    <w:p>
      <w:pPr>
        <w:spacing w:after="240" w:line="240" w:lineRule="auto"/>
      </w:pPr>
      <w:r>
        <w:rPr>
          <w:rFonts w:ascii="Arial" w:cs="Arial" w:eastAsia="Arial" w:hAnsi="Arial"/>
          <w:sz w:val="24"/>
          <w:szCs w:val="24"/>
        </w:rPr>
        <w:t xml:space="preserve">This assessment identifies where you stand across all PERMA dimensions and stress balance. For personalized implementation, consider the coaching program for expert guidance, or analyze your complete test results with AI to identify priority areas and create an action plan tailored to your scores.</w:t>
      </w:r>
    </w:p>
    <w:p>
      <w:pPr>
        <w:spacing w:before="360" w:after="180" w:line="240" w:lineRule="auto"/>
      </w:pPr>
      <w:r>
        <w:rPr>
          <w:rFonts w:ascii="Arial" w:cs="Arial" w:eastAsia="Arial" w:hAnsi="Arial"/>
          <w:b/>
          <w:bCs/>
        </w:rPr>
        <w:t xml:space="preserve">References</w:t>
      </w:r>
    </w:p>
    <w:p>
      <w:pPr>
        <w:spacing w:after="120" w:line="240" w:lineRule="auto"/>
      </w:pPr>
      <w:r>
        <w:rPr>
          <w:rFonts w:ascii="Arial" w:cs="Arial" w:eastAsia="Arial" w:hAnsi="Arial"/>
          <w:sz w:val="20"/>
          <w:szCs w:val="20"/>
        </w:rPr>
        <w:t xml:space="preserve">[1] Chida, Y. &amp; Steptoe, A. (2008). “Positive Psychological Well-Being and Mortality: A Quantitative Review of Prospective Observational Studies.” Psychosomatic Medicine, 70(7), 741–756. doi:10.1097/PSY.0b013e31818105ba</w:t>
      </w:r>
    </w:p>
    <w:p>
      <w:pPr>
        <w:spacing w:after="120" w:line="240" w:lineRule="auto"/>
      </w:pPr>
      <w:r>
        <w:rPr>
          <w:rFonts w:ascii="Arial" w:cs="Arial" w:eastAsia="Arial" w:hAnsi="Arial"/>
          <w:sz w:val="20"/>
          <w:szCs w:val="20"/>
        </w:rPr>
        <w:t xml:space="preserve">[2] Holt-Lunstad, J., et al. (2015). “Loneliness and Social Isolation as Risk Factors for Mortality: A Meta-Analytic Review.” Perspectives on Psychological Science, 10(2), 227–237. doi:10.1177/1745691614568352</w:t>
      </w:r>
    </w:p>
    <w:p>
      <w:pPr>
        <w:spacing w:after="120" w:line="240" w:lineRule="auto"/>
      </w:pPr>
      <w:r>
        <w:rPr>
          <w:rFonts w:ascii="Arial" w:cs="Arial" w:eastAsia="Arial" w:hAnsi="Arial"/>
          <w:sz w:val="20"/>
          <w:szCs w:val="20"/>
        </w:rPr>
        <w:t xml:space="preserve">[3] Cohen, R., et al. (2016). “Purpose in Life and Its Relationship to All-Cause Mortality and Cardiovascular Events: A Meta-Analysis.” Psychosomatic Medicine, 78(2), 122–133. doi:10.1097/PSY.0000000000000274</w:t>
      </w:r>
    </w:p>
    <w:p>
      <w:pPr>
        <w:spacing w:after="120" w:line="240" w:lineRule="auto"/>
      </w:pPr>
      <w:r>
        <w:rPr>
          <w:rFonts w:ascii="Arial" w:cs="Arial" w:eastAsia="Arial" w:hAnsi="Arial"/>
          <w:sz w:val="20"/>
          <w:szCs w:val="20"/>
        </w:rPr>
        <w:t xml:space="preserve">[4] Butler, J. &amp; Kern, M.L. (2016). “The PERMA-Profiler: A Brief Multidimensional Measure of Flourishing.” International Journal of Wellbeing, 6(3), 1–48. doi:10.5502/ijw.v6i3.526</w:t>
      </w:r>
    </w:p>
    <w:p>
      <w:pPr>
        <w:spacing w:after="120" w:line="240" w:lineRule="auto"/>
      </w:pPr>
      <w:r>
        <w:rPr>
          <w:rFonts w:ascii="Arial" w:cs="Arial" w:eastAsia="Arial" w:hAnsi="Arial"/>
          <w:sz w:val="20"/>
          <w:szCs w:val="20"/>
        </w:rPr>
        <w:t xml:space="preserve">[5] Peifer, C., et al. (2022). “A Scoping Review of Flow Research.” Frontiers in Psychology, 13, 815665. doi:10.3389/fpsyg.2022.815665</w:t>
      </w:r>
    </w:p>
    <w:p>
      <w:pPr>
        <w:spacing w:after="120" w:line="240" w:lineRule="auto"/>
      </w:pPr>
      <w:r>
        <w:rPr>
          <w:rFonts w:ascii="Arial" w:cs="Arial" w:eastAsia="Arial" w:hAnsi="Arial"/>
          <w:sz w:val="20"/>
          <w:szCs w:val="20"/>
        </w:rPr>
        <w:t xml:space="preserve">[6] Alimujiang, A., et al. (2019). “Association Between Life Purpose and Mortality Among US Adults Older Than 50 Years.” JAMA Network Open, 2(5), e194270. doi:10.1001/jamanetworkopen.2019.4270</w:t>
      </w:r>
    </w:p>
    <w:p>
      <w:pPr>
        <w:spacing w:after="120" w:line="240" w:lineRule="auto"/>
      </w:pPr>
      <w:r>
        <w:rPr>
          <w:rFonts w:ascii="Arial" w:cs="Arial" w:eastAsia="Arial" w:hAnsi="Arial"/>
          <w:sz w:val="20"/>
          <w:szCs w:val="20"/>
        </w:rPr>
        <w:t xml:space="preserve">[7] Keller, A., et al. (2012). “Does the Perception That Stress Affects Health Matter? The Association with Health and Mortality.” Health Psychology, 31(5), 677–684. doi:10.1037/a0026743</w:t>
      </w:r>
    </w:p>
    <w:p>
      <w:pPr>
        <w:spacing w:after="120" w:line="240" w:lineRule="auto"/>
      </w:pPr>
      <w:r>
        <w:rPr>
          <w:rFonts w:ascii="Arial" w:cs="Arial" w:eastAsia="Arial" w:hAnsi="Arial"/>
          <w:sz w:val="20"/>
          <w:szCs w:val="20"/>
        </w:rPr>
        <w:t xml:space="preserve">[8] Goyal, M., et al. (2014). “Meditation Programs for Psychological Stress and Well-being: A Systematic Review and Meta-Analysis.” JAMA Internal Medicine, 174(3), 357–368. doi:10.1001/jamainternmed.2013.13018</w:t>
      </w:r>
    </w:p>
    <w:p>
      <w:pPr>
        <w:spacing w:after="120" w:line="240" w:lineRule="auto"/>
      </w:pPr>
      <w:r>
        <w:rPr>
          <w:rFonts w:ascii="Arial" w:cs="Arial" w:eastAsia="Arial" w:hAnsi="Arial"/>
          <w:sz w:val="20"/>
          <w:szCs w:val="20"/>
        </w:rPr>
        <w:t xml:space="preserve">[9] Emmons, R.A. &amp; McCullough, M.E. (2003). “Counting Blessings Versus Burdens: An Experimental Investigation of Gratitude and Subjective Well-Being in Daily Life.” Journal of Personality and Social Psychology, 84(2), 377–389. doi:10.1037//0022-3514.84.2.377</w:t>
      </w:r>
    </w:p>
    <w:p>
      <w:pPr>
        <w:spacing w:after="120" w:line="240" w:lineRule="auto"/>
      </w:pPr>
      <w:r>
        <w:rPr>
          <w:rFonts w:ascii="Arial" w:cs="Arial" w:eastAsia="Arial" w:hAnsi="Arial"/>
          <w:sz w:val="20"/>
          <w:szCs w:val="20"/>
        </w:rPr>
        <w:t xml:space="preserve">[10] White, M.P., et al. (2019). “Spending at Least 120 Minutes a Week in Nature Is Associated with Good Health and Wellbeing.” Scientific Reports, 9(1), 7730. doi:10.1038/s41598-019-44097-3</w:t>
      </w:r>
    </w:p>
    <w:p>
      <w:pPr>
        <w:spacing w:before="360" w:after="180" w:line="240" w:lineRule="auto"/>
      </w:pPr>
      <w:r>
        <w:rPr>
          <w:rFonts w:ascii="Arial" w:cs="Arial" w:eastAsia="Arial" w:hAnsi="Arial"/>
          <w:b/>
          <w:bCs/>
        </w:rPr>
        <w:t xml:space="preserve">Abbreviations Used</w:t>
      </w:r>
    </w:p>
    <w:p>
      <w:pPr>
        <w:spacing w:after="60" w:line="240" w:lineRule="auto"/>
      </w:pPr>
      <w:r>
        <w:rPr>
          <w:rFonts w:ascii="Arial" w:cs="Arial" w:eastAsia="Arial" w:hAnsi="Arial"/>
          <w:sz w:val="20"/>
          <w:szCs w:val="20"/>
        </w:rPr>
        <w:t xml:space="preserve">PERMA = Positive emotions, Engagement, Relationships, Meaning, Accomplishment</w:t>
      </w:r>
    </w:p>
    <w:p>
      <w:pPr>
        <w:spacing w:after="60" w:line="240" w:lineRule="auto"/>
      </w:pPr>
      <w:r>
        <w:rPr>
          <w:rFonts w:ascii="Arial" w:cs="Arial" w:eastAsia="Arial" w:hAnsi="Arial"/>
          <w:sz w:val="20"/>
          <w:szCs w:val="20"/>
        </w:rPr>
        <w:t xml:space="preserve">HR = Hazard ratio</w:t>
      </w:r>
    </w:p>
    <w:p>
      <w:pPr>
        <w:spacing w:after="60" w:line="240" w:lineRule="auto"/>
      </w:pPr>
      <w:r>
        <w:rPr>
          <w:rFonts w:ascii="Arial" w:cs="Arial" w:eastAsia="Arial" w:hAnsi="Arial"/>
          <w:sz w:val="20"/>
          <w:szCs w:val="20"/>
        </w:rPr>
        <w:t xml:space="preserve">OR = Odds ratio</w:t>
      </w:r>
    </w:p>
    <w:p>
      <w:pPr>
        <w:spacing w:after="60" w:line="240" w:lineRule="auto"/>
      </w:pPr>
      <w:r>
        <w:rPr>
          <w:rFonts w:ascii="Arial" w:cs="Arial" w:eastAsia="Arial" w:hAnsi="Arial"/>
          <w:sz w:val="20"/>
          <w:szCs w:val="20"/>
        </w:rPr>
        <w:t xml:space="preserve">ES = Effect size</w:t>
      </w:r>
    </w:p>
    <w:p>
      <w:pPr>
        <w:spacing w:after="60" w:line="240" w:lineRule="auto"/>
      </w:pPr>
      <w:r>
        <w:rPr>
          <w:rFonts w:ascii="Arial" w:cs="Arial" w:eastAsia="Arial" w:hAnsi="Arial"/>
          <w:sz w:val="20"/>
          <w:szCs w:val="20"/>
        </w:rPr>
        <w:t xml:space="preserve">HPA = Hypothalamic-pituitary-adrenal</w:t>
      </w:r>
    </w:p>
    <w:p>
      <w:pPr>
        <w:spacing w:after="60" w:line="240" w:lineRule="auto"/>
      </w:pPr>
      <w:r>
        <w:rPr>
          <w:rFonts w:ascii="Arial" w:cs="Arial" w:eastAsia="Arial" w:hAnsi="Arial"/>
          <w:sz w:val="20"/>
          <w:szCs w:val="20"/>
        </w:rPr>
        <w:t xml:space="preserve">RCT = Randomized controlled trial</w:t>
      </w:r>
    </w:p>
    <w:p>
      <w:pPr>
        <w:spacing w:after="60" w:line="240" w:lineRule="auto"/>
      </w:pPr>
      <w:r>
        <w:rPr>
          <w:rFonts w:ascii="Arial" w:cs="Arial" w:eastAsia="Arial" w:hAnsi="Arial"/>
          <w:sz w:val="20"/>
          <w:szCs w:val="20"/>
        </w:rPr>
        <w:t xml:space="preserve">JAMA = Journal of the American Medical Association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3">
    <w:name w:val="Heading 3"/>
    <w:basedOn w:val="Normal"/>
    <w:next w:val="Normal"/>
    <w:qFormat/>
    <w:pPr>
      <w:spacing w:before="360" w:after="240"/>
      <w:outlineLvl w:val="2"/>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2026-02-14T15:44:48.927Z</dcterms:created>
  <dcterms:modified xsi:type="dcterms:W3CDTF">2026-02-14T15:44:48.927Z</dcterms:modified>
</cp:coreProperties>
</file>

<file path=docProps/custom.xml><?xml version="1.0" encoding="utf-8"?>
<Properties xmlns="http://schemas.openxmlformats.org/officeDocument/2006/custom-properties" xmlns:vt="http://schemas.openxmlformats.org/officeDocument/2006/docPropsVTypes"/>
</file>