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e22ee165cab690a3d1b7e3e0ea9b8cc155c270c.png"/>
            <a:graphic>
              <a:graphicData uri="http://schemas.openxmlformats.org/drawingml/2006/picture">
                <pic:pic>
                  <pic:nvPicPr>
                    <pic:cNvPr id="1" name="image-de22ee165cab690a3d1b7e3e0ea9b8cc155c270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Adopción de IA en Empresas Argentinas: Análisis de Necesidades y Propuesta de Agenda para Evento CESSI</w:t>
      </w:r>
    </w:p>
    <w:p>
      <w:pPr>
        <w:spacing w:line="360" w:after="210" w:lineRule="auto"/>
      </w:pPr>
      <w:r>
        <w:rPr>
          <w:rFonts w:eastAsia="inter" w:cs="inter" w:ascii="inter" w:hAnsi="inter"/>
          <w:color w:val="000000"/>
        </w:rPr>
        <w:t xml:space="preserve">Este análisis profundo revela que las empresas argentinas se encuentran en un momento crucial de transformación digital con inteligencia artificial, donde el 81% tiene una percepción positiva de la tecnología y el 43% ya obtiene resultados tangibles de sus inversiones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Sin embargo, persisten desafíos significativos que van desde la falta de claridad en los procesos de implementación (29% de las empresas) hasta la escasez de personal calificado (20%)</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El panorama muestra una brecha considerable entre la intención estratégica - donde el 95% de las empresas considera la IA clave para la ventaja competitiva - y la implementación efectiva, con solo el 5% habiendo adoptado extensivamente estas tecnologías</w:t>
      </w:r>
      <w:bookmarkStart w:id="2" w:name="fnref2"/>
      <w:bookmarkEnd w:id="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disparidad, combinada con la ausencia de marcos regulatorios específicos y los desafíos organizacionales internos, configura un escenario complejo que requiere abordajes metodológicos y estratégicos específicos para el contexto argentino.</w:t>
      </w:r>
    </w:p>
    <w:p>
      <w:pPr>
        <w:spacing w:line="360" w:before="315" w:after="105" w:lineRule="auto"/>
        <w:ind w:left="-30"/>
        <w:jc w:val="left"/>
      </w:pPr>
      <w:r>
        <w:rPr>
          <w:rFonts w:eastAsia="inter" w:cs="inter" w:ascii="inter" w:hAnsi="inter"/>
          <w:b/>
          <w:color w:val="000000"/>
          <w:sz w:val="24"/>
        </w:rPr>
        <w:t xml:space="preserve">Contexto Actual de la Adopción de IA en Argentina</w:t>
      </w:r>
    </w:p>
    <w:p>
      <w:pPr>
        <w:spacing w:line="360" w:after="210" w:lineRule="auto"/>
      </w:pPr>
      <w:r>
        <w:rPr>
          <w:rFonts w:eastAsia="inter" w:cs="inter" w:ascii="inter" w:hAnsi="inter"/>
          <w:color w:val="000000"/>
        </w:rPr>
        <w:t xml:space="preserve">El panorama de adopción de inteligencia artificial en Argentina presenta características particulares que reflejan tanto oportunidades como desafíos específicos del mercado local. Según el estudio patrocinado por SAP, aproximadamente la mitad de las empresas argentinas ya está obteniendo resultados tangibles de sus inversiones en IA, con el 50% de las medianas y el 47% de las pequeñas empresas reportando beneficios concretos</w:t>
      </w:r>
      <w:bookmarkStart w:id="3" w:name="fnref1:2"/>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cifra es alentadora y sugiere un nivel de madurez creciente en la adopción tecnológica.</w:t>
      </w:r>
    </w:p>
    <w:p>
      <w:pPr>
        <w:spacing w:line="360" w:after="210" w:lineRule="auto"/>
      </w:pPr>
      <w:r>
        <w:rPr>
          <w:rFonts w:eastAsia="inter" w:cs="inter" w:ascii="inter" w:hAnsi="inter"/>
          <w:color w:val="000000"/>
        </w:rPr>
        <w:t xml:space="preserve">La percepción empresarial sobre la inteligencia artificial es mayoritariamente positiva, con el 81% de los encuestados viéndola de manera favorable</w:t>
      </w:r>
      <w:bookmarkStart w:id="4" w:name="fnref1:3"/>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Este optimismo se distribuye entre un 45% que la considera "absolutamente positiva" como herramienta para automatizar procesos y un 36% que mantiene algunas reservas</w:t>
      </w:r>
      <w:bookmarkStart w:id="5" w:name="fnref1:4"/>
      <w:bookmarkEnd w:id="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dualidad en las percepciones refleja la complejidad del momento actual, donde las empresas reconocen el potencial transformador de la IA pero también enfrentan incertidumbres sobre su implementación efectiva.</w:t>
      </w:r>
    </w:p>
    <w:p>
      <w:pPr>
        <w:spacing w:line="360" w:after="210" w:lineRule="auto"/>
      </w:pPr>
      <w:r>
        <w:rPr>
          <w:rFonts w:eastAsia="inter" w:cs="inter" w:ascii="inter" w:hAnsi="inter"/>
          <w:color w:val="000000"/>
        </w:rPr>
        <w:t xml:space="preserve">Las áreas de implementación más comunes incluyen servicio al cliente (69%), marketing y comunicaciones (42%), recursos humanos (28%), y ventas (23%)</w:t>
      </w:r>
      <w:bookmarkStart w:id="6" w:name="fnref1:5"/>
      <w:bookmarkEnd w:id="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distribución evidencia una tendencia hacia la automatización de procesos de cara al cliente y funciones de soporte, lo que sugiere un enfoque inicial en casos de uso con retorno de inversión más inmediato y medible.</w:t>
      </w:r>
    </w:p>
    <w:p>
      <w:pPr>
        <w:spacing w:line="360" w:before="315" w:after="105" w:lineRule="auto"/>
        <w:ind w:left="-30"/>
        <w:jc w:val="left"/>
      </w:pPr>
      <w:r>
        <w:rPr>
          <w:rFonts w:eastAsia="inter" w:cs="inter" w:ascii="inter" w:hAnsi="inter"/>
          <w:b/>
          <w:color w:val="000000"/>
          <w:sz w:val="24"/>
        </w:rPr>
        <w:t xml:space="preserve">Tendencias de Inversión y Perspectivas Futuras</w:t>
      </w:r>
    </w:p>
    <w:p>
      <w:pPr>
        <w:spacing w:line="360" w:after="210" w:lineRule="auto"/>
      </w:pPr>
      <w:r>
        <w:rPr>
          <w:rFonts w:eastAsia="inter" w:cs="inter" w:ascii="inter" w:hAnsi="inter"/>
          <w:color w:val="000000"/>
        </w:rPr>
        <w:t xml:space="preserve">El panorama de inversión muestra señales prometedoras para el futuro de la IA en Argentina. El 74% de las grandes empresas planea aumentar su inversión en esta tecnología en los próximos dos años</w:t>
      </w:r>
      <w:bookmarkStart w:id="7" w:name="fnref3"/>
      <w:bookmarkEnd w:id="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lo que indica un compromiso sostenido con la transformación digital. Además, el 48% de las empresas que aún no ven resultados espera obtenerlos en los próximos 6 a 12 meses</w:t>
      </w:r>
      <w:bookmarkStart w:id="8" w:name="fnref1:6"/>
      <w:bookmarkEnd w:id="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sugiriendo que muchas organizaciones se encuentran en etapas tempranas pero activas de implementación.</w:t>
      </w:r>
    </w:p>
    <w:p>
      <w:pPr>
        <w:spacing w:line="360" w:after="210" w:lineRule="auto"/>
      </w:pPr>
      <w:r>
        <w:rPr>
          <w:rFonts w:eastAsia="inter" w:cs="inter" w:ascii="inter" w:hAnsi="inter"/>
          <w:color w:val="000000"/>
        </w:rPr>
        <w:t xml:space="preserve">Esta proyección de crecimiento en las inversiones debe contextualizarse dentro de las realidades presupuestarias empresariales. Muchas organizaciones están ajustando o tienen previsto ajustar sus presupuestos en otras áreas para redirigir recursos hacia iniciativas de IA</w:t>
      </w:r>
      <w:bookmarkStart w:id="9" w:name="fnref3:1"/>
      <w:bookmarkEnd w:id="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lo que demuestra la priorización estratégica que está adquiriendo esta tecnología en las agendas corporativas.</w:t>
      </w:r>
    </w:p>
    <w:p>
      <w:pPr>
        <w:spacing w:line="360" w:before="315" w:after="105" w:lineRule="auto"/>
        <w:ind w:left="-30"/>
        <w:jc w:val="left"/>
      </w:pPr>
      <w:r>
        <w:rPr>
          <w:rFonts w:eastAsia="inter" w:cs="inter" w:ascii="inter" w:hAnsi="inter"/>
          <w:b/>
          <w:color w:val="000000"/>
          <w:sz w:val="24"/>
        </w:rPr>
        <w:t xml:space="preserve">Identificación de Dolores y Barreras Principales</w:t>
      </w:r>
    </w:p>
    <w:p>
      <w:pPr>
        <w:spacing w:line="360" w:before="315" w:after="105" w:lineRule="auto"/>
        <w:ind w:left="-30"/>
        <w:jc w:val="left"/>
      </w:pPr>
      <w:r>
        <w:rPr>
          <w:rFonts w:eastAsia="inter" w:cs="inter" w:ascii="inter" w:hAnsi="inter"/>
          <w:b/>
          <w:color w:val="000000"/>
          <w:sz w:val="24"/>
        </w:rPr>
        <w:t xml:space="preserve">Desafíos de Implementación y Claridad Estratégica</w:t>
      </w:r>
    </w:p>
    <w:p>
      <w:pPr>
        <w:spacing w:line="360" w:after="210" w:lineRule="auto"/>
      </w:pPr>
      <w:r>
        <w:rPr>
          <w:rFonts w:eastAsia="inter" w:cs="inter" w:ascii="inter" w:hAnsi="inter"/>
          <w:color w:val="000000"/>
        </w:rPr>
        <w:t xml:space="preserve">El obstáculo más significativo identificado en el mercado argentino es la </w:t>
      </w:r>
      <w:r>
        <w:rPr>
          <w:rFonts w:eastAsia="inter" w:cs="inter" w:ascii="inter" w:hAnsi="inter"/>
          <w:b/>
          <w:color w:val="000000"/>
        </w:rPr>
        <w:t xml:space="preserve">falta de claridad sobre cómo incorporar la IA a los procesos de negocio</w:t>
      </w:r>
      <w:r>
        <w:rPr>
          <w:rFonts w:eastAsia="inter" w:cs="inter" w:ascii="inter" w:hAnsi="inter"/>
          <w:color w:val="000000"/>
        </w:rPr>
        <w:t xml:space="preserve">, afectando al 29% de las empresas encuestadas</w:t>
      </w:r>
      <w:bookmarkStart w:id="10" w:name="fnref1:7"/>
      <w:bookmarkEnd w:id="1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Este porcentaje se eleva considerablemente en empresas medianas (39%) y pequeñas (33%)</w:t>
      </w:r>
      <w:bookmarkStart w:id="11" w:name="fnref1:8"/>
      <w:bookmarkEnd w:id="1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lo que sugiere que las organizaciones más grandes tienen mayor acceso a recursos de consultoría y expertise interno para navegar este desafío.</w:t>
      </w:r>
    </w:p>
    <w:p>
      <w:pPr>
        <w:spacing w:line="360" w:after="210" w:lineRule="auto"/>
      </w:pPr>
      <w:r>
        <w:rPr>
          <w:rFonts w:eastAsia="inter" w:cs="inter" w:ascii="inter" w:hAnsi="inter"/>
          <w:color w:val="000000"/>
        </w:rPr>
        <w:t xml:space="preserve">Esta barrera refleja una problemática más profunda relacionada con la brecha entre la visión estratégica y la ejecución táctica. Las empresas comprenden el valor potencial de la IA pero carecen de metodologías claras para identificar casos de uso específicos, evaluar el retorno de inversión, y diseñar procesos de implementación escalonados que minimicen riesgos y maximicen la adopción organizacional.</w:t>
      </w:r>
    </w:p>
    <w:p>
      <w:pPr>
        <w:spacing w:line="360" w:after="210" w:lineRule="auto"/>
      </w:pPr>
      <w:r>
        <w:rPr>
          <w:rFonts w:eastAsia="inter" w:cs="inter" w:ascii="inter" w:hAnsi="inter"/>
          <w:color w:val="000000"/>
        </w:rPr>
        <w:t xml:space="preserve">La complejidad de esta situación se agrava por la naturaleza multidisciplinaria de los proyectos de IA, que requieren coordinación entre equipos de tecnología, operaciones, recursos humanos y estrategia corporativa. Sin marcos de trabajo claros y metodologías probadas, las empresas enfrentan parálisis analítica que retarda la toma de decisiones y la implementación efectiva.</w:t>
      </w:r>
    </w:p>
    <w:p>
      <w:pPr>
        <w:spacing w:line="360" w:before="315" w:after="105" w:lineRule="auto"/>
        <w:ind w:left="-30"/>
        <w:jc w:val="left"/>
      </w:pPr>
      <w:r>
        <w:rPr>
          <w:rFonts w:eastAsia="inter" w:cs="inter" w:ascii="inter" w:hAnsi="inter"/>
          <w:b/>
          <w:color w:val="000000"/>
          <w:sz w:val="24"/>
        </w:rPr>
        <w:t xml:space="preserve">Escasez de Talento Especializado</w:t>
      </w:r>
    </w:p>
    <w:p>
      <w:pPr>
        <w:spacing w:line="360" w:after="210" w:lineRule="auto"/>
      </w:pPr>
      <w:r>
        <w:rPr>
          <w:rFonts w:eastAsia="inter" w:cs="inter" w:ascii="inter" w:hAnsi="inter"/>
          <w:color w:val="000000"/>
        </w:rPr>
        <w:t xml:space="preserve">La </w:t>
      </w:r>
      <w:r>
        <w:rPr>
          <w:rFonts w:eastAsia="inter" w:cs="inter" w:ascii="inter" w:hAnsi="inter"/>
          <w:b/>
          <w:color w:val="000000"/>
        </w:rPr>
        <w:t xml:space="preserve">falta de personal calificado</w:t>
      </w:r>
      <w:r>
        <w:rPr>
          <w:rFonts w:eastAsia="inter" w:cs="inter" w:ascii="inter" w:hAnsi="inter"/>
          <w:color w:val="000000"/>
        </w:rPr>
        <w:t xml:space="preserve"> constituye una barrera crítica que afecta al 20% de las empresas argentinas</w:t>
      </w:r>
      <w:bookmarkStart w:id="12" w:name="fnref1:9"/>
      <w:bookmarkEnd w:id="1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una cifra que se alinea con tendencias regionales donde el 20% de las compañías latinoamericanas enfrentan desafíos relacionados con la escasez de talento especializado en IA</w:t>
      </w:r>
      <w:bookmarkStart w:id="13" w:name="fnref4"/>
      <w:bookmarkEnd w:id="1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Esta problemática trasciende la simple contratación de profesionales con habilidades técnicas específicas.</w:t>
      </w:r>
    </w:p>
    <w:p>
      <w:pPr>
        <w:spacing w:line="360" w:after="210" w:lineRule="auto"/>
      </w:pPr>
      <w:r>
        <w:rPr>
          <w:rFonts w:eastAsia="inter" w:cs="inter" w:ascii="inter" w:hAnsi="inter"/>
          <w:color w:val="000000"/>
        </w:rPr>
        <w:t xml:space="preserve">El desafío del talento presenta múltiples dimensiones que incluyen la identificación de perfiles adecuados, la retención de profesionales especializados en un mercado competitivo, y la construcción de equipos multidisciplinarios con la "diversidad de habilidades" necesaria para el éxito de iniciativas de IA</w:t>
      </w:r>
      <w:bookmarkStart w:id="14" w:name="fnref2:1"/>
      <w:bookmarkEnd w:id="1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Las organizaciones no solo necesitan científicos de datos y ingenieros de machine learning, sino también profesionales capaces de tender puentes entre la tecnología y los objetivos de negocio.</w:t>
      </w:r>
    </w:p>
    <w:p>
      <w:pPr>
        <w:spacing w:line="360" w:after="210" w:lineRule="auto"/>
      </w:pPr>
      <w:r>
        <w:rPr>
          <w:rFonts w:eastAsia="inter" w:cs="inter" w:ascii="inter" w:hAnsi="inter"/>
          <w:color w:val="000000"/>
        </w:rPr>
        <w:t xml:space="preserve">La situación se complica por la necesidad de capacitación continua del personal existente. Más del 16% de las empresas considera que la falta de habilidades y talento es el principal problema para no aplicar IA en sus áreas de negocio</w:t>
      </w:r>
      <w:bookmarkStart w:id="15" w:name="fnref4:1"/>
      <w:bookmarkEnd w:id="1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Esto sugiere que muchas organizaciones subestiman la importancia de la capacitación interna y la evangelización tecnológica como componentes esenciales de sus estrategias de adopción.</w:t>
      </w:r>
    </w:p>
    <w:p>
      <w:pPr>
        <w:spacing w:line="360" w:before="315" w:after="105" w:lineRule="auto"/>
        <w:ind w:left="-30"/>
        <w:jc w:val="left"/>
      </w:pPr>
      <w:r>
        <w:rPr>
          <w:rFonts w:eastAsia="inter" w:cs="inter" w:ascii="inter" w:hAnsi="inter"/>
          <w:b/>
          <w:color w:val="000000"/>
          <w:sz w:val="24"/>
        </w:rPr>
        <w:t xml:space="preserve">Barreras Organizacionales y Culturales</w:t>
      </w:r>
    </w:p>
    <w:p>
      <w:pPr>
        <w:spacing w:line="360" w:after="210" w:lineRule="auto"/>
      </w:pPr>
      <w:r>
        <w:rPr>
          <w:rFonts w:eastAsia="inter" w:cs="inter" w:ascii="inter" w:hAnsi="inter"/>
          <w:color w:val="000000"/>
        </w:rPr>
        <w:t xml:space="preserve">Un obstáculo significativo pero menos visible es la </w:t>
      </w:r>
      <w:r>
        <w:rPr>
          <w:rFonts w:eastAsia="inter" w:cs="inter" w:ascii="inter" w:hAnsi="inter"/>
          <w:b/>
          <w:color w:val="000000"/>
        </w:rPr>
        <w:t xml:space="preserve">desconexión organizacional</w:t>
      </w:r>
      <w:r>
        <w:rPr>
          <w:rFonts w:eastAsia="inter" w:cs="inter" w:ascii="inter" w:hAnsi="inter"/>
          <w:color w:val="000000"/>
        </w:rPr>
        <w:t xml:space="preserve"> entre diferentes equipos y áreas funcionales. Existe un "estigma" entre los equipos tradicionales de business intelligence y los equipos de ciencia de datos/IA, manifestándose en comunicación limitada debido a diferencias culturales o incluso separación física en empresas con oficinas en diferentes ubicaciones</w:t>
      </w:r>
      <w:bookmarkStart w:id="16" w:name="fnref2:2"/>
      <w:bookmarkEnd w:id="1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Esta fragmentación organizacional se ve exacerbada por lo que los expertos describen como una "disonancia cognitiva" donde los ejecutivos tienen un fuerte deseo de desarrollar capacidades de IA, pero simultáneamente observan ejemplos mediáticos de fallos o resultados insatisfactorios de implementaciones de IA</w:t>
      </w:r>
      <w:bookmarkStart w:id="17" w:name="fnref2:3"/>
      <w:bookmarkEnd w:id="1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Esta tensión entre aspiración y precaución genera indecisión estratégica y retrasos en la implementación.</w:t>
      </w:r>
    </w:p>
    <w:p>
      <w:pPr>
        <w:spacing w:line="360" w:after="210" w:lineRule="auto"/>
      </w:pPr>
      <w:r>
        <w:rPr>
          <w:rFonts w:eastAsia="inter" w:cs="inter" w:ascii="inter" w:hAnsi="inter"/>
          <w:color w:val="000000"/>
        </w:rPr>
        <w:t xml:space="preserve">La falta de priorización estratégica constituye otro factor crítico, con el 21% de las empresas reportando que la IA "no es considerada una prioridad del negocio"</w:t>
      </w:r>
      <w:bookmarkStart w:id="18" w:name="fnref1:10"/>
      <w:bookmarkEnd w:id="1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situación refleja desalineación entre la visión tecnológica y los objetivos comerciales inmediatos, sugiriendo la necesidad de mejor comunicación sobre el valor estratégico de la IA y casos de uso específicos para cada industria.</w:t>
      </w:r>
    </w:p>
    <w:p>
      <w:pPr>
        <w:spacing w:line="360" w:before="315" w:after="105" w:lineRule="auto"/>
        <w:ind w:left="-30"/>
        <w:jc w:val="left"/>
      </w:pPr>
      <w:r>
        <w:rPr>
          <w:rFonts w:eastAsia="inter" w:cs="inter" w:ascii="inter" w:hAnsi="inter"/>
          <w:b/>
          <w:color w:val="000000"/>
          <w:sz w:val="24"/>
        </w:rPr>
        <w:t xml:space="preserve">Desafíos Regulatorios y de Cumplimiento</w:t>
      </w:r>
    </w:p>
    <w:p>
      <w:pPr>
        <w:spacing w:line="360" w:after="210" w:lineRule="auto"/>
      </w:pPr>
      <w:r>
        <w:rPr>
          <w:rFonts w:eastAsia="inter" w:cs="inter" w:ascii="inter" w:hAnsi="inter"/>
          <w:color w:val="000000"/>
        </w:rPr>
        <w:t xml:space="preserve">El panorama regulatorio argentino presenta incertidumbres significativas que impactan la adopción empresarial de IA. La legislación actual no está preparada para abordar las problemáticas surgidas del uso de IA en el ámbito empresarial, con excepción de la Ley 25.326 sobre protección de datos personales</w:t>
      </w:r>
      <w:bookmarkStart w:id="19" w:name="fnref5"/>
      <w:bookmarkEnd w:id="1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Esta ausencia de marcos regulatorios específicos genera incertidumbres sobre responsabilidades, cumplimiento y gestión de riesgos.</w:t>
      </w:r>
    </w:p>
    <w:p>
      <w:pPr>
        <w:spacing w:line="360" w:after="210" w:lineRule="auto"/>
      </w:pPr>
      <w:r>
        <w:rPr>
          <w:rFonts w:eastAsia="inter" w:cs="inter" w:ascii="inter" w:hAnsi="inter"/>
          <w:color w:val="000000"/>
        </w:rPr>
        <w:t xml:space="preserve">Los problemas de </w:t>
      </w:r>
      <w:r>
        <w:rPr>
          <w:rFonts w:eastAsia="inter" w:cs="inter" w:ascii="inter" w:hAnsi="inter"/>
          <w:b/>
          <w:color w:val="000000"/>
        </w:rPr>
        <w:t xml:space="preserve">transparencia y explicabilidad de algoritmos</w:t>
      </w:r>
      <w:r>
        <w:rPr>
          <w:rFonts w:eastAsia="inter" w:cs="inter" w:ascii="inter" w:hAnsi="inter"/>
          <w:color w:val="000000"/>
        </w:rPr>
        <w:t xml:space="preserve"> representan desafíos particulares, especialmente considerando que la falta de transparencia en IA contradice principios legales básicos como el derecho a la defensa, información y transparencia procedimental</w:t>
      </w:r>
      <w:bookmarkStart w:id="20" w:name="fnref5:1"/>
      <w:bookmarkEnd w:id="2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Las empresas enfrentan dilemas sobre cómo implementar sistemas de IA que cumplan con estándares éticos y legales mientras mantienen la competitividad y eficiencia operacional.</w:t>
      </w:r>
    </w:p>
    <w:p>
      <w:pPr>
        <w:spacing w:line="360" w:after="210" w:lineRule="auto"/>
      </w:pPr>
      <w:r>
        <w:rPr>
          <w:rFonts w:eastAsia="inter" w:cs="inter" w:ascii="inter" w:hAnsi="inter"/>
          <w:color w:val="000000"/>
        </w:rPr>
        <w:t xml:space="preserve">La </w:t>
      </w:r>
      <w:r>
        <w:rPr>
          <w:rFonts w:eastAsia="inter" w:cs="inter" w:ascii="inter" w:hAnsi="inter"/>
          <w:b/>
          <w:color w:val="000000"/>
        </w:rPr>
        <w:t xml:space="preserve">discriminación algorítmica</w:t>
      </w:r>
      <w:r>
        <w:rPr>
          <w:rFonts w:eastAsia="inter" w:cs="inter" w:ascii="inter" w:hAnsi="inter"/>
          <w:color w:val="000000"/>
        </w:rPr>
        <w:t xml:space="preserve"> constituye otro riesgo significativo, ya que los algoritmos de IA pueden replicar sesgos presentes en los datos utilizados para su entrenamiento</w:t>
      </w:r>
      <w:bookmarkStart w:id="21" w:name="fnref5:2"/>
      <w:bookmarkEnd w:id="2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Esto plantea desafíos particulares para empresas en sectores como recursos humanos, servicios financieros y atención al cliente, donde decisiones automatizadas pueden tener impactos significativos sobre individuos y comunidades.</w:t>
      </w:r>
    </w:p>
    <w:p>
      <w:pPr>
        <w:spacing w:line="360" w:before="315" w:after="105" w:lineRule="auto"/>
        <w:ind w:left="-30"/>
        <w:jc w:val="left"/>
      </w:pPr>
      <w:r>
        <w:rPr>
          <w:rFonts w:eastAsia="inter" w:cs="inter" w:ascii="inter" w:hAnsi="inter"/>
          <w:b/>
          <w:color w:val="000000"/>
          <w:sz w:val="24"/>
        </w:rPr>
        <w:t xml:space="preserve">Expectativas y Necesidades de las Empresas</w:t>
      </w:r>
    </w:p>
    <w:p>
      <w:pPr>
        <w:spacing w:line="360" w:before="315" w:after="105" w:lineRule="auto"/>
        <w:ind w:left="-30"/>
        <w:jc w:val="left"/>
      </w:pPr>
      <w:r>
        <w:rPr>
          <w:rFonts w:eastAsia="inter" w:cs="inter" w:ascii="inter" w:hAnsi="inter"/>
          <w:b/>
          <w:color w:val="000000"/>
          <w:sz w:val="24"/>
        </w:rPr>
        <w:t xml:space="preserve">Beneficios Esperados y Casos de Uso Prioritarios</w:t>
      </w:r>
    </w:p>
    <w:p>
      <w:pPr>
        <w:spacing w:line="360" w:after="210" w:lineRule="auto"/>
      </w:pPr>
      <w:r>
        <w:rPr>
          <w:rFonts w:eastAsia="inter" w:cs="inter" w:ascii="inter" w:hAnsi="inter"/>
          <w:color w:val="000000"/>
        </w:rPr>
        <w:t xml:space="preserve">Las empresas argentinas tienen expectativas claras sobre los beneficios que la IA debe generar, priorizando la </w:t>
      </w:r>
      <w:r>
        <w:rPr>
          <w:rFonts w:eastAsia="inter" w:cs="inter" w:ascii="inter" w:hAnsi="inter"/>
          <w:b/>
          <w:color w:val="000000"/>
        </w:rPr>
        <w:t xml:space="preserve">mayor eficiencia y productividad</w:t>
      </w:r>
      <w:r>
        <w:rPr>
          <w:rFonts w:eastAsia="inter" w:cs="inter" w:ascii="inter" w:hAnsi="inter"/>
          <w:color w:val="000000"/>
        </w:rPr>
        <w:t xml:space="preserve"> (66% de las empresas)</w:t>
      </w:r>
      <w:bookmarkStart w:id="22" w:name="fnref1:11"/>
      <w:bookmarkEnd w:id="2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expectativa refleja la presión competitiva y la necesidad de optimización operacional en un contexto económico desafiante. Las organizaciones buscan soluciones que permitan hacer más con menos recursos, automatizando tareas repetitivas y liberando capital humano para actividades de mayor valor agregado.</w:t>
      </w:r>
    </w:p>
    <w:p>
      <w:pPr>
        <w:spacing w:line="360" w:after="210" w:lineRule="auto"/>
      </w:pPr>
      <w:r>
        <w:rPr>
          <w:rFonts w:eastAsia="inter" w:cs="inter" w:ascii="inter" w:hAnsi="inter"/>
          <w:color w:val="000000"/>
        </w:rPr>
        <w:t xml:space="preserve">Las </w:t>
      </w:r>
      <w:r>
        <w:rPr>
          <w:rFonts w:eastAsia="inter" w:cs="inter" w:ascii="inter" w:hAnsi="inter"/>
          <w:b/>
          <w:color w:val="000000"/>
        </w:rPr>
        <w:t xml:space="preserve">mejoras en la atención al cliente</w:t>
      </w:r>
      <w:r>
        <w:rPr>
          <w:rFonts w:eastAsia="inter" w:cs="inter" w:ascii="inter" w:hAnsi="inter"/>
          <w:color w:val="000000"/>
        </w:rPr>
        <w:t xml:space="preserve"> constituyen la segunda expectativa más relevante (43%)</w:t>
      </w:r>
      <w:bookmarkStart w:id="23" w:name="fnref1:12"/>
      <w:bookmarkEnd w:id="2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lo que se alinea con la tendencia de implementación en esta área (69% de las empresas)</w:t>
      </w:r>
      <w:bookmarkStart w:id="24" w:name="fnref1:13"/>
      <w:bookmarkEnd w:id="2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Esta convergencia entre expectativa e implementación sugiere casos de uso maduros con retornos de inversión comprobados, incluyendo chatbots inteligentes, sistemas de recomendación personalizados y automatización de procesos de soporte.</w:t>
      </w:r>
    </w:p>
    <w:p>
      <w:pPr>
        <w:spacing w:line="360" w:after="210" w:lineRule="auto"/>
      </w:pPr>
      <w:r>
        <w:rPr>
          <w:rFonts w:eastAsia="inter" w:cs="inter" w:ascii="inter" w:hAnsi="inter"/>
          <w:color w:val="000000"/>
        </w:rPr>
        <w:t xml:space="preserve">La expectativa de </w:t>
      </w:r>
      <w:r>
        <w:rPr>
          <w:rFonts w:eastAsia="inter" w:cs="inter" w:ascii="inter" w:hAnsi="inter"/>
          <w:b/>
          <w:color w:val="000000"/>
        </w:rPr>
        <w:t xml:space="preserve">reducción de costos</w:t>
      </w:r>
      <w:r>
        <w:rPr>
          <w:rFonts w:eastAsia="inter" w:cs="inter" w:ascii="inter" w:hAnsi="inter"/>
          <w:color w:val="000000"/>
        </w:rPr>
        <w:t xml:space="preserve"> (33%)</w:t>
      </w:r>
      <w:bookmarkStart w:id="25" w:name="fnref1:14"/>
      <w:bookmarkEnd w:id="2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representa una necesidad fundamental en el contexto empresarial argentino, donde la optimización de recursos es crítica para la sostenibilidad competitiva. Las empresas buscan soluciones de IA que no solo mejoren la calidad de sus operaciones sino que también generen ahorros medibles en personal, tiempo de procesamiento y recursos operacionales.</w:t>
      </w:r>
    </w:p>
    <w:p>
      <w:pPr>
        <w:spacing w:line="360" w:before="315" w:after="105" w:lineRule="auto"/>
        <w:ind w:left="-30"/>
        <w:jc w:val="left"/>
      </w:pPr>
      <w:r>
        <w:rPr>
          <w:rFonts w:eastAsia="inter" w:cs="inter" w:ascii="inter" w:hAnsi="inter"/>
          <w:b/>
          <w:color w:val="000000"/>
          <w:sz w:val="24"/>
        </w:rPr>
        <w:t xml:space="preserve">Necesidades de Acompañamiento y Capacitación</w:t>
      </w:r>
    </w:p>
    <w:p>
      <w:pPr>
        <w:spacing w:line="360" w:after="210" w:lineRule="auto"/>
      </w:pPr>
      <w:r>
        <w:rPr>
          <w:rFonts w:eastAsia="inter" w:cs="inter" w:ascii="inter" w:hAnsi="inter"/>
          <w:color w:val="000000"/>
        </w:rPr>
        <w:t xml:space="preserve">Las empresas manifiestan una necesidad crítica de </w:t>
      </w:r>
      <w:r>
        <w:rPr>
          <w:rFonts w:eastAsia="inter" w:cs="inter" w:ascii="inter" w:hAnsi="inter"/>
          <w:b/>
          <w:color w:val="000000"/>
        </w:rPr>
        <w:t xml:space="preserve">evangelización y acompañamiento experto</w:t>
      </w:r>
      <w:r>
        <w:rPr>
          <w:rFonts w:eastAsia="inter" w:cs="inter" w:ascii="inter" w:hAnsi="inter"/>
          <w:color w:val="000000"/>
        </w:rPr>
        <w:t xml:space="preserve"> en sus procesos de adopción. Como señala el reporte de NTT Data, "el experto debe ser contratado para hacer la evangelización"</w:t>
      </w:r>
      <w:bookmarkStart w:id="26" w:name="fnref4:2"/>
      <w:bookmarkEnd w:id="2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sugiriendo que las organizaciones reconocen la importancia de contar con guía especializada para navegar la complejidad de la transformación con IA.</w:t>
      </w:r>
    </w:p>
    <w:p>
      <w:pPr>
        <w:spacing w:line="360" w:after="210" w:lineRule="auto"/>
      </w:pPr>
      <w:r>
        <w:rPr>
          <w:rFonts w:eastAsia="inter" w:cs="inter" w:ascii="inter" w:hAnsi="inter"/>
          <w:color w:val="000000"/>
        </w:rPr>
        <w:t xml:space="preserve">Esta necesidad de acompañamiento trasciende la consultoría técnica e incluye la </w:t>
      </w:r>
      <w:r>
        <w:rPr>
          <w:rFonts w:eastAsia="inter" w:cs="inter" w:ascii="inter" w:hAnsi="inter"/>
          <w:b/>
          <w:color w:val="000000"/>
        </w:rPr>
        <w:t xml:space="preserve">capacitación organizacional</w:t>
      </w:r>
      <w:r>
        <w:rPr>
          <w:rFonts w:eastAsia="inter" w:cs="inter" w:ascii="inter" w:hAnsi="inter"/>
          <w:color w:val="000000"/>
        </w:rPr>
        <w:t xml:space="preserve"> a múltiples niveles. Las empresas requieren programas de formación que aborden desde la sensibilización ejecutiva sobre oportunidades estratégicas hasta el desarrollo de competencias técnicas específicas en equipos operacionales. La formación debe ser contextualizada para diferentes roles y industrias, proporcionando marcos prácticos para la identificación y evaluación de casos de uso.</w:t>
      </w:r>
    </w:p>
    <w:p>
      <w:pPr>
        <w:spacing w:line="360" w:after="210" w:lineRule="auto"/>
      </w:pPr>
      <w:r>
        <w:rPr>
          <w:rFonts w:eastAsia="inter" w:cs="inter" w:ascii="inter" w:hAnsi="inter"/>
          <w:color w:val="000000"/>
        </w:rPr>
        <w:t xml:space="preserve">La demanda de </w:t>
      </w:r>
      <w:r>
        <w:rPr>
          <w:rFonts w:eastAsia="inter" w:cs="inter" w:ascii="inter" w:hAnsi="inter"/>
          <w:b/>
          <w:color w:val="000000"/>
        </w:rPr>
        <w:t xml:space="preserve">metodologías de implementación probadas</w:t>
      </w:r>
      <w:r>
        <w:rPr>
          <w:rFonts w:eastAsia="inter" w:cs="inter" w:ascii="inter" w:hAnsi="inter"/>
          <w:color w:val="000000"/>
        </w:rPr>
        <w:t xml:space="preserve"> es evidente en el alto porcentaje de empresas que luchan con la claridad sobre incorporación de IA en procesos de negocio. Las organizaciones necesitan frameworks estructurados que les permitan evaluar madurez organizacional, identificar oportunidades prioritarias, diseñar pilotos controlados y escalar implementaciones exitosas de manera sistemática.</w:t>
      </w:r>
    </w:p>
    <w:p>
      <w:pPr>
        <w:spacing w:line="360" w:before="315" w:after="105" w:lineRule="auto"/>
        <w:ind w:left="-30"/>
        <w:jc w:val="left"/>
      </w:pPr>
      <w:r>
        <w:rPr>
          <w:rFonts w:eastAsia="inter" w:cs="inter" w:ascii="inter" w:hAnsi="inter"/>
          <w:b/>
          <w:color w:val="000000"/>
          <w:sz w:val="24"/>
        </w:rPr>
        <w:t xml:space="preserve">Expectativas de Retorno de Inversión y Medición</w:t>
      </w:r>
    </w:p>
    <w:p>
      <w:pPr>
        <w:spacing w:line="360" w:after="210" w:lineRule="auto"/>
      </w:pPr>
      <w:r>
        <w:rPr>
          <w:rFonts w:eastAsia="inter" w:cs="inter" w:ascii="inter" w:hAnsi="inter"/>
          <w:color w:val="000000"/>
        </w:rPr>
        <w:t xml:space="preserve">Las empresas argentinas demuestran un enfoque pragmático hacia la IA, con expectativas claras de </w:t>
      </w:r>
      <w:r>
        <w:rPr>
          <w:rFonts w:eastAsia="inter" w:cs="inter" w:ascii="inter" w:hAnsi="inter"/>
          <w:b/>
          <w:color w:val="000000"/>
        </w:rPr>
        <w:t xml:space="preserve">resultados medibles en plazos específicos</w:t>
      </w:r>
      <w:r>
        <w:rPr>
          <w:rFonts w:eastAsia="inter" w:cs="inter" w:ascii="inter" w:hAnsi="inter"/>
          <w:color w:val="000000"/>
        </w:rPr>
        <w:t xml:space="preserve">. El hecho de que el 48% de las empresas que aún no ven resultados espere obtenerlos en los próximos 6 a 12 meses</w:t>
      </w:r>
      <w:bookmarkStart w:id="27" w:name="fnref1:15"/>
      <w:bookmarkEnd w:id="2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refleja una expectativa de retorno relativamente rápido que debe ser gestionada cuidadosamente a través de la selección apropiada de casos de uso iniciales.</w:t>
      </w:r>
    </w:p>
    <w:p>
      <w:pPr>
        <w:spacing w:line="360" w:after="210" w:lineRule="auto"/>
      </w:pPr>
      <w:r>
        <w:rPr>
          <w:rFonts w:eastAsia="inter" w:cs="inter" w:ascii="inter" w:hAnsi="inter"/>
          <w:color w:val="000000"/>
        </w:rPr>
        <w:t xml:space="preserve">La necesidad de </w:t>
      </w:r>
      <w:r>
        <w:rPr>
          <w:rFonts w:eastAsia="inter" w:cs="inter" w:ascii="inter" w:hAnsi="inter"/>
          <w:b/>
          <w:color w:val="000000"/>
        </w:rPr>
        <w:t xml:space="preserve">métricas y KPIs específicos</w:t>
      </w:r>
      <w:r>
        <w:rPr>
          <w:rFonts w:eastAsia="inter" w:cs="inter" w:ascii="inter" w:hAnsi="inter"/>
          <w:color w:val="000000"/>
        </w:rPr>
        <w:t xml:space="preserve"> para proyectos de IA es evidente en las conversaciones empresariales. Las organizaciones requieren marcos de medición que vayan más allá de métricas técnicas tradicionales (precisión, recall) e incluyan indicadores de impacto comercial, adopción organizacional y valor generado. Esto incluye metodologías para calcular ROI en iniciativas de IA, considerando tanto beneficios tangibles como intangibles.</w:t>
      </w:r>
    </w:p>
    <w:p>
      <w:pPr>
        <w:spacing w:line="360" w:after="210" w:lineRule="auto"/>
      </w:pPr>
      <w:r>
        <w:rPr>
          <w:rFonts w:eastAsia="inter" w:cs="inter" w:ascii="inter" w:hAnsi="inter"/>
          <w:color w:val="000000"/>
        </w:rPr>
        <w:t xml:space="preserve">Las empresas también manifiestan expectativas sobre </w:t>
      </w:r>
      <w:r>
        <w:rPr>
          <w:rFonts w:eastAsia="inter" w:cs="inter" w:ascii="inter" w:hAnsi="inter"/>
          <w:b/>
          <w:color w:val="000000"/>
        </w:rPr>
        <w:t xml:space="preserve">escalabilidad y sostenibilidad</w:t>
      </w:r>
      <w:r>
        <w:rPr>
          <w:rFonts w:eastAsia="inter" w:cs="inter" w:ascii="inter" w:hAnsi="inter"/>
          <w:color w:val="000000"/>
        </w:rPr>
        <w:t xml:space="preserve"> de sus inversiones en IA. Buscan soluciones que no solo resuelvan problemas inmediatos sino que sienten bases para capacidades de IA más amplias y sofisticadas en el futuro. Esto incluye consideraciones sobre arquitecturas tecnológicas, gestión de datos y desarrollo de competencias organizacionales que permitan evolución continua.</w:t>
      </w:r>
    </w:p>
    <w:p>
      <w:pPr>
        <w:spacing w:line="360" w:before="315" w:after="105" w:lineRule="auto"/>
        <w:ind w:left="-30"/>
        <w:jc w:val="left"/>
      </w:pPr>
      <w:r>
        <w:rPr>
          <w:rFonts w:eastAsia="inter" w:cs="inter" w:ascii="inter" w:hAnsi="inter"/>
          <w:b/>
          <w:color w:val="000000"/>
          <w:sz w:val="24"/>
        </w:rPr>
        <w:t xml:space="preserve">Propuesta de Agenda de Contenido para el Evento</w:t>
      </w:r>
    </w:p>
    <w:p>
      <w:pPr>
        <w:spacing w:line="360" w:before="315" w:after="105" w:lineRule="auto"/>
        <w:ind w:left="-30"/>
        <w:jc w:val="left"/>
      </w:pPr>
      <w:r>
        <w:rPr>
          <w:rFonts w:eastAsia="inter" w:cs="inter" w:ascii="inter" w:hAnsi="inter"/>
          <w:b/>
          <w:color w:val="000000"/>
          <w:sz w:val="24"/>
        </w:rPr>
        <w:t xml:space="preserve">Sesión de Apertura: "El Estado de la IA en Argentina - Oportunidades y Realidades"</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60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Panel ejecutivo con datos y casos reales</w:t>
      </w:r>
    </w:p>
    <w:p>
      <w:pPr>
        <w:spacing w:line="360" w:after="210" w:lineRule="auto"/>
      </w:pPr>
      <w:r>
        <w:rPr>
          <w:rFonts w:eastAsia="inter" w:cs="inter" w:ascii="inter" w:hAnsi="inter"/>
          <w:color w:val="000000"/>
        </w:rPr>
        <w:t xml:space="preserve">Esta sesión inicial debe establecer el contexto del mercado argentino con datos actualizados sobre adopción, inversión y tendencias. El panel debe incluir representantes de diferentes sectores industriales que compartan experiencias específicas sobre sus journey de adopción de IA. Es fundamental presentar tanto casos de éxito como lecciones aprendidas de implementaciones desafiantes, proporcionando una visión balanceada que ayude a establecer expectativas realistas.</w:t>
      </w:r>
    </w:p>
    <w:p>
      <w:pPr>
        <w:spacing w:line="360" w:after="210" w:lineRule="auto"/>
      </w:pPr>
      <w:r>
        <w:rPr>
          <w:rFonts w:eastAsia="inter" w:cs="inter" w:ascii="inter" w:hAnsi="inter"/>
          <w:color w:val="000000"/>
        </w:rPr>
        <w:t xml:space="preserve">El contenido debe abordar específicamente las estadísticas locales sobre percepción positiva (81%), resultados tangibles (43% de empresas) y proyecciones de inversión (74% de grandes empresas planea aumentar inversión)</w:t>
      </w:r>
      <w:bookmarkStart w:id="28" w:name="fnref1:16"/>
      <w:bookmarkEnd w:id="28"/>
      <w:hyperlink w:anchor="fn1">
        <w:r>
          <w:rPr>
            <w:rFonts w:eastAsia="inter" w:cs="inter" w:ascii="inter" w:hAnsi="inter"/>
            <w:color w:val="#000"/>
            <w:u w:val="single"/>
            <w:vertAlign w:val="superscript"/>
          </w:rPr>
          <w:t xml:space="preserve">[1]</w:t>
        </w:r>
      </w:hyperlink>
      <w:bookmarkStart w:id="29" w:name="fnref3:2"/>
      <w:bookmarkEnd w:id="2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Esta contextualización permitirá que los asistentes comprendan su posición relativa en el panorama nacional y identifiquen oportunidades de diferenciación competitiva.</w:t>
      </w:r>
    </w:p>
    <w:p>
      <w:pPr>
        <w:spacing w:line="360" w:before="315" w:after="105" w:lineRule="auto"/>
        <w:ind w:left="-30"/>
        <w:jc w:val="left"/>
      </w:pPr>
      <w:r>
        <w:rPr>
          <w:rFonts w:eastAsia="inter" w:cs="inter" w:ascii="inter" w:hAnsi="inter"/>
          <w:b/>
          <w:color w:val="000000"/>
          <w:sz w:val="24"/>
        </w:rPr>
        <w:t xml:space="preserve">Bloque Temático 1: "Desmitificando la Implementación - Del Concepto a la Operación"</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90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Workshop interactivo con metodologías prácticas</w:t>
      </w:r>
    </w:p>
    <w:p>
      <w:pPr>
        <w:spacing w:line="360" w:after="210" w:lineRule="auto"/>
      </w:pPr>
      <w:r>
        <w:rPr>
          <w:rFonts w:eastAsia="inter" w:cs="inter" w:ascii="inter" w:hAnsi="inter"/>
          <w:color w:val="000000"/>
        </w:rPr>
        <w:t xml:space="preserve">Este bloque debe abordar directamente el dolor principal identificado: la falta de claridad sobre cómo incorporar IA a los procesos de negocio (29% de empresas)</w:t>
      </w:r>
      <w:bookmarkStart w:id="30" w:name="fnref1:17"/>
      <w:bookmarkEnd w:id="3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El contenido debe incluir metodologías paso a paso para identificación de casos de uso, evaluación de viabilidad técnica y comercial, y diseño de roadmaps de implementación.</w:t>
      </w:r>
    </w:p>
    <w:p>
      <w:pPr>
        <w:spacing w:line="360" w:after="210" w:lineRule="auto"/>
      </w:pPr>
      <w:r>
        <w:rPr>
          <w:rFonts w:eastAsia="inter" w:cs="inter" w:ascii="inter" w:hAnsi="inter"/>
          <w:color w:val="000000"/>
        </w:rPr>
        <w:t xml:space="preserve">El workshop debe proporcionar herramientas prácticas como canvas de oportunidades de IA, frameworks de priorización de casos de uso, y metodologías de pilotaje controlado. Es fundamental incluir ejemplos específicos de diferentes industrias (manufactura, servicios financieros, retail, salud) que permitan a los asistentes conectar conceptos abstractos con aplicaciones concretas en sus sectores.</w:t>
      </w:r>
    </w:p>
    <w:p>
      <w:pPr>
        <w:spacing w:line="360" w:after="210" w:lineRule="auto"/>
      </w:pPr>
      <w:r>
        <w:rPr>
          <w:rFonts w:eastAsia="inter" w:cs="inter" w:ascii="inter" w:hAnsi="inter"/>
          <w:color w:val="000000"/>
        </w:rPr>
        <w:t xml:space="preserve">La sesión debe abordar también la gestión del cambio organizacional, proporcionando estrategias para superar resistencia interna y generar adopción cross-funcional. Esto incluye técnicas de comunicación de valor, estructuras de gobierno para proyectos de IA, y métricas de éxito tanto técnicas como comerciales.</w:t>
      </w:r>
    </w:p>
    <w:p>
      <w:pPr>
        <w:spacing w:line="360" w:before="315" w:after="105" w:lineRule="auto"/>
        <w:ind w:left="-30"/>
        <w:jc w:val="left"/>
      </w:pPr>
      <w:r>
        <w:rPr>
          <w:rFonts w:eastAsia="inter" w:cs="inter" w:ascii="inter" w:hAnsi="inter"/>
          <w:b/>
          <w:color w:val="000000"/>
          <w:sz w:val="24"/>
        </w:rPr>
        <w:t xml:space="preserve">Bloque Temático 2: "Construyendo Capacidades - Talento, Equipos y Cultura"</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75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Mesa redonda con casos prácticos y soluciones</w:t>
      </w:r>
    </w:p>
    <w:p>
      <w:pPr>
        <w:spacing w:line="360" w:after="210" w:lineRule="auto"/>
      </w:pPr>
      <w:r>
        <w:rPr>
          <w:rFonts w:eastAsia="inter" w:cs="inter" w:ascii="inter" w:hAnsi="inter"/>
          <w:color w:val="000000"/>
        </w:rPr>
        <w:t xml:space="preserve">Dado que el 20% de las empresas enfrenta problemas de escasez de talento especializado</w:t>
      </w:r>
      <w:bookmarkStart w:id="31" w:name="fnref4:3"/>
      <w:bookmarkEnd w:id="31"/>
      <w:hyperlink w:anchor="fn4">
        <w:r>
          <w:rPr>
            <w:rFonts w:eastAsia="inter" w:cs="inter" w:ascii="inter" w:hAnsi="inter"/>
            <w:color w:val="#000"/>
            <w:u w:val="single"/>
            <w:vertAlign w:val="superscript"/>
          </w:rPr>
          <w:t xml:space="preserve">[4]</w:t>
        </w:r>
      </w:hyperlink>
      <w:bookmarkStart w:id="32" w:name="fnref1:18"/>
      <w:bookmarkEnd w:id="3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este bloque debe proporcionar estrategias integrales para desarrollo de capacidades organizacionales. El contenido debe abordar tanto la contratación de talento externo como el desarrollo de competencias internas a través de programas de upskilling y reskilling.</w:t>
      </w:r>
    </w:p>
    <w:p>
      <w:pPr>
        <w:spacing w:line="360" w:after="210" w:lineRule="auto"/>
      </w:pPr>
      <w:r>
        <w:rPr>
          <w:rFonts w:eastAsia="inter" w:cs="inter" w:ascii="inter" w:hAnsi="inter"/>
          <w:color w:val="000000"/>
        </w:rPr>
        <w:t xml:space="preserve">La sesión debe incluir representantes de universidades locales, empresas de capacitación especializada, y organizaciones que hayan desarrollado exitosamente programas internos de formación en IA. Es fundamental discutir modelos híbridos que combinen talento interno capacitado con expertise externo, incluyendo estrategias de partnering con consultoras especializadas y proveedores de tecnología.</w:t>
      </w:r>
    </w:p>
    <w:p>
      <w:pPr>
        <w:spacing w:line="360" w:after="210" w:lineRule="auto"/>
      </w:pPr>
      <w:r>
        <w:rPr>
          <w:rFonts w:eastAsia="inter" w:cs="inter" w:ascii="inter" w:hAnsi="inter"/>
          <w:color w:val="000000"/>
        </w:rPr>
        <w:t xml:space="preserve">El bloque debe abordar también la construcción de equipos multidisciplinarios efectivos, superando las barreras de comunicación entre equipos tradicionales de BI y equipos de IA</w:t>
      </w:r>
      <w:bookmarkStart w:id="33" w:name="fnref2:4"/>
      <w:bookmarkEnd w:id="3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Esto incluye metodologías de colaboración, estructuras organizacionales facilitadoras, y programas de evangelización interna que generen alineación cross-funcional.</w:t>
      </w:r>
    </w:p>
    <w:p>
      <w:pPr>
        <w:spacing w:line="360" w:before="315" w:after="105" w:lineRule="auto"/>
        <w:ind w:left="-30"/>
        <w:jc w:val="left"/>
      </w:pPr>
      <w:r>
        <w:rPr>
          <w:rFonts w:eastAsia="inter" w:cs="inter" w:ascii="inter" w:hAnsi="inter"/>
          <w:b/>
          <w:color w:val="000000"/>
          <w:sz w:val="24"/>
        </w:rPr>
        <w:t xml:space="preserve">Bloque Temático 3: "Marco Regulatorio y Ética - Navegando la Incertidumbre"</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60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Panel legal-técnico con guidelines prácticas</w:t>
      </w:r>
    </w:p>
    <w:p>
      <w:pPr>
        <w:spacing w:line="360" w:after="210" w:lineRule="auto"/>
      </w:pPr>
      <w:r>
        <w:rPr>
          <w:rFonts w:eastAsia="inter" w:cs="inter" w:ascii="inter" w:hAnsi="inter"/>
          <w:color w:val="000000"/>
        </w:rPr>
        <w:t xml:space="preserve">Este bloque debe abordar las incertidumbres regulatorias identificadas, proporcionando guidance práctico sobre cómo desarrollar frameworks de cumplimiento interno en ausencia de regulación específica</w:t>
      </w:r>
      <w:bookmarkStart w:id="34" w:name="fnref5:3"/>
      <w:bookmarkEnd w:id="3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El panel debe incluir abogados especializados en tecnología, compliance officers, y representantes de empresas que hayan desarrollado códigos de ética para IA.</w:t>
      </w:r>
    </w:p>
    <w:p>
      <w:pPr>
        <w:spacing w:line="360" w:after="210" w:lineRule="auto"/>
      </w:pPr>
      <w:r>
        <w:rPr>
          <w:rFonts w:eastAsia="inter" w:cs="inter" w:ascii="inter" w:hAnsi="inter"/>
          <w:color w:val="000000"/>
        </w:rPr>
        <w:t xml:space="preserve">El contenido debe abordar específicamente la gestión de sesgos algorítmicos, transparencia en decisiones automatizadas, y responsabilidad sobre resultados de sistemas de IA. Es fundamental proporcionar herramientas prácticas como checklists de evaluación ética, procesos de auditoría algorítmica, y frameworks de documentación que permitan demostrar cumplimiento y responsabilidad.</w:t>
      </w:r>
    </w:p>
    <w:p>
      <w:pPr>
        <w:spacing w:line="360" w:after="210" w:lineRule="auto"/>
      </w:pPr>
      <w:r>
        <w:rPr>
          <w:rFonts w:eastAsia="inter" w:cs="inter" w:ascii="inter" w:hAnsi="inter"/>
          <w:color w:val="000000"/>
        </w:rPr>
        <w:t xml:space="preserve">La sesión debe incluir también discusión sobre tendencias regulatorias internacionales (EU AI Act, regulaciones de US) y cómo las empresas argentinas pueden prepararse proactivamente para marcos regulatorios futuros, convirtiendo el cumplimiento en ventaja competitiva.</w:t>
      </w:r>
    </w:p>
    <w:p>
      <w:pPr>
        <w:spacing w:line="360" w:before="315" w:after="105" w:lineRule="auto"/>
        <w:ind w:left="-30"/>
        <w:jc w:val="left"/>
      </w:pPr>
      <w:r>
        <w:rPr>
          <w:rFonts w:eastAsia="inter" w:cs="inter" w:ascii="inter" w:hAnsi="inter"/>
          <w:b/>
          <w:color w:val="000000"/>
          <w:sz w:val="24"/>
        </w:rPr>
        <w:t xml:space="preserve">Bloque Temático 4: "ROI y Medición - Demostrando Valor Real"</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75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Workshop con herramientas de medición y casos financieros</w:t>
      </w:r>
    </w:p>
    <w:p>
      <w:pPr>
        <w:spacing w:line="360" w:after="210" w:lineRule="auto"/>
      </w:pPr>
      <w:r>
        <w:rPr>
          <w:rFonts w:eastAsia="inter" w:cs="inter" w:ascii="inter" w:hAnsi="inter"/>
          <w:color w:val="000000"/>
        </w:rPr>
        <w:t xml:space="preserve">Considerando que las empresas buscan principalmente eficiencia y productividad (66%) y mejoras en atención al cliente (43%)</w:t>
      </w:r>
      <w:bookmarkStart w:id="35" w:name="fnref1:19"/>
      <w:bookmarkEnd w:id="3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este bloque debe proporcionar metodologías específicas para medir y demostrar valor en estas áreas. El workshop debe incluir frameworks de cálculo de ROI específicos para IA, considerando tanto beneficios directos como indirectos.</w:t>
      </w:r>
    </w:p>
    <w:p>
      <w:pPr>
        <w:spacing w:line="360" w:after="210" w:lineRule="auto"/>
      </w:pPr>
      <w:r>
        <w:rPr>
          <w:rFonts w:eastAsia="inter" w:cs="inter" w:ascii="inter" w:hAnsi="inter"/>
          <w:color w:val="000000"/>
        </w:rPr>
        <w:t xml:space="preserve">El contenido debe abordar métricas técnicas (accuracy, precision, recall) y su traducción a indicadores de negocio (reducción de costos, incremento de revenue, mejora en satisfacción del cliente). Es fundamental incluir casos reales con números específicos que permitan a los asistentes benchmarkear sus propias expectativas y resultados.</w:t>
      </w:r>
    </w:p>
    <w:p>
      <w:pPr>
        <w:spacing w:line="360" w:after="210" w:lineRule="auto"/>
      </w:pPr>
      <w:r>
        <w:rPr>
          <w:rFonts w:eastAsia="inter" w:cs="inter" w:ascii="inter" w:hAnsi="inter"/>
          <w:color w:val="000000"/>
        </w:rPr>
        <w:t xml:space="preserve">La sesión debe incluir también estrategias para comunicar valor a stakeholders no técnicos, incluyendo executives y boards. Esto incluye técnicas de storytelling con datos, dashboards ejecutivos efectivos, y presentaciones de business case que generen buy-in organizacional para inversiones sostenidas en IA.</w:t>
      </w:r>
    </w:p>
    <w:p>
      <w:pPr>
        <w:spacing w:line="360" w:before="315" w:after="105" w:lineRule="auto"/>
        <w:ind w:left="-30"/>
        <w:jc w:val="left"/>
      </w:pPr>
      <w:r>
        <w:rPr>
          <w:rFonts w:eastAsia="inter" w:cs="inter" w:ascii="inter" w:hAnsi="inter"/>
          <w:b/>
          <w:color w:val="000000"/>
          <w:sz w:val="24"/>
        </w:rPr>
        <w:t xml:space="preserve">Sesión de Cierre: "Roadmap Personal - Próximos Pasos para su Organización"</w:t>
      </w:r>
    </w:p>
    <w:p>
      <w:pPr>
        <w:spacing w:line="360" w:after="210" w:lineRule="auto"/>
      </w:pPr>
      <w:r>
        <w:rPr>
          <w:rFonts w:eastAsia="inter" w:cs="inter" w:ascii="inter" w:hAnsi="inter"/>
          <w:b/>
          <w:color w:val="000000"/>
        </w:rPr>
        <w:t xml:space="preserve">Duración:</w:t>
      </w:r>
      <w:r>
        <w:rPr>
          <w:rFonts w:eastAsia="inter" w:cs="inter" w:ascii="inter" w:hAnsi="inter"/>
          <w:color w:val="000000"/>
        </w:rPr>
        <w:t xml:space="preserve"> 45 minutos</w:t>
      </w:r>
      <w:r>
        <w:rPr>
          <w:rFonts w:eastAsia="inter" w:cs="inter" w:ascii="inter" w:hAnsi="inter"/>
          <w:color w:val="000000"/>
        </w:rPr>
        <w:br w:type="textWrapping"/>
      </w:r>
      <w:r>
        <w:rPr>
          <w:rFonts w:eastAsia="inter" w:cs="inter" w:ascii="inter" w:hAnsi="inter"/>
          <w:b/>
          <w:color w:val="000000"/>
        </w:rPr>
        <w:t xml:space="preserve">Formato:</w:t>
      </w:r>
      <w:r>
        <w:rPr>
          <w:rFonts w:eastAsia="inter" w:cs="inter" w:ascii="inter" w:hAnsi="inter"/>
          <w:color w:val="000000"/>
        </w:rPr>
        <w:t xml:space="preserve"> Workshop personal con templates descargables</w:t>
      </w:r>
    </w:p>
    <w:p>
      <w:pPr>
        <w:spacing w:line="360" w:after="210" w:lineRule="auto"/>
      </w:pPr>
      <w:r>
        <w:rPr>
          <w:rFonts w:eastAsia="inter" w:cs="inter" w:ascii="inter" w:hAnsi="inter"/>
          <w:color w:val="000000"/>
        </w:rPr>
        <w:t xml:space="preserve">Esta sesión debe proporcionar herramientas concretas para que cada asistente desarrolle un plan de acción específico para su organización. Debe incluir templates para evaluación de madurez organizacional, identificación de casos de uso prioritarios, y desarrollo de roadmaps de implementación a 6, 12 y 18 meses.</w:t>
      </w:r>
    </w:p>
    <w:p>
      <w:pPr>
        <w:spacing w:line="360" w:after="210" w:lineRule="auto"/>
      </w:pPr>
      <w:r>
        <w:rPr>
          <w:rFonts w:eastAsia="inter" w:cs="inter" w:ascii="inter" w:hAnsi="inter"/>
          <w:color w:val="000000"/>
        </w:rPr>
        <w:t xml:space="preserve">El workshop debe incluir también recursos de follow-up como directorios de proveedores especializados, programas de capacitación recomendados, y comunidades de práctica donde los asistentes puedan continuar su aprendizaje y networking post-evento. Es fundamental proporcionar continuidad que mantenga el momentum generado durante el evento.</w:t>
      </w:r>
    </w:p>
    <w:p>
      <w:pPr>
        <w:spacing w:line="360" w:before="315" w:after="105" w:lineRule="auto"/>
        <w:ind w:left="-30"/>
        <w:jc w:val="left"/>
      </w:pPr>
      <w:r>
        <w:rPr>
          <w:rFonts w:eastAsia="inter" w:cs="inter" w:ascii="inter" w:hAnsi="inter"/>
          <w:b/>
          <w:color w:val="000000"/>
          <w:sz w:val="24"/>
        </w:rPr>
        <w:t xml:space="preserve">Conclusiones</w:t>
      </w:r>
    </w:p>
    <w:p>
      <w:pPr>
        <w:spacing w:line="360" w:after="210" w:lineRule="auto"/>
      </w:pPr>
      <w:r>
        <w:rPr>
          <w:rFonts w:eastAsia="inter" w:cs="inter" w:ascii="inter" w:hAnsi="inter"/>
          <w:color w:val="000000"/>
        </w:rPr>
        <w:t xml:space="preserve">El análisis revela que las empresas argentinas se encuentran en un momento de inflexión crucial en la adopción de inteligencia artificial, caracterizado por una alta expectativa estratégica pero enfrentando barreras operacionales significativas. La brecha entre percepción positiva (81%) y implementación extensiva refleja la necesidad de abordajes metodológicos específicos que traduzcan visión estratégica en ejecución táctica efectiva.</w:t>
      </w:r>
    </w:p>
    <w:p>
      <w:pPr>
        <w:spacing w:line="360" w:after="210" w:lineRule="auto"/>
      </w:pPr>
      <w:r>
        <w:rPr>
          <w:rFonts w:eastAsia="inter" w:cs="inter" w:ascii="inter" w:hAnsi="inter"/>
          <w:color w:val="000000"/>
        </w:rPr>
        <w:t xml:space="preserve">Los dolores identificados - falta de claridad en implementación (29%), escasez de talento (20%), y ausencia de priorización estratégica (21%)</w:t>
      </w:r>
      <w:bookmarkStart w:id="36" w:name="fnref1:20"/>
      <w:bookmarkEnd w:id="3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 configuran una agenda clara para el evento CESSI que debe combinar elementos de educación, metodología práctica, y networking estratégico. La propuesta de contenido diseñada aborda sistemáticamente cada uno de estos desafíos, proporcionando valor inmediato y herramientas accionables para organizaciones en diferentes etapas de madurez.</w:t>
      </w:r>
    </w:p>
    <w:p>
      <w:pPr>
        <w:spacing w:line="360" w:after="210" w:lineRule="auto"/>
      </w:pPr>
      <w:r>
        <w:rPr>
          <w:rFonts w:eastAsia="inter" w:cs="inter" w:ascii="inter" w:hAnsi="inter"/>
          <w:color w:val="000000"/>
        </w:rPr>
        <w:t xml:space="preserve">El éxito del evento dependerá de su capacidad para generar claridad metodológica, facilitar conexiones estratégicas entre asistentes y proveedores, y proporcionar recursos de follow-up que sostengan el momentum post-evento. La combinación de insights estratégicos, herramientas prácticas, y casos reales del mercado argentino posicionará a CESSI como facilitador clave en la transformación digital del ecosistema empresarial nacional.</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7" w:name="fn1"/>
    <w:bookmarkEnd w:id="37"/>
    <w:p>
      <w:pPr>
        <w:numPr>
          <w:ilvl w:val="0"/>
          <w:numId w:val="2"/>
        </w:numPr>
        <w:spacing w:line="360" w:after="210" w:lineRule="auto"/>
      </w:pPr>
      <w:hyperlink r:id="rId6">
        <w:r>
          <w:rPr>
            <w:rFonts w:eastAsia="inter" w:cs="inter" w:ascii="inter" w:hAnsi="inter"/>
            <w:color w:val="#000"/>
            <w:sz w:val="18"/>
            <w:u w:val="single"/>
          </w:rPr>
          <w:t xml:space="preserve">https://www.cronista.com/infotechnology/it-business/la-mitad-de-las-empresas-argentinas-ya-obtiene-resultados-de-sus-inversiones-en-ia-segun-estudio/</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2"/>
    <w:bookmarkEnd w:id="38"/>
    <w:p>
      <w:pPr>
        <w:numPr>
          <w:ilvl w:val="0"/>
          <w:numId w:val="2"/>
        </w:numPr>
        <w:spacing w:line="360" w:after="210" w:lineRule="auto"/>
      </w:pPr>
      <w:hyperlink r:id="rId7">
        <w:r>
          <w:rPr>
            <w:rFonts w:eastAsia="inter" w:cs="inter" w:ascii="inter" w:hAnsi="inter"/>
            <w:color w:val="#000"/>
            <w:sz w:val="18"/>
            <w:u w:val="single"/>
          </w:rPr>
          <w:t xml:space="preserve">https://www.rtinsights.com/obstacles-to-enterprise-ai-and-how-to-overcome-them/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3"/>
    <w:bookmarkEnd w:id="39"/>
    <w:p>
      <w:pPr>
        <w:numPr>
          <w:ilvl w:val="0"/>
          <w:numId w:val="2"/>
        </w:numPr>
        <w:spacing w:line="360" w:after="210" w:lineRule="auto"/>
      </w:pPr>
      <w:hyperlink r:id="rId8">
        <w:r>
          <w:rPr>
            <w:rFonts w:eastAsia="inter" w:cs="inter" w:ascii="inter" w:hAnsi="inter"/>
            <w:color w:val="#000"/>
            <w:sz w:val="18"/>
            <w:u w:val="single"/>
          </w:rPr>
          <w:t xml:space="preserve">https://fortuna.perfil.com/noticias/tecnologia/que-sectores-lideran-la-implementacion-de-la-inteligencia-artificial-en-argentina.phtml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4"/>
    <w:bookmarkEnd w:id="40"/>
    <w:p>
      <w:pPr>
        <w:numPr>
          <w:ilvl w:val="0"/>
          <w:numId w:val="2"/>
        </w:numPr>
        <w:spacing w:line="360" w:after="210" w:lineRule="auto"/>
      </w:pPr>
      <w:hyperlink r:id="rId9">
        <w:r>
          <w:rPr>
            <w:rFonts w:eastAsia="inter" w:cs="inter" w:ascii="inter" w:hAnsi="inter"/>
            <w:color w:val="#000"/>
            <w:sz w:val="18"/>
            <w:u w:val="single"/>
          </w:rPr>
          <w:t xml:space="preserve">https://www.americaeconomia.com/en/business-industries/artificial-intelligence-new-phase-no-return-latin-american-companies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5"/>
    <w:bookmarkEnd w:id="41"/>
    <w:p>
      <w:pPr>
        <w:numPr>
          <w:ilvl w:val="0"/>
          <w:numId w:val="2"/>
        </w:numPr>
        <w:spacing w:line="360" w:after="210" w:lineRule="auto"/>
      </w:pPr>
      <w:hyperlink r:id="rId10">
        <w:r>
          <w:rPr>
            <w:rFonts w:eastAsia="inter" w:cs="inter" w:ascii="inter" w:hAnsi="inter"/>
            <w:color w:val="#000"/>
            <w:sz w:val="18"/>
            <w:u w:val="single"/>
          </w:rPr>
          <w:t xml:space="preserve">https://www.linkedin.com/posts/fernando-gastón-herlein-94033614_artificial-intelligence-and-argentine-law-activity-7274458978737160192-sqCq</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e22ee165cab690a3d1b7e3e0ea9b8cc155c270c.png" TargetMode="Internal"/><Relationship Id="rId6" Type="http://schemas.openxmlformats.org/officeDocument/2006/relationships/hyperlink" Target="https://www.cronista.com/infotechnology/it-business/la-mitad-de-las-empresas-argentinas-ya-obtiene-resultados-de-sus-inversiones-en-ia-segun-estudio/" TargetMode="External"/><Relationship Id="rId7" Type="http://schemas.openxmlformats.org/officeDocument/2006/relationships/hyperlink" Target="https://www.rtinsights.com/obstacles-to-enterprise-ai-and-how-to-overcome-them/" TargetMode="External"/><Relationship Id="rId8" Type="http://schemas.openxmlformats.org/officeDocument/2006/relationships/hyperlink" Target="https://fortuna.perfil.com/noticias/tecnologia/que-sectores-lideran-la-implementacion-de-la-inteligencia-artificial-en-argentina.phtml" TargetMode="External"/><Relationship Id="rId9" Type="http://schemas.openxmlformats.org/officeDocument/2006/relationships/hyperlink" Target="https://www.americaeconomia.com/en/business-industries/artificial-intelligence-new-phase-no-return-latin-american-companies" TargetMode="External"/><Relationship Id="rId10" Type="http://schemas.openxmlformats.org/officeDocument/2006/relationships/hyperlink" Target="https://www.linkedin.com/posts/fernando-gast%C3%B3n-herlein-94033614_artificial-intelligence-and-argentine-law-activity-7274458978737160192-sqCq"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2025-05-25T07:09:46.437Z</dcterms:created>
  <dcterms:modified xsi:type="dcterms:W3CDTF">2025-05-25T07:09:46.437Z</dcterms:modified>
</cp:coreProperties>
</file>