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43447"/>
          <w:sz w:val="40"/>
          <w:szCs w:val="40"/>
        </w:rPr>
        <w:t xml:space="preserve">Biblical Allusions in Anselm of Canterbury</w:t>
      </w:r>
    </w:p>
    <w:p>
      <w:pPr>
        <w:spacing w:after="60"/>
      </w:pPr>
      <w:r>
        <w:rPr>
          <w:rFonts w:ascii="Georgia" w:cs="Georgia" w:eastAsia="Georgia" w:hAnsi="Georgia"/>
          <w:i/>
          <w:iCs/>
          <w:color w:val="555555"/>
          <w:sz w:val="22"/>
          <w:szCs w:val="22"/>
        </w:rPr>
        <w:t xml:space="preserve">A contextually validated catalogue of quotation, paraphrase and conceptual echo across the Monologion, Proslogion, Pro insipiente and Responsio, matched against the Latin Vulgate</w:t>
      </w:r>
    </w:p>
    <w:p>
      <w:pPr>
        <w:pBdr>
          <w:bottom w:val="single" w:color="243447" w:sz="6" w:space="4"/>
        </w:pBdr>
        <w:spacing w:after="120"/>
      </w:pPr>
      <w:r>
        <w:rPr>
          <w:rFonts w:ascii="Arial" w:cs="Arial" w:eastAsia="Arial" w:hAnsi="Arial"/>
          <w:color w:val="888888"/>
          <w:sz w:val="18"/>
          <w:szCs w:val="18"/>
        </w:rPr>
        <w:t xml:space="preserve">23 June 2026</w:t>
      </w:r>
    </w:p>
    <w:p>
      <w:pPr>
        <w:pStyle w:val="Heading1"/>
        <w:spacing w:after="140" w:before="280"/>
      </w:pPr>
      <w:r>
        <w:rPr>
          <w:rFonts w:ascii="Arial" w:cs="Arial" w:eastAsia="Arial" w:hAnsi="Arial"/>
          <w:b/>
          <w:bCs/>
          <w:color w:val="243447"/>
          <w:sz w:val="28"/>
          <w:szCs w:val="28"/>
        </w:rPr>
        <w:t xml:space="preserve">Overview</w:t>
      </w:r>
    </w:p>
    <w:p>
      <w:pPr>
        <w:spacing w:after="140" w:before="0" w:line="276"/>
      </w:pPr>
      <w:r>
        <w:rPr>
          <w:rFonts w:ascii="Georgia" w:cs="Georgia" w:eastAsia="Georgia" w:hAnsi="Georgia"/>
          <w:color w:val="1B1B1B"/>
          <w:sz w:val="21"/>
          <w:szCs w:val="21"/>
        </w:rPr>
        <w:t xml:space="preserve">This study identifies and verifies the scriptural presence in the four philosophical works of Anselm of Canterbury (1033–1109). </w:t>
      </w:r>
      <w:r>
        <w:rPr>
          <w:rFonts w:ascii="Georgia" w:cs="Georgia" w:eastAsia="Georgia" w:hAnsi="Georgia"/>
          <w:color w:val="1B1B1B"/>
          <w:sz w:val="21"/>
          <w:szCs w:val="21"/>
        </w:rPr>
        <w:t xml:space="preserve">After matching and contextual review it records 43 quotations and paraphrases, 10 distinctive short verbal echoes, and 119 thematic or conceptual echoes — 172 allusions in all. </w:t>
      </w:r>
      <w:r>
        <w:rPr>
          <w:rFonts w:ascii="Georgia" w:cs="Georgia" w:eastAsia="Georgia" w:hAnsi="Georgia"/>
          <w:color w:val="1B1B1B"/>
          <w:sz w:val="21"/>
          <w:szCs w:val="21"/>
        </w:rPr>
        <w:t xml:space="preserve">Each was read twice: once in the flow of Anselm’s own argument, and once in the context of the verse it draws on, so that a shared phrase is kept only where it carries genuine allusive sense.</w:t>
      </w:r>
    </w:p>
    <w:p>
      <w:pPr>
        <w:spacing w:after="140" w:before="0" w:line="276"/>
      </w:pPr>
      <w:r>
        <w:rPr>
          <w:rFonts w:ascii="Georgia" w:cs="Georgia" w:eastAsia="Georgia" w:hAnsi="Georgia"/>
          <w:color w:val="1B1B1B"/>
          <w:sz w:val="21"/>
          <w:szCs w:val="21"/>
        </w:rPr>
        <w:t xml:space="preserve">The evidence divides the works sharply. </w:t>
      </w:r>
      <w:r>
        <w:rPr>
          <w:rFonts w:ascii="Georgia" w:cs="Georgia" w:eastAsia="Georgia" w:hAnsi="Georgia"/>
          <w:i/>
          <w:iCs/>
          <w:color w:val="1B1B1B"/>
          <w:sz w:val="21"/>
          <w:szCs w:val="21"/>
        </w:rPr>
        <w:t xml:space="preserve">The Proslogion</w:t>
      </w:r>
      <w:r>
        <w:rPr>
          <w:rFonts w:ascii="Georgia" w:cs="Georgia" w:eastAsia="Georgia" w:hAnsi="Georgia"/>
          <w:color w:val="1B1B1B"/>
          <w:sz w:val="21"/>
          <w:szCs w:val="21"/>
        </w:rPr>
        <w:t xml:space="preserve"> — a prayer addressed to God — quotes scripture, and above all the Psalter, continuously: it supplies 43 of the 53 verbatim or near-verbatim quotations. The </w:t>
      </w:r>
      <w:r>
        <w:rPr>
          <w:rFonts w:ascii="Georgia" w:cs="Georgia" w:eastAsia="Georgia" w:hAnsi="Georgia"/>
          <w:i/>
          <w:iCs/>
          <w:color w:val="1B1B1B"/>
          <w:sz w:val="21"/>
          <w:szCs w:val="21"/>
        </w:rPr>
        <w:t xml:space="preserve">Monologion</w:t>
      </w:r>
      <w:r>
        <w:rPr>
          <w:rFonts w:ascii="Georgia" w:cs="Georgia" w:eastAsia="Georgia" w:hAnsi="Georgia"/>
          <w:color w:val="1B1B1B"/>
          <w:sz w:val="21"/>
          <w:szCs w:val="21"/>
        </w:rPr>
        <w:t xml:space="preserve">, composed (in Anselm’s own programme) </w:t>
      </w:r>
      <w:r>
        <w:rPr>
          <w:rFonts w:ascii="Georgia" w:cs="Georgia" w:eastAsia="Georgia" w:hAnsi="Georgia"/>
          <w:i/>
          <w:iCs/>
          <w:color w:val="1B1B1B"/>
          <w:sz w:val="21"/>
          <w:szCs w:val="21"/>
        </w:rPr>
        <w:t xml:space="preserve">sola ratione</w:t>
      </w:r>
      <w:r>
        <w:rPr>
          <w:rFonts w:ascii="Georgia" w:cs="Georgia" w:eastAsia="Georgia" w:hAnsi="Georgia"/>
          <w:color w:val="1B1B1B"/>
          <w:sz w:val="21"/>
          <w:szCs w:val="21"/>
        </w:rPr>
        <w:t xml:space="preserve">, "by reason alone", almost never quotes; yet it is saturated with scripture at the level of thought. Its biblical debts are conceptual — the Johannine Word, the Trinitarian formulae, the Shema, "God is love" — and surface in the thematic tier, which it dominates with 88 of 119 entries.</w:t>
      </w:r>
    </w:p>
    <w:p>
      <w:pPr>
        <w:pStyle w:val="Heading2"/>
        <w:spacing w:after="90" w:before="200"/>
      </w:pPr>
      <w:r>
        <w:rPr>
          <w:rFonts w:ascii="Arial" w:cs="Arial" w:eastAsia="Arial" w:hAnsi="Arial"/>
          <w:b/>
          <w:bCs/>
          <w:color w:val="243447"/>
          <w:sz w:val="23"/>
          <w:szCs w:val="23"/>
        </w:rPr>
        <w:t xml:space="preserve">The shape of the evidence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1340"/>
        <w:gridCol w:w="1340"/>
        <w:gridCol w:w="1340"/>
        <w:gridCol w:w="1340"/>
      </w:tblGrid>
      <w:tr>
        <w:trPr>
          <w:tblHeader/>
        </w:trPr>
        <w:tc>
          <w:tcPr>
            <w:tcW w:type="dxa" w:w="3000"/>
            <w:tcBorders>
              <w:top w:val="single" w:color="CCCCCC" w:sz="1"/>
              <w:left w:val="single" w:color="CCCCCC" w:sz="1"/>
              <w:bottom w:val="single" w:color="CCCCCC" w:sz="1"/>
              <w:right w:val="single" w:color="CCCCCC" w:sz="1"/>
            </w:tcBorders>
            <w:shd w:fill="243447" w:val="clear"/>
            <w:tcMar>
              <w:top w:type="dxa" w:w="60"/>
              <w:left w:type="dxa" w:w="110"/>
              <w:bottom w:type="dxa" w:w="60"/>
              <w:right w:type="dxa" w:w="110"/>
            </w:tcMar>
          </w:tcPr>
          <w:p>
            <w:r>
              <w:rPr>
                <w:rFonts w:ascii="Arial" w:cs="Arial" w:eastAsia="Arial" w:hAnsi="Arial"/>
                <w:b/>
                <w:bCs/>
                <w:i w:val="false"/>
                <w:iCs w:val="false"/>
                <w:color w:val="FFFFFF"/>
                <w:sz w:val="18"/>
                <w:szCs w:val="18"/>
              </w:rPr>
              <w:t xml:space="preserve">Evidence tier</w:t>
            </w:r>
          </w:p>
        </w:tc>
        <w:tc>
          <w:tcPr>
            <w:tcW w:type="dxa" w:w="1340"/>
            <w:tcBorders>
              <w:top w:val="single" w:color="CCCCCC" w:sz="1"/>
              <w:left w:val="single" w:color="CCCCCC" w:sz="1"/>
              <w:bottom w:val="single" w:color="CCCCCC" w:sz="1"/>
              <w:right w:val="single" w:color="CCCCCC" w:sz="1"/>
            </w:tcBorders>
            <w:shd w:fill="243447" w:val="clear"/>
            <w:tcMar>
              <w:top w:type="dxa" w:w="60"/>
              <w:left w:type="dxa" w:w="110"/>
              <w:bottom w:type="dxa" w:w="60"/>
              <w:right w:type="dxa" w:w="110"/>
            </w:tcMar>
          </w:tcPr>
          <w:p>
            <w:r>
              <w:rPr>
                <w:rFonts w:ascii="Arial" w:cs="Arial" w:eastAsia="Arial" w:hAnsi="Arial"/>
                <w:b/>
                <w:bCs/>
                <w:i w:val="false"/>
                <w:iCs w:val="false"/>
                <w:color w:val="FFFFFF"/>
                <w:sz w:val="18"/>
                <w:szCs w:val="18"/>
              </w:rPr>
              <w:t xml:space="preserve">Monologion</w:t>
            </w:r>
          </w:p>
        </w:tc>
        <w:tc>
          <w:tcPr>
            <w:tcW w:type="dxa" w:w="1340"/>
            <w:tcBorders>
              <w:top w:val="single" w:color="CCCCCC" w:sz="1"/>
              <w:left w:val="single" w:color="CCCCCC" w:sz="1"/>
              <w:bottom w:val="single" w:color="CCCCCC" w:sz="1"/>
              <w:right w:val="single" w:color="CCCCCC" w:sz="1"/>
            </w:tcBorders>
            <w:shd w:fill="243447" w:val="clear"/>
            <w:tcMar>
              <w:top w:type="dxa" w:w="60"/>
              <w:left w:type="dxa" w:w="110"/>
              <w:bottom w:type="dxa" w:w="60"/>
              <w:right w:type="dxa" w:w="110"/>
            </w:tcMar>
          </w:tcPr>
          <w:p>
            <w:r>
              <w:rPr>
                <w:rFonts w:ascii="Arial" w:cs="Arial" w:eastAsia="Arial" w:hAnsi="Arial"/>
                <w:b/>
                <w:bCs/>
                <w:i w:val="false"/>
                <w:iCs w:val="false"/>
                <w:color w:val="FFFFFF"/>
                <w:sz w:val="18"/>
                <w:szCs w:val="18"/>
              </w:rPr>
              <w:t xml:space="preserve">Proslogion</w:t>
            </w:r>
          </w:p>
        </w:tc>
        <w:tc>
          <w:tcPr>
            <w:tcW w:type="dxa" w:w="1340"/>
            <w:tcBorders>
              <w:top w:val="single" w:color="CCCCCC" w:sz="1"/>
              <w:left w:val="single" w:color="CCCCCC" w:sz="1"/>
              <w:bottom w:val="single" w:color="CCCCCC" w:sz="1"/>
              <w:right w:val="single" w:color="CCCCCC" w:sz="1"/>
            </w:tcBorders>
            <w:shd w:fill="243447" w:val="clear"/>
            <w:tcMar>
              <w:top w:type="dxa" w:w="60"/>
              <w:left w:type="dxa" w:w="110"/>
              <w:bottom w:type="dxa" w:w="60"/>
              <w:right w:type="dxa" w:w="110"/>
            </w:tcMar>
          </w:tcPr>
          <w:p>
            <w:r>
              <w:rPr>
                <w:rFonts w:ascii="Arial" w:cs="Arial" w:eastAsia="Arial" w:hAnsi="Arial"/>
                <w:b/>
                <w:bCs/>
                <w:i w:val="false"/>
                <w:iCs w:val="false"/>
                <w:color w:val="FFFFFF"/>
                <w:sz w:val="18"/>
                <w:szCs w:val="18"/>
              </w:rPr>
              <w:t xml:space="preserve">Pro insip.</w:t>
            </w:r>
          </w:p>
        </w:tc>
        <w:tc>
          <w:tcPr>
            <w:tcW w:type="dxa" w:w="1340"/>
            <w:tcBorders>
              <w:top w:val="single" w:color="CCCCCC" w:sz="1"/>
              <w:left w:val="single" w:color="CCCCCC" w:sz="1"/>
              <w:bottom w:val="single" w:color="CCCCCC" w:sz="1"/>
              <w:right w:val="single" w:color="CCCCCC" w:sz="1"/>
            </w:tcBorders>
            <w:shd w:fill="243447" w:val="clear"/>
            <w:tcMar>
              <w:top w:type="dxa" w:w="60"/>
              <w:left w:type="dxa" w:w="110"/>
              <w:bottom w:type="dxa" w:w="60"/>
              <w:right w:type="dxa" w:w="110"/>
            </w:tcMar>
          </w:tcPr>
          <w:p>
            <w:r>
              <w:rPr>
                <w:rFonts w:ascii="Arial" w:cs="Arial" w:eastAsia="Arial" w:hAnsi="Arial"/>
                <w:b/>
                <w:bCs/>
                <w:i w:val="false"/>
                <w:iCs w:val="false"/>
                <w:color w:val="FFFFFF"/>
                <w:sz w:val="18"/>
                <w:szCs w:val="18"/>
              </w:rPr>
              <w:t xml:space="preserve">Responsio</w:t>
            </w:r>
          </w:p>
        </w:tc>
      </w:tr>
      <w:tr>
        <w:tc>
          <w:tcPr>
            <w:tcW w:type="dxa" w:w="3000"/>
            <w:tcBorders>
              <w:top w:val="single" w:color="CCCCCC" w:sz="1"/>
              <w:left w:val="single" w:color="CCCCCC" w:sz="1"/>
              <w:bottom w:val="single" w:color="CCCCCC" w:sz="1"/>
              <w:right w:val="single" w:color="CCCCCC" w:sz="1"/>
            </w:tcBorders>
            <w:shd w:fill="EEF1F5" w:val="clear"/>
            <w:tcMar>
              <w:top w:type="dxa" w:w="60"/>
              <w:left w:type="dxa" w:w="110"/>
              <w:bottom w:type="dxa" w:w="60"/>
              <w:right w:type="dxa" w:w="110"/>
            </w:tcMar>
          </w:tcPr>
          <w:p>
            <w:r>
              <w:rPr>
                <w:rFonts w:ascii="Arial" w:cs="Arial" w:eastAsia="Arial" w:hAnsi="Arial"/>
                <w:b/>
                <w:bCs/>
                <w:i w:val="false"/>
                <w:iCs w:val="false"/>
                <w:color w:val="1B1B1B"/>
                <w:sz w:val="18"/>
                <w:szCs w:val="18"/>
              </w:rPr>
              <w:t xml:space="preserve">A · quotation</w:t>
            </w:r>
          </w:p>
        </w:tc>
        <w:tc>
          <w:tcPr>
            <w:tcW w:type="dxa" w:w="1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3</w:t>
            </w:r>
          </w:p>
        </w:tc>
        <w:tc>
          <w:tcPr>
            <w:tcW w:type="dxa" w:w="1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22</w:t>
            </w:r>
          </w:p>
        </w:tc>
        <w:tc>
          <w:tcPr>
            <w:tcW w:type="dxa" w:w="1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w:t>
            </w:r>
          </w:p>
        </w:tc>
        <w:tc>
          <w:tcPr>
            <w:tcW w:type="dxa" w:w="1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1</w:t>
            </w:r>
          </w:p>
        </w:tc>
      </w:tr>
      <w:tr>
        <w:tc>
          <w:tcPr>
            <w:tcW w:type="dxa" w:w="3000"/>
            <w:tcBorders>
              <w:top w:val="single" w:color="CCCCCC" w:sz="1"/>
              <w:left w:val="single" w:color="CCCCCC" w:sz="1"/>
              <w:bottom w:val="single" w:color="CCCCCC" w:sz="1"/>
              <w:right w:val="single" w:color="CCCCCC" w:sz="1"/>
            </w:tcBorders>
            <w:shd w:fill="EEF1F5" w:val="clear"/>
            <w:tcMar>
              <w:top w:type="dxa" w:w="60"/>
              <w:left w:type="dxa" w:w="110"/>
              <w:bottom w:type="dxa" w:w="60"/>
              <w:right w:type="dxa" w:w="110"/>
            </w:tcMar>
          </w:tcPr>
          <w:p>
            <w:r>
              <w:rPr>
                <w:rFonts w:ascii="Arial" w:cs="Arial" w:eastAsia="Arial" w:hAnsi="Arial"/>
                <w:b/>
                <w:bCs/>
                <w:i w:val="false"/>
                <w:iCs w:val="false"/>
                <w:color w:val="1B1B1B"/>
                <w:sz w:val="18"/>
                <w:szCs w:val="18"/>
              </w:rPr>
              <w:t xml:space="preserve">B · probable</w:t>
            </w:r>
          </w:p>
        </w:tc>
        <w:tc>
          <w:tcPr>
            <w:tcW w:type="dxa" w:w="1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4</w:t>
            </w:r>
          </w:p>
        </w:tc>
        <w:tc>
          <w:tcPr>
            <w:tcW w:type="dxa" w:w="1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13</w:t>
            </w:r>
          </w:p>
        </w:tc>
        <w:tc>
          <w:tcPr>
            <w:tcW w:type="dxa" w:w="1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w:t>
            </w:r>
          </w:p>
        </w:tc>
        <w:tc>
          <w:tcPr>
            <w:tcW w:type="dxa" w:w="1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w:t>
            </w:r>
          </w:p>
        </w:tc>
      </w:tr>
      <w:tr>
        <w:tc>
          <w:tcPr>
            <w:tcW w:type="dxa" w:w="3000"/>
            <w:tcBorders>
              <w:top w:val="single" w:color="CCCCCC" w:sz="1"/>
              <w:left w:val="single" w:color="CCCCCC" w:sz="1"/>
              <w:bottom w:val="single" w:color="CCCCCC" w:sz="1"/>
              <w:right w:val="single" w:color="CCCCCC" w:sz="1"/>
            </w:tcBorders>
            <w:shd w:fill="EEF1F5" w:val="clear"/>
            <w:tcMar>
              <w:top w:type="dxa" w:w="60"/>
              <w:left w:type="dxa" w:w="110"/>
              <w:bottom w:type="dxa" w:w="60"/>
              <w:right w:type="dxa" w:w="110"/>
            </w:tcMar>
          </w:tcPr>
          <w:p>
            <w:r>
              <w:rPr>
                <w:rFonts w:ascii="Arial" w:cs="Arial" w:eastAsia="Arial" w:hAnsi="Arial"/>
                <w:b/>
                <w:bCs/>
                <w:i w:val="false"/>
                <w:iCs w:val="false"/>
                <w:color w:val="1B1B1B"/>
                <w:sz w:val="18"/>
                <w:szCs w:val="18"/>
              </w:rPr>
              <w:t xml:space="preserve">C · short echo</w:t>
            </w:r>
          </w:p>
        </w:tc>
        <w:tc>
          <w:tcPr>
            <w:tcW w:type="dxa" w:w="1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2</w:t>
            </w:r>
          </w:p>
        </w:tc>
        <w:tc>
          <w:tcPr>
            <w:tcW w:type="dxa" w:w="1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8</w:t>
            </w:r>
          </w:p>
        </w:tc>
        <w:tc>
          <w:tcPr>
            <w:tcW w:type="dxa" w:w="1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w:t>
            </w:r>
          </w:p>
        </w:tc>
        <w:tc>
          <w:tcPr>
            <w:tcW w:type="dxa" w:w="1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w:t>
            </w:r>
          </w:p>
        </w:tc>
      </w:tr>
      <w:tr>
        <w:tc>
          <w:tcPr>
            <w:tcW w:type="dxa" w:w="3000"/>
            <w:tcBorders>
              <w:top w:val="single" w:color="CCCCCC" w:sz="1"/>
              <w:left w:val="single" w:color="CCCCCC" w:sz="1"/>
              <w:bottom w:val="single" w:color="CCCCCC" w:sz="1"/>
              <w:right w:val="single" w:color="CCCCCC" w:sz="1"/>
            </w:tcBorders>
            <w:shd w:fill="EEF1F5" w:val="clear"/>
            <w:tcMar>
              <w:top w:type="dxa" w:w="60"/>
              <w:left w:type="dxa" w:w="110"/>
              <w:bottom w:type="dxa" w:w="60"/>
              <w:right w:type="dxa" w:w="110"/>
            </w:tcMar>
          </w:tcPr>
          <w:p>
            <w:r>
              <w:rPr>
                <w:rFonts w:ascii="Arial" w:cs="Arial" w:eastAsia="Arial" w:hAnsi="Arial"/>
                <w:b/>
                <w:bCs/>
                <w:i w:val="false"/>
                <w:iCs w:val="false"/>
                <w:color w:val="1B1B1B"/>
                <w:sz w:val="18"/>
                <w:szCs w:val="18"/>
              </w:rPr>
              <w:t xml:space="preserve">D · thematic</w:t>
            </w:r>
          </w:p>
        </w:tc>
        <w:tc>
          <w:tcPr>
            <w:tcW w:type="dxa" w:w="1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88</w:t>
            </w:r>
          </w:p>
        </w:tc>
        <w:tc>
          <w:tcPr>
            <w:tcW w:type="dxa" w:w="1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23</w:t>
            </w:r>
          </w:p>
        </w:tc>
        <w:tc>
          <w:tcPr>
            <w:tcW w:type="dxa" w:w="1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5</w:t>
            </w:r>
          </w:p>
        </w:tc>
        <w:tc>
          <w:tcPr>
            <w:tcW w:type="dxa" w:w="13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3</w:t>
            </w:r>
          </w:p>
        </w:tc>
      </w:tr>
    </w:tbl>
    <w:p>
      <w:pPr>
        <w:spacing w:after="140" w:before="60" w:line="276"/>
      </w:pPr>
      <w:r>
        <w:rPr>
          <w:rFonts w:ascii="Georgia" w:cs="Georgia" w:eastAsia="Georgia" w:hAnsi="Georgia"/>
          <w:i/>
          <w:iCs/>
          <w:color w:val="666666"/>
          <w:sz w:val="17"/>
          <w:szCs w:val="17"/>
        </w:rPr>
        <w:t xml:space="preserve">Tiers A–C are lexically grounded (a real shared phrase with a named verse); tier D records conceptual parallels with no verbatim overlap.</w:t>
      </w:r>
    </w:p>
    <w:p>
      <w:pPr>
        <w:pStyle w:val="Heading1"/>
        <w:spacing w:after="140" w:before="280"/>
      </w:pPr>
      <w:r>
        <w:rPr>
          <w:rFonts w:ascii="Arial" w:cs="Arial" w:eastAsia="Arial" w:hAnsi="Arial"/>
          <w:b/>
          <w:bCs/>
          <w:color w:val="243447"/>
          <w:sz w:val="28"/>
          <w:szCs w:val="28"/>
        </w:rPr>
        <w:t xml:space="preserve">Density of scriptural reference</w:t>
      </w:r>
    </w:p>
    <w:p>
      <w:pPr>
        <w:spacing w:after="140" w:before="0" w:line="276"/>
      </w:pPr>
      <w:r>
        <w:rPr>
          <w:rFonts w:ascii="Georgia" w:cs="Georgia" w:eastAsia="Georgia" w:hAnsi="Georgia"/>
          <w:color w:val="1B1B1B"/>
          <w:sz w:val="21"/>
          <w:szCs w:val="21"/>
        </w:rPr>
        <w:t xml:space="preserve">The most direct measure of scriptural saturation is references per 1,000 words. The validated data lets this be split into two kinds — explicit or near-verbatim quotation (tiers A–C) and conceptual echo (tier D) — a distinction that matters, because quotation density, unlike thematic resonance, cannot be waved away as coincidence.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300"/>
        <w:gridCol w:w="2200"/>
        <w:gridCol w:w="1900"/>
        <w:gridCol w:w="1600"/>
      </w:tblGrid>
      <w:tr>
        <w:trPr>
          <w:tblHeader/>
        </w:trPr>
        <w:tc>
          <w:tcPr>
            <w:tcW w:type="dxa" w:w="2360"/>
            <w:tcBorders>
              <w:top w:val="single" w:color="CCCCCC" w:sz="1"/>
              <w:left w:val="single" w:color="CCCCCC" w:sz="1"/>
              <w:bottom w:val="single" w:color="CCCCCC" w:sz="1"/>
              <w:right w:val="single" w:color="CCCCCC" w:sz="1"/>
            </w:tcBorders>
            <w:shd w:fill="243447" w:val="clear"/>
            <w:tcMar>
              <w:top w:type="dxa" w:w="60"/>
              <w:left w:type="dxa" w:w="110"/>
              <w:bottom w:type="dxa" w:w="60"/>
              <w:right w:type="dxa" w:w="110"/>
            </w:tcMar>
          </w:tcPr>
          <w:p>
            <w:r>
              <w:rPr>
                <w:rFonts w:ascii="Arial" w:cs="Arial" w:eastAsia="Arial" w:hAnsi="Arial"/>
                <w:b/>
                <w:bCs/>
                <w:i w:val="false"/>
                <w:iCs w:val="false"/>
                <w:color w:val="FFFFFF"/>
                <w:sz w:val="18"/>
                <w:szCs w:val="18"/>
              </w:rPr>
              <w:t xml:space="preserve">Work</w:t>
            </w:r>
          </w:p>
        </w:tc>
        <w:tc>
          <w:tcPr>
            <w:tcW w:type="dxa" w:w="1300"/>
            <w:tcBorders>
              <w:top w:val="single" w:color="CCCCCC" w:sz="1"/>
              <w:left w:val="single" w:color="CCCCCC" w:sz="1"/>
              <w:bottom w:val="single" w:color="CCCCCC" w:sz="1"/>
              <w:right w:val="single" w:color="CCCCCC" w:sz="1"/>
            </w:tcBorders>
            <w:shd w:fill="243447" w:val="clear"/>
            <w:tcMar>
              <w:top w:type="dxa" w:w="60"/>
              <w:left w:type="dxa" w:w="110"/>
              <w:bottom w:type="dxa" w:w="60"/>
              <w:right w:type="dxa" w:w="110"/>
            </w:tcMar>
          </w:tcPr>
          <w:p>
            <w:r>
              <w:rPr>
                <w:rFonts w:ascii="Arial" w:cs="Arial" w:eastAsia="Arial" w:hAnsi="Arial"/>
                <w:b/>
                <w:bCs/>
                <w:i w:val="false"/>
                <w:iCs w:val="false"/>
                <w:color w:val="FFFFFF"/>
                <w:sz w:val="18"/>
                <w:szCs w:val="18"/>
              </w:rPr>
              <w:t xml:space="preserve">Words</w:t>
            </w:r>
          </w:p>
        </w:tc>
        <w:tc>
          <w:tcPr>
            <w:tcW w:type="dxa" w:w="2200"/>
            <w:tcBorders>
              <w:top w:val="single" w:color="CCCCCC" w:sz="1"/>
              <w:left w:val="single" w:color="CCCCCC" w:sz="1"/>
              <w:bottom w:val="single" w:color="CCCCCC" w:sz="1"/>
              <w:right w:val="single" w:color="CCCCCC" w:sz="1"/>
            </w:tcBorders>
            <w:shd w:fill="243447" w:val="clear"/>
            <w:tcMar>
              <w:top w:type="dxa" w:w="60"/>
              <w:left w:type="dxa" w:w="110"/>
              <w:bottom w:type="dxa" w:w="60"/>
              <w:right w:type="dxa" w:w="110"/>
            </w:tcMar>
          </w:tcPr>
          <w:p>
            <w:r>
              <w:rPr>
                <w:rFonts w:ascii="Arial" w:cs="Arial" w:eastAsia="Arial" w:hAnsi="Arial"/>
                <w:b/>
                <w:bCs/>
                <w:i w:val="false"/>
                <w:iCs w:val="false"/>
                <w:color w:val="FFFFFF"/>
                <w:sz w:val="18"/>
                <w:szCs w:val="18"/>
              </w:rPr>
              <w:t xml:space="preserve">Quotation / 1k</w:t>
            </w:r>
          </w:p>
        </w:tc>
        <w:tc>
          <w:tcPr>
            <w:tcW w:type="dxa" w:w="1900"/>
            <w:tcBorders>
              <w:top w:val="single" w:color="CCCCCC" w:sz="1"/>
              <w:left w:val="single" w:color="CCCCCC" w:sz="1"/>
              <w:bottom w:val="single" w:color="CCCCCC" w:sz="1"/>
              <w:right w:val="single" w:color="CCCCCC" w:sz="1"/>
            </w:tcBorders>
            <w:shd w:fill="243447" w:val="clear"/>
            <w:tcMar>
              <w:top w:type="dxa" w:w="60"/>
              <w:left w:type="dxa" w:w="110"/>
              <w:bottom w:type="dxa" w:w="60"/>
              <w:right w:type="dxa" w:w="110"/>
            </w:tcMar>
          </w:tcPr>
          <w:p>
            <w:r>
              <w:rPr>
                <w:rFonts w:ascii="Arial" w:cs="Arial" w:eastAsia="Arial" w:hAnsi="Arial"/>
                <w:b/>
                <w:bCs/>
                <w:i w:val="false"/>
                <w:iCs w:val="false"/>
                <w:color w:val="FFFFFF"/>
                <w:sz w:val="18"/>
                <w:szCs w:val="18"/>
              </w:rPr>
              <w:t xml:space="preserve">Concept / 1k</w:t>
            </w:r>
          </w:p>
        </w:tc>
        <w:tc>
          <w:tcPr>
            <w:tcW w:type="dxa" w:w="1600"/>
            <w:tcBorders>
              <w:top w:val="single" w:color="CCCCCC" w:sz="1"/>
              <w:left w:val="single" w:color="CCCCCC" w:sz="1"/>
              <w:bottom w:val="single" w:color="CCCCCC" w:sz="1"/>
              <w:right w:val="single" w:color="CCCCCC" w:sz="1"/>
            </w:tcBorders>
            <w:shd w:fill="243447" w:val="clear"/>
            <w:tcMar>
              <w:top w:type="dxa" w:w="60"/>
              <w:left w:type="dxa" w:w="110"/>
              <w:bottom w:type="dxa" w:w="60"/>
              <w:right w:type="dxa" w:w="110"/>
            </w:tcMar>
          </w:tcPr>
          <w:p>
            <w:r>
              <w:rPr>
                <w:rFonts w:ascii="Arial" w:cs="Arial" w:eastAsia="Arial" w:hAnsi="Arial"/>
                <w:b/>
                <w:bCs/>
                <w:i w:val="false"/>
                <w:iCs w:val="false"/>
                <w:color w:val="FFFFFF"/>
                <w:sz w:val="18"/>
                <w:szCs w:val="18"/>
              </w:rPr>
              <w:t xml:space="preserve">Total / 1k</w:t>
            </w:r>
          </w:p>
        </w:tc>
      </w:tr>
      <w:tr>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i w:val="false"/>
                <w:iCs w:val="false"/>
                <w:color w:val="1B1B1B"/>
                <w:sz w:val="18"/>
                <w:szCs w:val="18"/>
              </w:rPr>
              <w:t xml:space="preserve">Proslogion</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5,697</w:t>
            </w:r>
          </w:p>
        </w:tc>
        <w:tc>
          <w:tcPr>
            <w:tcW w:type="dxa" w:w="2200"/>
            <w:tcBorders>
              <w:top w:val="single" w:color="CCCCCC" w:sz="1"/>
              <w:left w:val="single" w:color="CCCCCC" w:sz="1"/>
              <w:bottom w:val="single" w:color="CCCCCC" w:sz="1"/>
              <w:right w:val="single" w:color="CCCCCC" w:sz="1"/>
            </w:tcBorders>
            <w:shd w:fill="D6E8D5" w:val="clear"/>
            <w:tcMar>
              <w:top w:type="dxa" w:w="60"/>
              <w:left w:type="dxa" w:w="110"/>
              <w:bottom w:type="dxa" w:w="60"/>
              <w:right w:type="dxa" w:w="110"/>
            </w:tcMar>
          </w:tcPr>
          <w:p>
            <w:pPr>
              <w:jc w:val="center"/>
            </w:pPr>
            <w:r>
              <w:rPr>
                <w:rFonts w:ascii="Arial" w:cs="Arial" w:eastAsia="Arial" w:hAnsi="Arial"/>
                <w:b/>
                <w:bCs/>
                <w:i w:val="false"/>
                <w:iCs w:val="false"/>
                <w:color w:val="1B1B1B"/>
                <w:sz w:val="18"/>
                <w:szCs w:val="18"/>
              </w:rPr>
              <w:t xml:space="preserve">7.55</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4.04</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bCs/>
                <w:i w:val="false"/>
                <w:iCs w:val="false"/>
                <w:color w:val="1B1B1B"/>
                <w:sz w:val="18"/>
                <w:szCs w:val="18"/>
              </w:rPr>
              <w:t xml:space="preserve">11.59</w:t>
            </w:r>
          </w:p>
        </w:tc>
      </w:tr>
      <w:tr>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i w:val="false"/>
                <w:iCs w:val="false"/>
                <w:color w:val="1B1B1B"/>
                <w:sz w:val="18"/>
                <w:szCs w:val="18"/>
              </w:rPr>
              <w:t xml:space="preserve">Monologion</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20,920</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0.43</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4.21</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bCs/>
                <w:i w:val="false"/>
                <w:iCs w:val="false"/>
                <w:color w:val="1B1B1B"/>
                <w:sz w:val="18"/>
                <w:szCs w:val="18"/>
              </w:rPr>
              <w:t xml:space="preserve">4.64</w:t>
            </w:r>
          </w:p>
        </w:tc>
      </w:tr>
      <w:tr>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i w:val="false"/>
                <w:iCs w:val="false"/>
                <w:color w:val="1B1B1B"/>
                <w:sz w:val="18"/>
                <w:szCs w:val="18"/>
              </w:rPr>
              <w:t xml:space="preserve">Pro insipiente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1,576</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0.00</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3.17</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bCs/>
                <w:i w:val="false"/>
                <w:iCs w:val="false"/>
                <w:color w:val="1B1B1B"/>
                <w:sz w:val="18"/>
                <w:szCs w:val="18"/>
              </w:rPr>
              <w:t xml:space="preserve">3.17</w:t>
            </w:r>
          </w:p>
        </w:tc>
      </w:tr>
      <w:tr>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i w:val="false"/>
                <w:iCs w:val="false"/>
                <w:color w:val="1B1B1B"/>
                <w:sz w:val="18"/>
                <w:szCs w:val="18"/>
              </w:rPr>
              <w:t xml:space="preserve">Responsio</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3,068</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0.33</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val="false"/>
                <w:bCs w:val="false"/>
                <w:i w:val="false"/>
                <w:iCs w:val="false"/>
                <w:color w:val="1B1B1B"/>
                <w:sz w:val="18"/>
                <w:szCs w:val="18"/>
              </w:rPr>
              <w:t xml:space="preserve">0.98</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rFonts w:ascii="Arial" w:cs="Arial" w:eastAsia="Arial" w:hAnsi="Arial"/>
                <w:b/>
                <w:bCs/>
                <w:i w:val="false"/>
                <w:iCs w:val="false"/>
                <w:color w:val="1B1B1B"/>
                <w:sz w:val="18"/>
                <w:szCs w:val="18"/>
              </w:rPr>
              <w:t xml:space="preserve">1.30</w:t>
            </w:r>
          </w:p>
        </w:tc>
      </w:tr>
    </w:tbl>
    <w:p>
      <w:pPr>
        <w:spacing w:after="140" w:before="50" w:line="276"/>
      </w:pPr>
      <w:r>
        <w:rPr>
          <w:rFonts w:ascii="Georgia" w:cs="Georgia" w:eastAsia="Georgia" w:hAnsi="Georgia"/>
          <w:i/>
          <w:iCs/>
          <w:color w:val="888888"/>
          <w:sz w:val="16"/>
          <w:szCs w:val="16"/>
        </w:rPr>
        <w:t xml:space="preserve">Computed on the body text (chapter titles and editorial apparatus excluded); “Quotation” = tiers A–C, “Concept” = tier D.</w:t>
      </w:r>
    </w:p>
    <w:p>
      <w:pPr>
        <w:spacing w:after="140" w:before="0" w:line="276"/>
      </w:pPr>
      <w:r>
        <w:rPr>
          <w:rFonts w:ascii="Georgia" w:cs="Georgia" w:eastAsia="Georgia" w:hAnsi="Georgia"/>
          <w:color w:val="1B1B1B"/>
          <w:sz w:val="21"/>
          <w:szCs w:val="21"/>
        </w:rPr>
        <w:t xml:space="preserve">Two results carry the weight. First, the </w:t>
      </w:r>
      <w:r>
        <w:rPr>
          <w:rFonts w:ascii="Georgia" w:cs="Georgia" w:eastAsia="Georgia" w:hAnsi="Georgia"/>
          <w:i/>
          <w:iCs/>
          <w:color w:val="1B1B1B"/>
          <w:sz w:val="21"/>
          <w:szCs w:val="21"/>
        </w:rPr>
        <w:t xml:space="preserve">Proslogion</w:t>
      </w:r>
      <w:r>
        <w:rPr>
          <w:rFonts w:ascii="Georgia" w:cs="Georgia" w:eastAsia="Georgia" w:hAnsi="Georgia"/>
          <w:color w:val="1B1B1B"/>
          <w:sz w:val="21"/>
          <w:szCs w:val="21"/>
        </w:rPr>
        <w:t xml:space="preserve"> quotes scripture at about 7.5 explicit or near-verbatim citations per 1,000 words, and 11.6 references per 1,000 in total. A work that cites the Psalter that densely is, in form as much as in intent, a prayer rather than a detached proof. Second, the </w:t>
      </w:r>
      <w:r>
        <w:rPr>
          <w:rFonts w:ascii="Georgia" w:cs="Georgia" w:eastAsia="Georgia" w:hAnsi="Georgia"/>
          <w:i/>
          <w:iCs/>
          <w:color w:val="1B1B1B"/>
          <w:sz w:val="21"/>
          <w:szCs w:val="21"/>
        </w:rPr>
        <w:t xml:space="preserve">Monologion</w:t>
      </w:r>
      <w:r>
        <w:rPr>
          <w:rFonts w:ascii="Georgia" w:cs="Georgia" w:eastAsia="Georgia" w:hAnsi="Georgia"/>
          <w:color w:val="1B1B1B"/>
          <w:sz w:val="21"/>
          <w:szCs w:val="21"/>
        </w:rPr>
        <w:t xml:space="preserve"> shows the mirror-image profile: barely any quotation (0.43 / 1k) but a high rate of conceptual echo (4.21 / 1k). That is the measurable signature of </w:t>
      </w:r>
      <w:r>
        <w:rPr>
          <w:rFonts w:ascii="Georgia" w:cs="Georgia" w:eastAsia="Georgia" w:hAnsi="Georgia"/>
          <w:i/>
          <w:iCs/>
          <w:color w:val="1B1B1B"/>
          <w:sz w:val="21"/>
          <w:szCs w:val="21"/>
        </w:rPr>
        <w:t xml:space="preserve">sola ratione</w:t>
      </w:r>
      <w:r>
        <w:rPr>
          <w:rFonts w:ascii="Georgia" w:cs="Georgia" w:eastAsia="Georgia" w:hAnsi="Georgia"/>
          <w:color w:val="1B1B1B"/>
          <w:sz w:val="21"/>
          <w:szCs w:val="21"/>
        </w:rPr>
        <w:t xml:space="preserve"> — reasoning that deliberately withholds citation while remaining saturated with scripture at the level of thought. The two works are equally scriptural; they differ only in whether scripture surfaces as citation or as concept.</w:t>
      </w:r>
    </w:p>
    <w:p>
      <w:pPr>
        <w:pStyle w:val="Heading1"/>
        <w:spacing w:after="140" w:before="280"/>
      </w:pPr>
      <w:r>
        <w:rPr>
          <w:rFonts w:ascii="Arial" w:cs="Arial" w:eastAsia="Arial" w:hAnsi="Arial"/>
          <w:b/>
          <w:bCs/>
          <w:color w:val="243447"/>
          <w:sz w:val="28"/>
          <w:szCs w:val="28"/>
        </w:rPr>
        <w:t xml:space="preserve">Method</w:t>
      </w:r>
    </w:p>
    <w:p>
      <w:pPr>
        <w:spacing w:after="80" w:before="0" w:line="276"/>
      </w:pPr>
      <w:r>
        <w:rPr>
          <w:rFonts w:ascii="Georgia" w:cs="Georgia" w:eastAsia="Georgia" w:hAnsi="Georgia"/>
          <w:color w:val="1B1B1B"/>
          <w:sz w:val="21"/>
          <w:szCs w:val="21"/>
        </w:rPr>
        <w:t xml:space="preserve">Detection used three complementary channels so that quotation would not slip through a single sieve:</w:t>
      </w:r>
    </w:p>
    <w:p>
      <w:pPr>
        <w:spacing w:after="90" w:before="0" w:line="276"/>
      </w:pPr>
      <w:r>
        <w:rPr>
          <w:rFonts w:ascii="Georgia" w:cs="Georgia" w:eastAsia="Georgia" w:hAnsi="Georgia"/>
          <w:b/>
          <w:bCs/>
          <w:color w:val="1B1B1B"/>
          <w:sz w:val="21"/>
          <w:szCs w:val="21"/>
        </w:rPr>
        <w:t xml:space="preserve">Sequence matching. </w:t>
      </w:r>
      <w:r>
        <w:rPr>
          <w:rFonts w:ascii="Georgia" w:cs="Georgia" w:eastAsia="Georgia" w:hAnsi="Georgia"/>
          <w:color w:val="1B1B1B"/>
          <w:sz w:val="21"/>
          <w:szCs w:val="21"/>
        </w:rPr>
        <w:t xml:space="preserve">Shared runs of four or more words between Anselm and any Vulgate verse, after normalising medieval spelling (u/v and i/j).</w:t>
      </w:r>
    </w:p>
    <w:p>
      <w:pPr>
        <w:spacing w:after="90" w:before="0" w:line="276"/>
      </w:pPr>
      <w:r>
        <w:rPr>
          <w:rFonts w:ascii="Georgia" w:cs="Georgia" w:eastAsia="Georgia" w:hAnsi="Georgia"/>
          <w:b/>
          <w:bCs/>
          <w:color w:val="1B1B1B"/>
          <w:sz w:val="21"/>
          <w:szCs w:val="21"/>
        </w:rPr>
        <w:t xml:space="preserve">Quotation marks. </w:t>
      </w:r>
      <w:r>
        <w:rPr>
          <w:rFonts w:ascii="Georgia" w:cs="Georgia" w:eastAsia="Georgia" w:hAnsi="Georgia"/>
          <w:color w:val="1B1B1B"/>
          <w:sz w:val="21"/>
          <w:szCs w:val="21"/>
        </w:rPr>
        <w:t xml:space="preserve">Every phrase the text itself places in quotation marks was harvested and matched — the highest-precision signal of a deliberate citation.</w:t>
      </w:r>
    </w:p>
    <w:p>
      <w:pPr>
        <w:spacing w:after="90" w:before="0" w:line="276"/>
      </w:pPr>
      <w:r>
        <w:rPr>
          <w:rFonts w:ascii="Georgia" w:cs="Georgia" w:eastAsia="Georgia" w:hAnsi="Georgia"/>
          <w:b/>
          <w:bCs/>
          <w:color w:val="1B1B1B"/>
          <w:sz w:val="21"/>
          <w:szCs w:val="21"/>
        </w:rPr>
        <w:t xml:space="preserve">Rarity-gated short phrases. </w:t>
      </w:r>
      <w:r>
        <w:rPr>
          <w:rFonts w:ascii="Georgia" w:cs="Georgia" w:eastAsia="Georgia" w:hAnsi="Georgia"/>
          <w:color w:val="1B1B1B"/>
          <w:sz w:val="21"/>
          <w:szCs w:val="21"/>
        </w:rPr>
        <w:t xml:space="preserve">Two- and three-word phrases that are rare in the Vulgate and scripturally distinctive, to catch brief but real echoes.</w:t>
      </w:r>
    </w:p>
    <w:p>
      <w:pPr>
        <w:spacing w:after="140" w:before="0" w:line="276"/>
      </w:pPr>
      <w:r>
        <w:rPr>
          <w:rFonts w:ascii="Georgia" w:cs="Georgia" w:eastAsia="Georgia" w:hAnsi="Georgia"/>
          <w:b/>
          <w:bCs/>
          <w:color w:val="1B1B1B"/>
          <w:sz w:val="21"/>
          <w:szCs w:val="21"/>
        </w:rPr>
        <w:t xml:space="preserve">Every candidate was then validated in context</w:t>
      </w:r>
      <w:r>
        <w:rPr>
          <w:rFonts w:ascii="Georgia" w:cs="Georgia" w:eastAsia="Georgia" w:hAnsi="Georgia"/>
          <w:color w:val="1B1B1B"/>
          <w:sz w:val="21"/>
          <w:szCs w:val="21"/>
        </w:rPr>
        <w:t xml:space="preserve">: read within Anselm’s argument and within the surrounding Vulgate verses. Matches that share words but not sense were removed — a phrase that aligns with an unrelated narrative verse, or a stock liturgical vocative with no specific source. The four tiers record how strong the surviving evidence is: </w:t>
      </w:r>
      <w:r>
        <w:rPr>
          <w:rFonts w:ascii="Georgia" w:cs="Georgia" w:eastAsia="Georgia" w:hAnsi="Georgia"/>
          <w:b/>
          <w:bCs/>
          <w:color w:val="1B1B1B"/>
          <w:sz w:val="21"/>
          <w:szCs w:val="21"/>
        </w:rPr>
        <w:t xml:space="preserve">A</w:t>
      </w:r>
      <w:r>
        <w:rPr>
          <w:rFonts w:ascii="Georgia" w:cs="Georgia" w:eastAsia="Georgia" w:hAnsi="Georgia"/>
          <w:color w:val="1B1B1B"/>
          <w:sz w:val="21"/>
          <w:szCs w:val="21"/>
        </w:rPr>
        <w:t xml:space="preserve"> verbatim or explicit quotation; </w:t>
      </w:r>
      <w:r>
        <w:rPr>
          <w:rFonts w:ascii="Georgia" w:cs="Georgia" w:eastAsia="Georgia" w:hAnsi="Georgia"/>
          <w:b/>
          <w:bCs/>
          <w:color w:val="1B1B1B"/>
          <w:sz w:val="21"/>
          <w:szCs w:val="21"/>
        </w:rPr>
        <w:t xml:space="preserve">B</w:t>
      </w:r>
      <w:r>
        <w:rPr>
          <w:rFonts w:ascii="Georgia" w:cs="Georgia" w:eastAsia="Georgia" w:hAnsi="Georgia"/>
          <w:color w:val="1B1B1B"/>
          <w:sz w:val="21"/>
          <w:szCs w:val="21"/>
        </w:rPr>
        <w:t xml:space="preserve"> probable quotation or paraphrase; </w:t>
      </w:r>
      <w:r>
        <w:rPr>
          <w:rFonts w:ascii="Georgia" w:cs="Georgia" w:eastAsia="Georgia" w:hAnsi="Georgia"/>
          <w:b/>
          <w:bCs/>
          <w:color w:val="1B1B1B"/>
          <w:sz w:val="21"/>
          <w:szCs w:val="21"/>
        </w:rPr>
        <w:t xml:space="preserve">C</w:t>
      </w:r>
      <w:r>
        <w:rPr>
          <w:rFonts w:ascii="Georgia" w:cs="Georgia" w:eastAsia="Georgia" w:hAnsi="Georgia"/>
          <w:color w:val="1B1B1B"/>
          <w:sz w:val="21"/>
          <w:szCs w:val="21"/>
        </w:rPr>
        <w:t xml:space="preserve"> a distinctive short echo; </w:t>
      </w:r>
      <w:r>
        <w:rPr>
          <w:rFonts w:ascii="Georgia" w:cs="Georgia" w:eastAsia="Georgia" w:hAnsi="Georgia"/>
          <w:b/>
          <w:bCs/>
          <w:color w:val="1B1B1B"/>
          <w:sz w:val="21"/>
          <w:szCs w:val="21"/>
        </w:rPr>
        <w:t xml:space="preserve">D</w:t>
      </w:r>
      <w:r>
        <w:rPr>
          <w:rFonts w:ascii="Georgia" w:cs="Georgia" w:eastAsia="Georgia" w:hAnsi="Georgia"/>
          <w:color w:val="1B1B1B"/>
          <w:sz w:val="21"/>
          <w:szCs w:val="21"/>
        </w:rPr>
        <w:t xml:space="preserve"> a thematic or conceptual parallel (interpretive).</w:t>
      </w:r>
    </w:p>
    <w:p>
      <w:pPr>
        <w:pStyle w:val="Heading1"/>
        <w:pageBreakBefore/>
      </w:pPr>
      <w:r>
        <w:rPr>
          <w:rFonts w:ascii="Arial" w:cs="Arial" w:eastAsia="Arial" w:hAnsi="Arial"/>
          <w:b/>
          <w:bCs/>
          <w:color w:val="243447"/>
          <w:sz w:val="28"/>
          <w:szCs w:val="28"/>
        </w:rPr>
        <w:t xml:space="preserve">The Monologion: reason alone, scripture beneath</w:t>
      </w:r>
    </w:p>
    <w:p>
      <w:pPr>
        <w:spacing w:after="140" w:before="0" w:line="276"/>
      </w:pPr>
      <w:r>
        <w:rPr>
          <w:rFonts w:ascii="Georgia" w:cs="Georgia" w:eastAsia="Georgia" w:hAnsi="Georgia"/>
          <w:color w:val="1B1B1B"/>
          <w:sz w:val="21"/>
          <w:szCs w:val="21"/>
        </w:rPr>
        <w:t xml:space="preserve">Anselm set himself the rule of arguing without appeal to authority, and the surface of the Monologion keeps it: there are almost no quotations. The work nonetheless moves entirely within a scriptural frame, and the validated echoes show where.</w:t>
      </w:r>
    </w:p>
    <w:p>
      <w:pPr>
        <w:pStyle w:val="Heading2"/>
        <w:spacing w:after="90" w:before="200"/>
      </w:pPr>
      <w:r>
        <w:rPr>
          <w:rFonts w:ascii="Arial" w:cs="Arial" w:eastAsia="Arial" w:hAnsi="Arial"/>
          <w:b/>
          <w:bCs/>
          <w:color w:val="243447"/>
          <w:sz w:val="23"/>
          <w:szCs w:val="23"/>
        </w:rPr>
        <w:t xml:space="preserve">The Word through whom all things are made</w:t>
      </w:r>
    </w:p>
    <w:p>
      <w:pPr>
        <w:spacing w:after="140" w:before="0" w:line="276"/>
      </w:pPr>
      <w:r>
        <w:rPr>
          <w:rFonts w:ascii="Georgia" w:cs="Georgia" w:eastAsia="Georgia" w:hAnsi="Georgia"/>
          <w:color w:val="1B1B1B"/>
          <w:sz w:val="21"/>
          <w:szCs w:val="21"/>
        </w:rPr>
        <w:t xml:space="preserve">The single most pervasive presence is the Johannine prologue. As Anselm develops his account of the supreme spirit’s </w:t>
      </w:r>
      <w:r>
        <w:rPr>
          <w:rFonts w:ascii="Georgia" w:cs="Georgia" w:eastAsia="Georgia" w:hAnsi="Georgia"/>
          <w:i/>
          <w:iCs/>
          <w:color w:val="1B1B1B"/>
          <w:sz w:val="21"/>
          <w:szCs w:val="21"/>
        </w:rPr>
        <w:t xml:space="preserve">verbum</w:t>
      </w:r>
      <w:r>
        <w:rPr>
          <w:rFonts w:ascii="Georgia" w:cs="Georgia" w:eastAsia="Georgia" w:hAnsi="Georgia"/>
          <w:color w:val="1B1B1B"/>
          <w:sz w:val="21"/>
          <w:szCs w:val="21"/>
        </w:rPr>
        <w:t xml:space="preserve"> — the Word in which God utters himself and through which all things are made — the language of John 1:1–3 runs beneath chapter after chapter (it is echoed across more than a dozen chapters from 29 to 64). Creation "through the Word" (John 1:3) and the Word who is "with God and is God" (John 1:1) are the conceptual spine of the central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6EC" w:sz="1"/>
              <w:left w:val="single" w:color="243447" w:sz="18"/>
              <w:bottom w:val="single" w:color="E2E6EC" w:sz="1"/>
              <w:right w:val="single" w:color="E2E6EC" w:sz="1"/>
            </w:tcBorders>
            <w:shd w:fill="F3F5F8" w:val="clear"/>
            <w:tcMar>
              <w:top w:type="dxa" w:w="90"/>
              <w:left w:type="dxa" w:w="150"/>
              <w:bottom w:type="dxa" w:w="90"/>
              <w:right w:type="dxa" w:w="150"/>
            </w:tcMar>
          </w:tcPr>
          <w:p>
            <w:pPr>
              <w:spacing w:after="50"/>
            </w:pPr>
            <w:r>
              <w:rPr>
                <w:rFonts w:ascii="Arial" w:cs="Arial" w:eastAsia="Arial" w:hAnsi="Arial"/>
                <w:b/>
                <w:bCs/>
                <w:color w:val="243447"/>
                <w:sz w:val="18"/>
                <w:szCs w:val="18"/>
              </w:rPr>
              <w:t xml:space="preserve">John 1:3 · echoed across Monologion 29–80 (representative)</w:t>
            </w:r>
          </w:p>
          <w:p>
            <w:pPr>
              <w:spacing w:after="40"/>
            </w:pPr>
            <w:r>
              <w:rPr>
                <w:rFonts w:ascii="Arial" w:cs="Arial" w:eastAsia="Arial" w:hAnsi="Arial"/>
                <w:b/>
                <w:bCs/>
                <w:color w:val="555555"/>
                <w:sz w:val="18"/>
                <w:szCs w:val="18"/>
              </w:rPr>
              <w:t xml:space="preserve">Anselm:  </w:t>
            </w:r>
            <w:r>
              <w:rPr>
                <w:rFonts w:ascii="Georgia" w:cs="Georgia" w:eastAsia="Georgia" w:hAnsi="Georgia"/>
                <w:i/>
                <w:iCs/>
                <w:color w:val="1B1B1B"/>
                <w:sz w:val="19"/>
                <w:szCs w:val="19"/>
              </w:rPr>
              <w:t xml:space="preserve">omnia per ipsum facta sunt … the supreme spirit made all things through its co-eternal Word</w:t>
            </w:r>
          </w:p>
          <w:p>
            <w:r>
              <w:rPr>
                <w:rFonts w:ascii="Arial" w:cs="Arial" w:eastAsia="Arial" w:hAnsi="Arial"/>
                <w:b/>
                <w:bCs/>
                <w:color w:val="555555"/>
                <w:sz w:val="18"/>
                <w:szCs w:val="18"/>
              </w:rPr>
              <w:t xml:space="preserve">Vulgate: </w:t>
            </w:r>
            <w:r>
              <w:rPr>
                <w:rFonts w:ascii="Georgia" w:cs="Georgia" w:eastAsia="Georgia" w:hAnsi="Georgia"/>
                <w:color w:val="1B1B1B"/>
                <w:sz w:val="19"/>
                <w:szCs w:val="19"/>
              </w:rPr>
              <w:t xml:space="preserve">Omnia per ipsum facta sunt: et sine ipso factum est nihil, quod factum est.</w:t>
            </w:r>
          </w:p>
        </w:tc>
      </w:tr>
    </w:tbl>
    <w:p>
      <w:pPr>
        <w:pStyle w:val="Heading2"/>
        <w:spacing w:after="90" w:before="200"/>
      </w:pPr>
      <w:r>
        <w:rPr>
          <w:rFonts w:ascii="Arial" w:cs="Arial" w:eastAsia="Arial" w:hAnsi="Arial"/>
          <w:b/>
          <w:bCs/>
          <w:color w:val="243447"/>
          <w:sz w:val="23"/>
          <w:szCs w:val="23"/>
        </w:rPr>
        <w:t xml:space="preserve">Trinity, love, and being</w:t>
      </w:r>
    </w:p>
    <w:p>
      <w:pPr>
        <w:spacing w:after="140" w:before="0" w:line="276"/>
      </w:pPr>
      <w:r>
        <w:rPr>
          <w:rFonts w:ascii="Georgia" w:cs="Georgia" w:eastAsia="Georgia" w:hAnsi="Georgia"/>
          <w:color w:val="1B1B1B"/>
          <w:sz w:val="21"/>
          <w:szCs w:val="21"/>
        </w:rPr>
        <w:t xml:space="preserve">The Trinitarian chapters draw on the baptismal formula of Matthew 28:19 (Father, Son and Holy Spirit) and on John 10:30, "I and the Father are one"; the account of the Spirit as mutual love leans on 1 John 4:8, </w:t>
      </w:r>
      <w:r>
        <w:rPr>
          <w:rFonts w:ascii="Georgia" w:cs="Georgia" w:eastAsia="Georgia" w:hAnsi="Georgia"/>
          <w:i/>
          <w:iCs/>
          <w:color w:val="1B1B1B"/>
          <w:sz w:val="21"/>
          <w:szCs w:val="21"/>
        </w:rPr>
        <w:t xml:space="preserve">Deus caritas est</w:t>
      </w:r>
      <w:r>
        <w:rPr>
          <w:rFonts w:ascii="Georgia" w:cs="Georgia" w:eastAsia="Georgia" w:hAnsi="Georgia"/>
          <w:color w:val="1B1B1B"/>
          <w:sz w:val="21"/>
          <w:szCs w:val="21"/>
        </w:rPr>
        <w:t xml:space="preserve">. The doctrine of God’s being echoes the Shema (Deuteronomy 6:4) for the divine unity and Exodus 3:14, </w:t>
      </w:r>
      <w:r>
        <w:rPr>
          <w:rFonts w:ascii="Georgia" w:cs="Georgia" w:eastAsia="Georgia" w:hAnsi="Georgia"/>
          <w:i/>
          <w:iCs/>
          <w:color w:val="1B1B1B"/>
          <w:sz w:val="21"/>
          <w:szCs w:val="21"/>
        </w:rPr>
        <w:t xml:space="preserve">ego sum qui sum</w:t>
      </w:r>
      <w:r>
        <w:rPr>
          <w:rFonts w:ascii="Georgia" w:cs="Georgia" w:eastAsia="Georgia" w:hAnsi="Georgia"/>
          <w:color w:val="1B1B1B"/>
          <w:sz w:val="21"/>
          <w:szCs w:val="21"/>
        </w:rPr>
        <w:t xml:space="preserve">, for God as pure present being — "not what was or will be, but simply is."</w:t>
      </w:r>
    </w:p>
    <w:p>
      <w:pPr>
        <w:pStyle w:val="Heading2"/>
        <w:spacing w:after="90" w:before="200"/>
      </w:pPr>
      <w:r>
        <w:rPr>
          <w:rFonts w:ascii="Arial" w:cs="Arial" w:eastAsia="Arial" w:hAnsi="Arial"/>
          <w:b/>
          <w:bCs/>
          <w:color w:val="243447"/>
          <w:sz w:val="23"/>
          <w:szCs w:val="23"/>
        </w:rPr>
        <w:t xml:space="preserve">Where the Monologion does quote</w:t>
      </w:r>
    </w:p>
    <w:p>
      <w:pPr>
        <w:spacing w:after="140" w:before="0" w:line="276"/>
      </w:pPr>
      <w:r>
        <w:rPr>
          <w:rFonts w:ascii="Georgia" w:cs="Georgia" w:eastAsia="Georgia" w:hAnsi="Georgia"/>
          <w:color w:val="1B1B1B"/>
          <w:sz w:val="21"/>
          <w:szCs w:val="21"/>
        </w:rPr>
        <w:t xml:space="preserve">The rare moments of explicit citation are telling. Confronting the inexpressible generation of the Word in chapter 64, Anselm reaches for the one scriptural question that fits — Isaiah’s "who shall declare his generation?", the verse the Ethiopian eunuch was reading in Acts 8 — applying a messianic text to the eternal 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6EC" w:sz="1"/>
              <w:left w:val="single" w:color="243447" w:sz="18"/>
              <w:bottom w:val="single" w:color="E2E6EC" w:sz="1"/>
              <w:right w:val="single" w:color="E2E6EC" w:sz="1"/>
            </w:tcBorders>
            <w:shd w:fill="F3F5F8" w:val="clear"/>
            <w:tcMar>
              <w:top w:type="dxa" w:w="90"/>
              <w:left w:type="dxa" w:w="150"/>
              <w:bottom w:type="dxa" w:w="90"/>
              <w:right w:type="dxa" w:w="150"/>
            </w:tcMar>
          </w:tcPr>
          <w:p>
            <w:pPr>
              <w:spacing w:after="50"/>
            </w:pPr>
            <w:r>
              <w:rPr>
                <w:rFonts w:ascii="Arial" w:cs="Arial" w:eastAsia="Arial" w:hAnsi="Arial"/>
                <w:b/>
                <w:bCs/>
                <w:color w:val="243447"/>
                <w:sz w:val="18"/>
                <w:szCs w:val="18"/>
              </w:rPr>
              <w:t xml:space="preserve">Isaiah 53:8 / Acts 8:33 · Monologion 64</w:t>
            </w:r>
          </w:p>
          <w:p>
            <w:pPr>
              <w:spacing w:after="40"/>
            </w:pPr>
            <w:r>
              <w:rPr>
                <w:rFonts w:ascii="Arial" w:cs="Arial" w:eastAsia="Arial" w:hAnsi="Arial"/>
                <w:b/>
                <w:bCs/>
                <w:color w:val="555555"/>
                <w:sz w:val="18"/>
                <w:szCs w:val="18"/>
              </w:rPr>
              <w:t xml:space="preserve">Anselm:  </w:t>
            </w:r>
            <w:r>
              <w:rPr>
                <w:rFonts w:ascii="Georgia" w:cs="Georgia" w:eastAsia="Georgia" w:hAnsi="Georgia"/>
                <w:i/>
                <w:iCs/>
                <w:color w:val="1B1B1B"/>
                <w:sz w:val="19"/>
                <w:szCs w:val="19"/>
              </w:rPr>
              <w:t xml:space="preserve">…rem incomprehensibilem… "Generationem eius quis enarrabit?"</w:t>
            </w:r>
          </w:p>
          <w:p>
            <w:r>
              <w:rPr>
                <w:rFonts w:ascii="Arial" w:cs="Arial" w:eastAsia="Arial" w:hAnsi="Arial"/>
                <w:b/>
                <w:bCs/>
                <w:color w:val="555555"/>
                <w:sz w:val="18"/>
                <w:szCs w:val="18"/>
              </w:rPr>
              <w:t xml:space="preserve">Vulgate: </w:t>
            </w:r>
            <w:r>
              <w:rPr>
                <w:rFonts w:ascii="Georgia" w:cs="Georgia" w:eastAsia="Georgia" w:hAnsi="Georgia"/>
                <w:color w:val="1B1B1B"/>
                <w:sz w:val="19"/>
                <w:szCs w:val="19"/>
              </w:rPr>
              <w:t xml:space="preserve">Generationem ejus quis enarrabit? quoniam tolletur de terra vita ejus.</w:t>
            </w:r>
          </w:p>
        </w:tc>
      </w:tr>
    </w:tbl>
    <w:p>
      <w:pPr>
        <w:spacing w:after="140" w:before="0" w:line="276"/>
      </w:pPr>
      <w:r>
        <w:rPr>
          <w:rFonts w:ascii="Georgia" w:cs="Georgia" w:eastAsia="Georgia" w:hAnsi="Georgia"/>
          <w:color w:val="1B1B1B"/>
          <w:sz w:val="21"/>
          <w:szCs w:val="21"/>
        </w:rPr>
        <w:t xml:space="preserve">Other genuine quotations cluster where doctrine demands a proof-text: the mirror of 1 Corinthians 13:12 ("through a glass, darkly… then face to face") for the mind’s knowledge of God in chapters 67 and 70; "faith working through love" (Galatians 5:6) and dead faith (James 2:17) in the closing chapters on faith; and the creation of all things </w:t>
      </w:r>
      <w:r>
        <w:rPr>
          <w:rFonts w:ascii="Georgia" w:cs="Georgia" w:eastAsia="Georgia" w:hAnsi="Georgia"/>
          <w:i/>
          <w:iCs/>
          <w:color w:val="1B1B1B"/>
          <w:sz w:val="21"/>
          <w:szCs w:val="21"/>
        </w:rPr>
        <w:t xml:space="preserve">from nothing</w:t>
      </w:r>
      <w:r>
        <w:rPr>
          <w:rFonts w:ascii="Georgia" w:cs="Georgia" w:eastAsia="Georgia" w:hAnsi="Georgia"/>
          <w:color w:val="1B1B1B"/>
          <w:sz w:val="21"/>
          <w:szCs w:val="21"/>
        </w:rPr>
        <w:t xml:space="preserve">, whose scriptural locus is 2 Maccabees 7:28.</w:t>
      </w:r>
    </w:p>
    <w:p>
      <w:pPr>
        <w:pStyle w:val="Heading1"/>
        <w:pageBreakBefore/>
      </w:pPr>
      <w:r>
        <w:rPr>
          <w:rFonts w:ascii="Arial" w:cs="Arial" w:eastAsia="Arial" w:hAnsi="Arial"/>
          <w:b/>
          <w:bCs/>
          <w:color w:val="243447"/>
          <w:sz w:val="28"/>
          <w:szCs w:val="28"/>
        </w:rPr>
        <w:t xml:space="preserve">The Proslogion: prayer in the voice of the Psalter</w:t>
      </w:r>
    </w:p>
    <w:p>
      <w:pPr>
        <w:spacing w:after="140" w:before="0" w:line="276"/>
      </w:pPr>
      <w:r>
        <w:rPr>
          <w:rFonts w:ascii="Georgia" w:cs="Georgia" w:eastAsia="Georgia" w:hAnsi="Georgia"/>
          <w:color w:val="1B1B1B"/>
          <w:sz w:val="21"/>
          <w:szCs w:val="21"/>
        </w:rPr>
        <w:t xml:space="preserve">Where the Monologion reasons, the Proslogion prays — and prayer, for Anselm, is woven out of the Psalms. Quotation here is continuous and deliberate, and the chapters track a movement from lament to vision.</w:t>
      </w:r>
    </w:p>
    <w:p>
      <w:pPr>
        <w:pStyle w:val="Heading2"/>
        <w:spacing w:after="90" w:before="200"/>
      </w:pPr>
      <w:r>
        <w:rPr>
          <w:rFonts w:ascii="Arial" w:cs="Arial" w:eastAsia="Arial" w:hAnsi="Arial"/>
          <w:b/>
          <w:bCs/>
          <w:color w:val="243447"/>
          <w:sz w:val="23"/>
          <w:szCs w:val="23"/>
        </w:rPr>
        <w:t xml:space="preserve">Chapter 1 — the awakening, a cento of lament</w:t>
      </w:r>
    </w:p>
    <w:p>
      <w:pPr>
        <w:spacing w:after="140" w:before="0" w:line="276"/>
      </w:pPr>
      <w:r>
        <w:rPr>
          <w:rFonts w:ascii="Georgia" w:cs="Georgia" w:eastAsia="Georgia" w:hAnsi="Georgia"/>
          <w:color w:val="1B1B1B"/>
          <w:sz w:val="21"/>
          <w:szCs w:val="21"/>
        </w:rPr>
        <w:t xml:space="preserve">The opening summons the soul to "enter the chamber" of the mind — Matthew 6:6 — and then laments in borrowed Psalm-voices: "how long will you turn your face from me?" (Ps 12:1), the bread of angels now hungered for (Ps 77:25), and Job’s "before I eat I sigh" (Job 3:24). The whole chapter is a tissue of quotation.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6EC" w:sz="1"/>
              <w:left w:val="single" w:color="243447" w:sz="18"/>
              <w:bottom w:val="single" w:color="E2E6EC" w:sz="1"/>
              <w:right w:val="single" w:color="E2E6EC" w:sz="1"/>
            </w:tcBorders>
            <w:shd w:fill="F3F5F8" w:val="clear"/>
            <w:tcMar>
              <w:top w:type="dxa" w:w="90"/>
              <w:left w:type="dxa" w:w="150"/>
              <w:bottom w:type="dxa" w:w="90"/>
              <w:right w:type="dxa" w:w="150"/>
            </w:tcMar>
          </w:tcPr>
          <w:p>
            <w:pPr>
              <w:spacing w:after="50"/>
            </w:pPr>
            <w:r>
              <w:rPr>
                <w:rFonts w:ascii="Arial" w:cs="Arial" w:eastAsia="Arial" w:hAnsi="Arial"/>
                <w:b/>
                <w:bCs/>
                <w:color w:val="243447"/>
                <w:sz w:val="18"/>
                <w:szCs w:val="18"/>
              </w:rPr>
              <w:t xml:space="preserve">Matthew 6:6 · Proslogion 1</w:t>
            </w:r>
          </w:p>
          <w:p>
            <w:pPr>
              <w:spacing w:after="40"/>
            </w:pPr>
            <w:r>
              <w:rPr>
                <w:rFonts w:ascii="Arial" w:cs="Arial" w:eastAsia="Arial" w:hAnsi="Arial"/>
                <w:b/>
                <w:bCs/>
                <w:color w:val="555555"/>
                <w:sz w:val="18"/>
                <w:szCs w:val="18"/>
              </w:rPr>
              <w:t xml:space="preserve">Anselm:  </w:t>
            </w:r>
            <w:r>
              <w:rPr>
                <w:rFonts w:ascii="Georgia" w:cs="Georgia" w:eastAsia="Georgia" w:hAnsi="Georgia"/>
                <w:i/>
                <w:iCs/>
                <w:color w:val="1B1B1B"/>
                <w:sz w:val="19"/>
                <w:szCs w:val="19"/>
              </w:rPr>
              <w:t xml:space="preserve">"Intra in cubiculum" mentis tuae, exclude omnia praeter deum…</w:t>
            </w:r>
          </w:p>
          <w:p>
            <w:r>
              <w:rPr>
                <w:rFonts w:ascii="Arial" w:cs="Arial" w:eastAsia="Arial" w:hAnsi="Arial"/>
                <w:b/>
                <w:bCs/>
                <w:color w:val="555555"/>
                <w:sz w:val="18"/>
                <w:szCs w:val="18"/>
              </w:rPr>
              <w:t xml:space="preserve">Vulgate: </w:t>
            </w:r>
            <w:r>
              <w:rPr>
                <w:rFonts w:ascii="Georgia" w:cs="Georgia" w:eastAsia="Georgia" w:hAnsi="Georgia"/>
                <w:color w:val="1B1B1B"/>
                <w:sz w:val="19"/>
                <w:szCs w:val="19"/>
              </w:rPr>
              <w:t xml:space="preserve">intra in cubiculum tuum, et clauso ostio, ora Patrem tuum in abscondito.</w:t>
            </w:r>
          </w:p>
        </w:tc>
      </w:tr>
    </w:tbl>
    <w:p>
      <w:pPr>
        <w:pStyle w:val="Heading2"/>
        <w:spacing w:after="90" w:before="200"/>
      </w:pPr>
      <w:r>
        <w:rPr>
          <w:rFonts w:ascii="Arial" w:cs="Arial" w:eastAsia="Arial" w:hAnsi="Arial"/>
          <w:b/>
          <w:bCs/>
          <w:color w:val="243447"/>
          <w:sz w:val="23"/>
          <w:szCs w:val="23"/>
        </w:rPr>
        <w:t xml:space="preserve">Chapters 2–3 — the fool</w:t>
      </w:r>
    </w:p>
    <w:p>
      <w:pPr>
        <w:spacing w:after="140" w:before="0" w:line="276"/>
      </w:pPr>
      <w:r>
        <w:rPr>
          <w:rFonts w:ascii="Georgia" w:cs="Georgia" w:eastAsia="Georgia" w:hAnsi="Georgia"/>
          <w:color w:val="1B1B1B"/>
          <w:sz w:val="21"/>
          <w:szCs w:val="21"/>
        </w:rPr>
        <w:t xml:space="preserve">The argument itself is launched from scripture. The "fool" who must be answered is the </w:t>
      </w:r>
      <w:r>
        <w:rPr>
          <w:rFonts w:ascii="Georgia" w:cs="Georgia" w:eastAsia="Georgia" w:hAnsi="Georgia"/>
          <w:i/>
          <w:iCs/>
          <w:color w:val="1B1B1B"/>
          <w:sz w:val="21"/>
          <w:szCs w:val="21"/>
        </w:rPr>
        <w:t xml:space="preserve">insipiens</w:t>
      </w:r>
      <w:r>
        <w:rPr>
          <w:rFonts w:ascii="Georgia" w:cs="Georgia" w:eastAsia="Georgia" w:hAnsi="Georgia"/>
          <w:color w:val="1B1B1B"/>
          <w:sz w:val="21"/>
          <w:szCs w:val="21"/>
        </w:rPr>
        <w:t xml:space="preserve"> of Psalm 13:1 (= 52:1), "the fool has said in his heart: there is no God." The verse is not decoration; it is the premise.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6EC" w:sz="1"/>
              <w:left w:val="single" w:color="243447" w:sz="18"/>
              <w:bottom w:val="single" w:color="E2E6EC" w:sz="1"/>
              <w:right w:val="single" w:color="E2E6EC" w:sz="1"/>
            </w:tcBorders>
            <w:shd w:fill="F3F5F8" w:val="clear"/>
            <w:tcMar>
              <w:top w:type="dxa" w:w="90"/>
              <w:left w:type="dxa" w:w="150"/>
              <w:bottom w:type="dxa" w:w="90"/>
              <w:right w:type="dxa" w:w="150"/>
            </w:tcMar>
          </w:tcPr>
          <w:p>
            <w:pPr>
              <w:spacing w:after="50"/>
            </w:pPr>
            <w:r>
              <w:rPr>
                <w:rFonts w:ascii="Arial" w:cs="Arial" w:eastAsia="Arial" w:hAnsi="Arial"/>
                <w:b/>
                <w:bCs/>
                <w:color w:val="243447"/>
                <w:sz w:val="18"/>
                <w:szCs w:val="18"/>
              </w:rPr>
              <w:t xml:space="preserve">Psalms 13:1 (= 52:1) · Proslogion 2–3</w:t>
            </w:r>
          </w:p>
          <w:p>
            <w:pPr>
              <w:spacing w:after="40"/>
            </w:pPr>
            <w:r>
              <w:rPr>
                <w:rFonts w:ascii="Arial" w:cs="Arial" w:eastAsia="Arial" w:hAnsi="Arial"/>
                <w:b/>
                <w:bCs/>
                <w:color w:val="555555"/>
                <w:sz w:val="18"/>
                <w:szCs w:val="18"/>
              </w:rPr>
              <w:t xml:space="preserve">Anselm:  </w:t>
            </w:r>
            <w:r>
              <w:rPr>
                <w:rFonts w:ascii="Georgia" w:cs="Georgia" w:eastAsia="Georgia" w:hAnsi="Georgia"/>
                <w:i/>
                <w:iCs/>
                <w:color w:val="1B1B1B"/>
                <w:sz w:val="19"/>
                <w:szCs w:val="19"/>
              </w:rPr>
              <w:t xml:space="preserve">…quia "dixit insipiens in corde suo: non est Deus"?</w:t>
            </w:r>
          </w:p>
          <w:p>
            <w:r>
              <w:rPr>
                <w:rFonts w:ascii="Arial" w:cs="Arial" w:eastAsia="Arial" w:hAnsi="Arial"/>
                <w:b/>
                <w:bCs/>
                <w:color w:val="555555"/>
                <w:sz w:val="18"/>
                <w:szCs w:val="18"/>
              </w:rPr>
              <w:t xml:space="preserve">Vulgate: </w:t>
            </w:r>
            <w:r>
              <w:rPr>
                <w:rFonts w:ascii="Georgia" w:cs="Georgia" w:eastAsia="Georgia" w:hAnsi="Georgia"/>
                <w:color w:val="1B1B1B"/>
                <w:sz w:val="19"/>
                <w:szCs w:val="19"/>
              </w:rPr>
              <w:t xml:space="preserve">Dixit insipiens in corde suo: Non est Deus.</w:t>
            </w:r>
          </w:p>
        </w:tc>
      </w:tr>
    </w:tbl>
    <w:p>
      <w:pPr>
        <w:pStyle w:val="Heading2"/>
        <w:spacing w:after="90" w:before="200"/>
      </w:pPr>
      <w:r>
        <w:rPr>
          <w:rFonts w:ascii="Arial" w:cs="Arial" w:eastAsia="Arial" w:hAnsi="Arial"/>
          <w:b/>
          <w:bCs/>
          <w:color w:val="243447"/>
          <w:sz w:val="23"/>
          <w:szCs w:val="23"/>
        </w:rPr>
        <w:t xml:space="preserve">Chapters 9–18 — justice, light, penitence</w:t>
      </w:r>
    </w:p>
    <w:p>
      <w:pPr>
        <w:spacing w:after="140" w:before="0" w:line="276"/>
      </w:pPr>
      <w:r>
        <w:rPr>
          <w:rFonts w:ascii="Georgia" w:cs="Georgia" w:eastAsia="Georgia" w:hAnsi="Georgia"/>
          <w:color w:val="1B1B1B"/>
          <w:sz w:val="21"/>
          <w:szCs w:val="21"/>
        </w:rPr>
        <w:t xml:space="preserve">The meditation on God’s justice and mercy quotes the Psalms of justice directly ("the Lord is just in all his ways", Ps 144:17; "all the ways of the Lord are mercy and truth", Ps 24:10), and the penitential turn in chapter 18 weaves the Miserere ("in iniquity was I conceived", Ps 50:7) with the recurring plea "turn not your face from me" (Ps 26:9 and its parallels).</w:t>
      </w:r>
    </w:p>
    <w:p>
      <w:pPr>
        <w:pStyle w:val="Heading2"/>
        <w:spacing w:after="90" w:before="200"/>
      </w:pPr>
      <w:r>
        <w:rPr>
          <w:rFonts w:ascii="Arial" w:cs="Arial" w:eastAsia="Arial" w:hAnsi="Arial"/>
          <w:b/>
          <w:bCs/>
          <w:color w:val="243447"/>
          <w:sz w:val="23"/>
          <w:szCs w:val="23"/>
        </w:rPr>
        <w:t xml:space="preserve">Chapters 25–26 — the goods of the blessed, and full joy</w:t>
      </w:r>
    </w:p>
    <w:p>
      <w:pPr>
        <w:spacing w:after="140" w:before="0" w:line="276"/>
      </w:pPr>
      <w:r>
        <w:rPr>
          <w:rFonts w:ascii="Georgia" w:cs="Georgia" w:eastAsia="Georgia" w:hAnsi="Georgia"/>
          <w:color w:val="1B1B1B"/>
          <w:sz w:val="21"/>
          <w:szCs w:val="21"/>
        </w:rPr>
        <w:t xml:space="preserve">The vision of beatitude is built from Paul and the Gospels: "what no eye has seen" (1 Cor 2:9), the body "sown natural, raised spiritual" (1 Cor 15:44), the just who "shall shine as the sun" (Matthew 13:43); and the closing prayer for "joy that is full" quotes John 16:24 and "enter into the joy of your Lord" (Matthew 25:21).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6EC" w:sz="1"/>
              <w:left w:val="single" w:color="243447" w:sz="18"/>
              <w:bottom w:val="single" w:color="E2E6EC" w:sz="1"/>
              <w:right w:val="single" w:color="E2E6EC" w:sz="1"/>
            </w:tcBorders>
            <w:shd w:fill="F3F5F8" w:val="clear"/>
            <w:tcMar>
              <w:top w:type="dxa" w:w="90"/>
              <w:left w:type="dxa" w:w="150"/>
              <w:bottom w:type="dxa" w:w="90"/>
              <w:right w:type="dxa" w:w="150"/>
            </w:tcMar>
          </w:tcPr>
          <w:p>
            <w:pPr>
              <w:spacing w:after="50"/>
            </w:pPr>
            <w:r>
              <w:rPr>
                <w:rFonts w:ascii="Arial" w:cs="Arial" w:eastAsia="Arial" w:hAnsi="Arial"/>
                <w:b/>
                <w:bCs/>
                <w:color w:val="243447"/>
                <w:sz w:val="18"/>
                <w:szCs w:val="18"/>
              </w:rPr>
              <w:t xml:space="preserve">1 Corinthians 2:9 · Proslogion 25 &amp; 26</w:t>
            </w:r>
          </w:p>
          <w:p>
            <w:pPr>
              <w:spacing w:after="40"/>
            </w:pPr>
            <w:r>
              <w:rPr>
                <w:rFonts w:ascii="Arial" w:cs="Arial" w:eastAsia="Arial" w:hAnsi="Arial"/>
                <w:b/>
                <w:bCs/>
                <w:color w:val="555555"/>
                <w:sz w:val="18"/>
                <w:szCs w:val="18"/>
              </w:rPr>
              <w:t xml:space="preserve">Anselm:  </w:t>
            </w:r>
            <w:r>
              <w:rPr>
                <w:rFonts w:ascii="Georgia" w:cs="Georgia" w:eastAsia="Georgia" w:hAnsi="Georgia"/>
                <w:i/>
                <w:iCs/>
                <w:color w:val="1B1B1B"/>
                <w:sz w:val="19"/>
                <w:szCs w:val="19"/>
              </w:rPr>
              <w:t xml:space="preserve">…qualia "nec oculus uidit nec auris audiuit nec cor hominis" cogitauit.</w:t>
            </w:r>
          </w:p>
          <w:p>
            <w:r>
              <w:rPr>
                <w:rFonts w:ascii="Arial" w:cs="Arial" w:eastAsia="Arial" w:hAnsi="Arial"/>
                <w:b/>
                <w:bCs/>
                <w:color w:val="555555"/>
                <w:sz w:val="18"/>
                <w:szCs w:val="18"/>
              </w:rPr>
              <w:t xml:space="preserve">Vulgate: </w:t>
            </w:r>
            <w:r>
              <w:rPr>
                <w:rFonts w:ascii="Georgia" w:cs="Georgia" w:eastAsia="Georgia" w:hAnsi="Georgia"/>
                <w:color w:val="1B1B1B"/>
                <w:sz w:val="19"/>
                <w:szCs w:val="19"/>
              </w:rPr>
              <w:t xml:space="preserve">Quod oculus non vidit, nec auris audivit, nec in cor hominis ascendit…</w:t>
            </w:r>
          </w:p>
        </w:tc>
      </w:tr>
    </w:tbl>
    <w:p>
      <w:pPr>
        <w:pStyle w:val="Heading1"/>
        <w:spacing w:after="140" w:before="280"/>
      </w:pPr>
      <w:r>
        <w:rPr>
          <w:rFonts w:ascii="Arial" w:cs="Arial" w:eastAsia="Arial" w:hAnsi="Arial"/>
          <w:b/>
          <w:bCs/>
          <w:color w:val="243447"/>
          <w:sz w:val="28"/>
          <w:szCs w:val="28"/>
        </w:rPr>
        <w:t xml:space="preserve">Pro insipiente and the Responsio</w:t>
      </w:r>
    </w:p>
    <w:p>
      <w:pPr>
        <w:spacing w:after="140" w:before="0" w:line="276"/>
      </w:pPr>
      <w:r>
        <w:rPr>
          <w:rFonts w:ascii="Georgia" w:cs="Georgia" w:eastAsia="Georgia" w:hAnsi="Georgia"/>
          <w:color w:val="1B1B1B"/>
          <w:sz w:val="21"/>
          <w:szCs w:val="21"/>
        </w:rPr>
        <w:t xml:space="preserve">Gaunilo’s reply is literally written </w:t>
      </w:r>
      <w:r>
        <w:rPr>
          <w:rFonts w:ascii="Georgia" w:cs="Georgia" w:eastAsia="Georgia" w:hAnsi="Georgia"/>
          <w:i/>
          <w:iCs/>
          <w:color w:val="1B1B1B"/>
          <w:sz w:val="21"/>
          <w:szCs w:val="21"/>
        </w:rPr>
        <w:t xml:space="preserve">pro insipiente</w:t>
      </w:r>
      <w:r>
        <w:rPr>
          <w:rFonts w:ascii="Georgia" w:cs="Georgia" w:eastAsia="Georgia" w:hAnsi="Georgia"/>
          <w:color w:val="1B1B1B"/>
          <w:sz w:val="21"/>
          <w:szCs w:val="21"/>
        </w:rPr>
        <w:t xml:space="preserve">, "on behalf of the fool" — so its governing text is again Psalm 13/14:1, the fool who denies God. Anselm’s Responsio, defending the argument, makes its one sustained scriptural appeal to Romans 1:20, that the invisible things of God are understood through the things he has made — fitting, since Anselm is defending knowledge of God by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6EC" w:sz="1"/>
              <w:left w:val="single" w:color="243447" w:sz="18"/>
              <w:bottom w:val="single" w:color="E2E6EC" w:sz="1"/>
              <w:right w:val="single" w:color="E2E6EC" w:sz="1"/>
            </w:tcBorders>
            <w:shd w:fill="F3F5F8" w:val="clear"/>
            <w:tcMar>
              <w:top w:type="dxa" w:w="90"/>
              <w:left w:type="dxa" w:w="150"/>
              <w:bottom w:type="dxa" w:w="90"/>
              <w:right w:type="dxa" w:w="150"/>
            </w:tcMar>
          </w:tcPr>
          <w:p>
            <w:pPr>
              <w:spacing w:after="50"/>
            </w:pPr>
            <w:r>
              <w:rPr>
                <w:rFonts w:ascii="Arial" w:cs="Arial" w:eastAsia="Arial" w:hAnsi="Arial"/>
                <w:b/>
                <w:bCs/>
                <w:color w:val="243447"/>
                <w:sz w:val="18"/>
                <w:szCs w:val="18"/>
              </w:rPr>
              <w:t xml:space="preserve">Romans 1:20 · Responsio 8</w:t>
            </w:r>
          </w:p>
          <w:p>
            <w:pPr>
              <w:spacing w:after="40"/>
            </w:pPr>
            <w:r>
              <w:rPr>
                <w:rFonts w:ascii="Arial" w:cs="Arial" w:eastAsia="Arial" w:hAnsi="Arial"/>
                <w:b/>
                <w:bCs/>
                <w:color w:val="555555"/>
                <w:sz w:val="18"/>
                <w:szCs w:val="18"/>
              </w:rPr>
              <w:t xml:space="preserve">Anselm:  </w:t>
            </w:r>
            <w:r>
              <w:rPr>
                <w:rFonts w:ascii="Georgia" w:cs="Georgia" w:eastAsia="Georgia" w:hAnsi="Georgia"/>
                <w:i/>
                <w:iCs/>
                <w:color w:val="1B1B1B"/>
                <w:sz w:val="19"/>
                <w:szCs w:val="19"/>
              </w:rPr>
              <w:t xml:space="preserve">…quia "inuisibilia" dei "a creatura mundi per ea quae facta sunt intellecta conspiciuntur".</w:t>
            </w:r>
          </w:p>
          <w:p>
            <w:r>
              <w:rPr>
                <w:rFonts w:ascii="Arial" w:cs="Arial" w:eastAsia="Arial" w:hAnsi="Arial"/>
                <w:b/>
                <w:bCs/>
                <w:color w:val="555555"/>
                <w:sz w:val="18"/>
                <w:szCs w:val="18"/>
              </w:rPr>
              <w:t xml:space="preserve">Vulgate: </w:t>
            </w:r>
            <w:r>
              <w:rPr>
                <w:rFonts w:ascii="Georgia" w:cs="Georgia" w:eastAsia="Georgia" w:hAnsi="Georgia"/>
                <w:color w:val="1B1B1B"/>
                <w:sz w:val="19"/>
                <w:szCs w:val="19"/>
              </w:rPr>
              <w:t xml:space="preserve">Invisibilia enim ipsius, a creatura mundi, per ea quae facta sunt, intellecta, conspiciuntur.</w:t>
            </w:r>
          </w:p>
        </w:tc>
      </w:tr>
    </w:tbl>
    <w:p>
      <w:pPr>
        <w:pStyle w:val="Heading1"/>
        <w:pageBreakBefore/>
      </w:pPr>
      <w:r>
        <w:rPr>
          <w:rFonts w:ascii="Arial" w:cs="Arial" w:eastAsia="Arial" w:hAnsi="Arial"/>
          <w:b/>
          <w:bCs/>
          <w:color w:val="243447"/>
          <w:sz w:val="28"/>
          <w:szCs w:val="28"/>
        </w:rPr>
        <w:t xml:space="preserve">The argument’s load-bearing texts</w:t>
      </w:r>
    </w:p>
    <w:p>
      <w:pPr>
        <w:spacing w:after="140" w:before="0" w:line="276"/>
      </w:pPr>
      <w:r>
        <w:rPr>
          <w:rFonts w:ascii="Georgia" w:cs="Georgia" w:eastAsia="Georgia" w:hAnsi="Georgia"/>
          <w:color w:val="1B1B1B"/>
          <w:sz w:val="21"/>
          <w:szCs w:val="21"/>
        </w:rPr>
        <w:t xml:space="preserve">Three scriptural texts do structural rather than decorative work in Anselm’s argument, and the validated data confirms each.</w:t>
      </w:r>
    </w:p>
    <w:p>
      <w:pPr>
        <w:spacing w:after="140" w:before="0" w:line="276"/>
      </w:pPr>
      <w:r>
        <w:rPr>
          <w:rFonts w:ascii="Georgia" w:cs="Georgia" w:eastAsia="Georgia" w:hAnsi="Georgia"/>
          <w:b/>
          <w:bCs/>
          <w:color w:val="1B1B1B"/>
          <w:sz w:val="21"/>
          <w:szCs w:val="21"/>
        </w:rPr>
        <w:t xml:space="preserve">The Fool. </w:t>
      </w:r>
      <w:r>
        <w:rPr>
          <w:rFonts w:ascii="Georgia" w:cs="Georgia" w:eastAsia="Georgia" w:hAnsi="Georgia"/>
          <w:color w:val="1B1B1B"/>
          <w:sz w:val="21"/>
          <w:szCs w:val="21"/>
        </w:rPr>
        <w:t xml:space="preserve">The opponent of the whole argument is the </w:t>
      </w:r>
      <w:r>
        <w:rPr>
          <w:rFonts w:ascii="Georgia" w:cs="Georgia" w:eastAsia="Georgia" w:hAnsi="Georgia"/>
          <w:i/>
          <w:iCs/>
          <w:color w:val="1B1B1B"/>
          <w:sz w:val="21"/>
          <w:szCs w:val="21"/>
        </w:rPr>
        <w:t xml:space="preserve">insipiens</w:t>
      </w:r>
      <w:r>
        <w:rPr>
          <w:rFonts w:ascii="Georgia" w:cs="Georgia" w:eastAsia="Georgia" w:hAnsi="Georgia"/>
          <w:color w:val="1B1B1B"/>
          <w:sz w:val="21"/>
          <w:szCs w:val="21"/>
        </w:rPr>
        <w:t xml:space="preserve"> of Psalm 13:1 (Vulgate; modern 14:1), "the fool has said in his heart: there is no God." </w:t>
      </w:r>
      <w:r>
        <w:rPr>
          <w:rFonts w:ascii="Georgia" w:cs="Georgia" w:eastAsia="Georgia" w:hAnsi="Georgia"/>
          <w:color w:val="1B1B1B"/>
          <w:sz w:val="21"/>
          <w:szCs w:val="21"/>
        </w:rPr>
        <w:t xml:space="preserve">He is a named biblical figure, not a generic sceptic, and his verse runs across the whole debate — </w:t>
      </w:r>
      <w:r>
        <w:rPr>
          <w:rFonts w:ascii="Georgia" w:cs="Georgia" w:eastAsia="Georgia" w:hAnsi="Georgia"/>
          <w:color w:val="1B1B1B"/>
          <w:sz w:val="21"/>
          <w:szCs w:val="21"/>
        </w:rPr>
        <w:t xml:space="preserve">quoted in Proslogion 2–3, and recurring in Gaunilo’s Pro insipiente ("on behalf of the fool") and Anselm’s Responsio.</w:t>
      </w:r>
    </w:p>
    <w:p>
      <w:pPr>
        <w:spacing w:after="140" w:before="0" w:line="276"/>
      </w:pPr>
      <w:r>
        <w:rPr>
          <w:rFonts w:ascii="Georgia" w:cs="Georgia" w:eastAsia="Georgia" w:hAnsi="Georgia"/>
          <w:b/>
          <w:bCs/>
          <w:color w:val="1B1B1B"/>
          <w:sz w:val="21"/>
          <w:szCs w:val="21"/>
        </w:rPr>
        <w:t xml:space="preserve">Romans 1:20. </w:t>
      </w:r>
      <w:r>
        <w:rPr>
          <w:rFonts w:ascii="Georgia" w:cs="Georgia" w:eastAsia="Georgia" w:hAnsi="Georgia"/>
          <w:color w:val="1B1B1B"/>
          <w:sz w:val="21"/>
          <w:szCs w:val="21"/>
        </w:rPr>
        <w:t xml:space="preserve">The principle that God is known through created things is quoted outright in the Responsio and engaged thematically in the Monologion — </w:t>
      </w:r>
      <w:r>
        <w:rPr>
          <w:rFonts w:ascii="Georgia" w:cs="Georgia" w:eastAsia="Georgia" w:hAnsi="Georgia"/>
          <w:color w:val="1B1B1B"/>
          <w:sz w:val="21"/>
          <w:szCs w:val="21"/>
        </w:rPr>
        <w:t xml:space="preserve">the structural premise that lets a rational argument remain an act of faith.</w:t>
      </w:r>
    </w:p>
    <w:p>
      <w:pPr>
        <w:spacing w:after="140" w:before="0" w:line="276"/>
      </w:pPr>
      <w:r>
        <w:rPr>
          <w:rFonts w:ascii="Georgia" w:cs="Georgia" w:eastAsia="Georgia" w:hAnsi="Georgia"/>
          <w:b/>
          <w:bCs/>
          <w:color w:val="1B1B1B"/>
          <w:sz w:val="21"/>
          <w:szCs w:val="21"/>
        </w:rPr>
        <w:t xml:space="preserve">The formula’s resonance. </w:t>
      </w:r>
      <w:r>
        <w:rPr>
          <w:rFonts w:ascii="Georgia" w:cs="Georgia" w:eastAsia="Georgia" w:hAnsi="Georgia"/>
          <w:color w:val="1B1B1B"/>
          <w:sz w:val="21"/>
          <w:szCs w:val="21"/>
        </w:rPr>
        <w:t xml:space="preserve">Anselm’s "that than which nothing greater can be thought" stands close to Psalm 144:3 (Vulgate; modern 145:3), on the unsearchable greatness of God: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6EC" w:sz="1"/>
              <w:left w:val="single" w:color="243447" w:sz="18"/>
              <w:bottom w:val="single" w:color="E2E6EC" w:sz="1"/>
              <w:right w:val="single" w:color="E2E6EC" w:sz="1"/>
            </w:tcBorders>
            <w:shd w:fill="F3F5F8" w:val="clear"/>
            <w:tcMar>
              <w:top w:type="dxa" w:w="90"/>
              <w:left w:type="dxa" w:w="150"/>
              <w:bottom w:type="dxa" w:w="90"/>
              <w:right w:type="dxa" w:w="150"/>
            </w:tcMar>
          </w:tcPr>
          <w:p>
            <w:pPr>
              <w:spacing w:after="50"/>
            </w:pPr>
            <w:r>
              <w:rPr>
                <w:rFonts w:ascii="Arial" w:cs="Arial" w:eastAsia="Arial" w:hAnsi="Arial"/>
                <w:b/>
                <w:bCs/>
                <w:color w:val="243447"/>
                <w:sz w:val="18"/>
                <w:szCs w:val="18"/>
              </w:rPr>
              <w:t xml:space="preserve">Psalms 144:3 (Vulgate; modern 145:3) · Monologion 65, Responsio 1 &amp; 3</w:t>
            </w:r>
          </w:p>
          <w:p>
            <w:pPr>
              <w:spacing w:after="40"/>
            </w:pPr>
            <w:r>
              <w:rPr>
                <w:rFonts w:ascii="Arial" w:cs="Arial" w:eastAsia="Arial" w:hAnsi="Arial"/>
                <w:b/>
                <w:bCs/>
                <w:color w:val="555555"/>
                <w:sz w:val="18"/>
                <w:szCs w:val="18"/>
              </w:rPr>
              <w:t xml:space="preserve">Anselm:  </w:t>
            </w:r>
            <w:r>
              <w:rPr>
                <w:rFonts w:ascii="Georgia" w:cs="Georgia" w:eastAsia="Georgia" w:hAnsi="Georgia"/>
                <w:i/>
                <w:iCs/>
                <w:color w:val="1B1B1B"/>
                <w:sz w:val="19"/>
                <w:szCs w:val="19"/>
              </w:rPr>
              <w:t xml:space="preserve">quo maius cogitari nequit — that than which nothing greater can be thought</w:t>
            </w:r>
          </w:p>
          <w:p>
            <w:r>
              <w:rPr>
                <w:rFonts w:ascii="Arial" w:cs="Arial" w:eastAsia="Arial" w:hAnsi="Arial"/>
                <w:b/>
                <w:bCs/>
                <w:color w:val="555555"/>
                <w:sz w:val="18"/>
                <w:szCs w:val="18"/>
              </w:rPr>
              <w:t xml:space="preserve">Vulgate: </w:t>
            </w:r>
            <w:r>
              <w:rPr>
                <w:rFonts w:ascii="Georgia" w:cs="Georgia" w:eastAsia="Georgia" w:hAnsi="Georgia"/>
                <w:color w:val="1B1B1B"/>
                <w:sz w:val="19"/>
                <w:szCs w:val="19"/>
              </w:rPr>
              <w:t xml:space="preserve">Magnus Dominus, et laudabilis nimis, et magnitudinis ejus non est finis.</w:t>
            </w:r>
          </w:p>
        </w:tc>
      </w:tr>
    </w:tbl>
    <w:p>
      <w:pPr>
        <w:pStyle w:val="Heading1"/>
        <w:pageBreakBefore/>
      </w:pPr>
      <w:r>
        <w:rPr>
          <w:rFonts w:ascii="Arial" w:cs="Arial" w:eastAsia="Arial" w:hAnsi="Arial"/>
          <w:b/>
          <w:bCs/>
          <w:color w:val="243447"/>
          <w:sz w:val="28"/>
          <w:szCs w:val="28"/>
        </w:rPr>
        <w:t xml:space="preserve">Contextual validation in practice</w:t>
      </w:r>
    </w:p>
    <w:p>
      <w:pPr>
        <w:spacing w:after="140" w:before="0" w:line="276"/>
      </w:pPr>
      <w:r>
        <w:rPr>
          <w:rFonts w:ascii="Georgia" w:cs="Georgia" w:eastAsia="Georgia" w:hAnsi="Georgia"/>
          <w:color w:val="1B1B1B"/>
          <w:sz w:val="21"/>
          <w:szCs w:val="21"/>
        </w:rPr>
        <w:t xml:space="preserve">Reading each match in context changed the catalogue in three ways, all aimed at keeping only what genuinely makes sense.</w:t>
      </w:r>
    </w:p>
    <w:p>
      <w:pPr>
        <w:spacing w:after="140" w:before="0" w:line="276"/>
      </w:pPr>
      <w:r>
        <w:rPr>
          <w:rFonts w:ascii="Georgia" w:cs="Georgia" w:eastAsia="Georgia" w:hAnsi="Georgia"/>
          <w:b/>
          <w:bCs/>
          <w:color w:val="1B1B1B"/>
          <w:sz w:val="21"/>
          <w:szCs w:val="21"/>
        </w:rPr>
        <w:t xml:space="preserve">Re-attribution. </w:t>
      </w:r>
      <w:r>
        <w:rPr>
          <w:rFonts w:ascii="Georgia" w:cs="Georgia" w:eastAsia="Georgia" w:hAnsi="Georgia"/>
          <w:color w:val="1B1B1B"/>
          <w:sz w:val="21"/>
          <w:szCs w:val="21"/>
        </w:rPr>
        <w:t xml:space="preserve">"Face to face" in Monologion 67 was first matched to Sinai (Deuteronomy 5:4), but Anselm pairs it with the mirror — it is Paul’s "through a glass… then face to face" (1 Corinthians 13:12). </w:t>
      </w:r>
      <w:r>
        <w:rPr>
          <w:rFonts w:ascii="Georgia" w:cs="Georgia" w:eastAsia="Georgia" w:hAnsi="Georgia"/>
          <w:color w:val="1B1B1B"/>
          <w:sz w:val="21"/>
          <w:szCs w:val="21"/>
        </w:rPr>
        <w:t xml:space="preserve">A Proslogion 18 citation mis-numbered Psalm 27:8 is, in the Vulgate, Psalm 26:8.</w:t>
      </w:r>
    </w:p>
    <w:p>
      <w:pPr>
        <w:spacing w:after="140" w:before="0" w:line="276"/>
      </w:pPr>
      <w:r>
        <w:rPr>
          <w:rFonts w:ascii="Georgia" w:cs="Georgia" w:eastAsia="Georgia" w:hAnsi="Georgia"/>
          <w:b/>
          <w:bCs/>
          <w:color w:val="1B1B1B"/>
          <w:sz w:val="21"/>
          <w:szCs w:val="21"/>
        </w:rPr>
        <w:t xml:space="preserve">Promotion. </w:t>
      </w:r>
      <w:r>
        <w:rPr>
          <w:rFonts w:ascii="Georgia" w:cs="Georgia" w:eastAsia="Georgia" w:hAnsi="Georgia"/>
          <w:color w:val="1B1B1B"/>
          <w:sz w:val="21"/>
          <w:szCs w:val="21"/>
        </w:rPr>
        <w:t xml:space="preserve">Five passages first logged as conceptual echoes prove to be verbatim quotations once read in context — Anselm marks "per speculum… facie ad faciem" (1 Cor 13:12) and </w:t>
      </w:r>
      <w:r>
        <w:rPr>
          <w:rFonts w:ascii="Georgia" w:cs="Georgia" w:eastAsia="Georgia" w:hAnsi="Georgia"/>
          <w:color w:val="1B1B1B"/>
          <w:sz w:val="21"/>
          <w:szCs w:val="21"/>
        </w:rPr>
        <w:t xml:space="preserve">"heredes… coheredes Christi" (Romans 8:17) with his own quotation marks — and were moved up to the quotation tiers.</w:t>
      </w:r>
    </w:p>
    <w:p>
      <w:pPr>
        <w:spacing w:after="140" w:before="0" w:line="276"/>
      </w:pPr>
      <w:r>
        <w:rPr>
          <w:rFonts w:ascii="Georgia" w:cs="Georgia" w:eastAsia="Georgia" w:hAnsi="Georgia"/>
          <w:b/>
          <w:bCs/>
          <w:color w:val="1B1B1B"/>
          <w:sz w:val="21"/>
          <w:szCs w:val="21"/>
        </w:rPr>
        <w:t xml:space="preserve">Exclusion. </w:t>
      </w:r>
      <w:r>
        <w:rPr>
          <w:rFonts w:ascii="Georgia" w:cs="Georgia" w:eastAsia="Georgia" w:hAnsi="Georgia"/>
          <w:color w:val="1B1B1B"/>
          <w:sz w:val="21"/>
          <w:szCs w:val="21"/>
        </w:rPr>
        <w:t xml:space="preserve">Eleven matches were dropped as contextually unsound: stock divine vocatives ("Domine Deus meus") pinned to one psalm among many, </w:t>
      </w:r>
      <w:r>
        <w:rPr>
          <w:rFonts w:ascii="Georgia" w:cs="Georgia" w:eastAsia="Georgia" w:hAnsi="Georgia"/>
          <w:color w:val="1B1B1B"/>
          <w:sz w:val="21"/>
          <w:szCs w:val="21"/>
        </w:rPr>
        <w:t xml:space="preserve">a shared wisdom-vocabulary triad mistaken for an allusion to Bezalel the craftsman (Exodus 35:31), and a few conceptual claims that did not fit the passage. A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tcBorders>
              <w:top w:val="single" w:color="CCCCCC" w:sz="1"/>
              <w:left w:val="single" w:color="CCCCCC" w:sz="1"/>
              <w:bottom w:val="single" w:color="CCCCCC" w:sz="1"/>
              <w:right w:val="single" w:color="CCCCCC" w:sz="1"/>
            </w:tcBorders>
            <w:shd w:fill="7C4A4A" w:val="clear"/>
            <w:tcMar>
              <w:top w:type="dxa" w:w="60"/>
              <w:left w:type="dxa" w:w="110"/>
              <w:bottom w:type="dxa" w:w="60"/>
              <w:right w:type="dxa" w:w="110"/>
            </w:tcMar>
          </w:tcPr>
          <w:p>
            <w:r>
              <w:rPr>
                <w:rFonts w:ascii="Arial" w:cs="Arial" w:eastAsia="Arial" w:hAnsi="Arial"/>
                <w:b/>
                <w:bCs/>
                <w:i w:val="false"/>
                <w:iCs w:val="false"/>
                <w:color w:val="FFFFFF"/>
                <w:sz w:val="18"/>
                <w:szCs w:val="18"/>
              </w:rPr>
              <w:t xml:space="preserve">Reference</w:t>
            </w:r>
          </w:p>
        </w:tc>
        <w:tc>
          <w:tcPr>
            <w:tcW w:type="dxa" w:w="2200"/>
            <w:tcBorders>
              <w:top w:val="single" w:color="CCCCCC" w:sz="1"/>
              <w:left w:val="single" w:color="CCCCCC" w:sz="1"/>
              <w:bottom w:val="single" w:color="CCCCCC" w:sz="1"/>
              <w:right w:val="single" w:color="CCCCCC" w:sz="1"/>
            </w:tcBorders>
            <w:shd w:fill="7C4A4A" w:val="clear"/>
            <w:tcMar>
              <w:top w:type="dxa" w:w="60"/>
              <w:left w:type="dxa" w:w="110"/>
              <w:bottom w:type="dxa" w:w="60"/>
              <w:right w:type="dxa" w:w="110"/>
            </w:tcMar>
          </w:tcPr>
          <w:p>
            <w:r>
              <w:rPr>
                <w:rFonts w:ascii="Arial" w:cs="Arial" w:eastAsia="Arial" w:hAnsi="Arial"/>
                <w:b/>
                <w:bCs/>
                <w:i w:val="false"/>
                <w:iCs w:val="false"/>
                <w:color w:val="FFFFFF"/>
                <w:sz w:val="18"/>
                <w:szCs w:val="18"/>
              </w:rPr>
              <w:t xml:space="preserve">Locus</w:t>
            </w:r>
          </w:p>
        </w:tc>
        <w:tc>
          <w:tcPr>
            <w:tcW w:type="dxa" w:w="5260"/>
            <w:tcBorders>
              <w:top w:val="single" w:color="CCCCCC" w:sz="1"/>
              <w:left w:val="single" w:color="CCCCCC" w:sz="1"/>
              <w:bottom w:val="single" w:color="CCCCCC" w:sz="1"/>
              <w:right w:val="single" w:color="CCCCCC" w:sz="1"/>
            </w:tcBorders>
            <w:shd w:fill="7C4A4A" w:val="clear"/>
            <w:tcMar>
              <w:top w:type="dxa" w:w="60"/>
              <w:left w:type="dxa" w:w="110"/>
              <w:bottom w:type="dxa" w:w="60"/>
              <w:right w:type="dxa" w:w="110"/>
            </w:tcMar>
          </w:tcPr>
          <w:p>
            <w:r>
              <w:rPr>
                <w:rFonts w:ascii="Arial" w:cs="Arial" w:eastAsia="Arial" w:hAnsi="Arial"/>
                <w:b/>
                <w:bCs/>
                <w:i w:val="false"/>
                <w:iCs w:val="false"/>
                <w:color w:val="FFFFFF"/>
                <w:sz w:val="18"/>
                <w:szCs w:val="18"/>
              </w:rPr>
              <w:t xml:space="preserve">Why excluded</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i w:val="false"/>
                <w:iCs w:val="false"/>
                <w:color w:val="1B1B1B"/>
                <w:sz w:val="17"/>
                <w:szCs w:val="17"/>
              </w:rPr>
              <w:t xml:space="preserve">Exodus 35:31</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i w:val="false"/>
                <w:iCs w:val="false"/>
                <w:color w:val="1B1B1B"/>
                <w:sz w:val="17"/>
                <w:szCs w:val="17"/>
              </w:rPr>
              <w:t xml:space="preserve">Monologion §47</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i/>
                <w:iCs/>
                <w:color w:val="1B1B1B"/>
                <w:sz w:val="17"/>
                <w:szCs w:val="17"/>
              </w:rPr>
              <w:t xml:space="preserve">Generic wisdom/knowledge/understanding triad (Bezalel the craftsman); a theological commonplace, not a Bezalel allusion</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i w:val="false"/>
                <w:iCs w:val="false"/>
                <w:color w:val="1B1B1B"/>
                <w:sz w:val="17"/>
                <w:szCs w:val="17"/>
              </w:rPr>
              <w:t xml:space="preserve">Psalms 39:6</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i w:val="false"/>
                <w:iCs w:val="false"/>
                <w:color w:val="1B1B1B"/>
                <w:sz w:val="17"/>
                <w:szCs w:val="17"/>
              </w:rPr>
              <w:t xml:space="preserve">Proslogion §1</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i/>
                <w:iCs/>
                <w:color w:val="1B1B1B"/>
                <w:sz w:val="17"/>
                <w:szCs w:val="17"/>
              </w:rPr>
              <w:t xml:space="preserve">Generic divine vocative "Domine Deus meus"; no specific tie to Ps 39</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i w:val="false"/>
                <w:iCs w:val="false"/>
                <w:color w:val="1B1B1B"/>
                <w:sz w:val="17"/>
                <w:szCs w:val="17"/>
              </w:rPr>
              <w:t xml:space="preserve">Isaiah 25:1</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i w:val="false"/>
                <w:iCs w:val="false"/>
                <w:color w:val="1B1B1B"/>
                <w:sz w:val="17"/>
                <w:szCs w:val="17"/>
              </w:rPr>
              <w:t xml:space="preserve">Proslogion §1</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i/>
                <w:iCs/>
                <w:color w:val="1B1B1B"/>
                <w:sz w:val="17"/>
                <w:szCs w:val="17"/>
              </w:rPr>
              <w:t xml:space="preserve">Generic divine vocative "Domine Deus meus es tu"; no specific tie to Isa 25</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i w:val="false"/>
                <w:iCs w:val="false"/>
                <w:color w:val="1B1B1B"/>
                <w:sz w:val="17"/>
                <w:szCs w:val="17"/>
              </w:rPr>
              <w:t xml:space="preserve">Deuteronomy 5:4</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i w:val="false"/>
                <w:iCs w:val="false"/>
                <w:color w:val="1B1B1B"/>
                <w:sz w:val="17"/>
                <w:szCs w:val="17"/>
              </w:rPr>
              <w:t xml:space="preserve">Monologion §67</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i/>
                <w:iCs/>
                <w:color w:val="1B1B1B"/>
                <w:sz w:val="17"/>
                <w:szCs w:val="17"/>
              </w:rPr>
              <w:t xml:space="preserve">"facie ad faciem" is Paul’s mirror (1 Cor 13:12), not Sinai (Deut 5:4) — re-attributed</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i w:val="false"/>
                <w:iCs w:val="false"/>
                <w:color w:val="1B1B1B"/>
                <w:sz w:val="17"/>
                <w:szCs w:val="17"/>
              </w:rPr>
              <w:t xml:space="preserve">Proverbs 3:14</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i w:val="false"/>
                <w:iCs w:val="false"/>
                <w:color w:val="1B1B1B"/>
                <w:sz w:val="17"/>
                <w:szCs w:val="17"/>
              </w:rPr>
              <w:t xml:space="preserve">Monologion §15</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i/>
                <w:iCs/>
                <w:color w:val="1B1B1B"/>
                <w:sz w:val="17"/>
                <w:szCs w:val="17"/>
              </w:rPr>
              <w:t xml:space="preserve">§15’s "melius esse" reasoning is philosophical, not an echo of Prov 3:14</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i w:val="false"/>
                <w:iCs w:val="false"/>
                <w:color w:val="1B1B1B"/>
                <w:sz w:val="17"/>
                <w:szCs w:val="17"/>
              </w:rPr>
              <w:t xml:space="preserve">Acts 17:28</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i w:val="false"/>
                <w:iCs w:val="false"/>
                <w:color w:val="1B1B1B"/>
                <w:sz w:val="17"/>
                <w:szCs w:val="17"/>
              </w:rPr>
              <w:t xml:space="preserve">Monologion §21</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i/>
                <w:iCs/>
                <w:color w:val="1B1B1B"/>
                <w:sz w:val="17"/>
                <w:szCs w:val="17"/>
              </w:rPr>
              <w:t xml:space="preserve">Weak/redundant with §20; §21 is about non-circumscription by place</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i w:val="false"/>
                <w:iCs w:val="false"/>
                <w:color w:val="1B1B1B"/>
                <w:sz w:val="17"/>
                <w:szCs w:val="17"/>
              </w:rPr>
              <w:t xml:space="preserve">Genesis 1:3</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i w:val="false"/>
                <w:iCs w:val="false"/>
                <w:color w:val="1B1B1B"/>
                <w:sz w:val="17"/>
                <w:szCs w:val="17"/>
              </w:rPr>
              <w:t xml:space="preserve">Monologion §33</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i/>
                <w:iCs/>
                <w:color w:val="1B1B1B"/>
                <w:sz w:val="17"/>
                <w:szCs w:val="17"/>
              </w:rPr>
              <w:t xml:space="preserve">Confused attribution (Gen 1:3 is "fiat lux", not "vidit quod bonum"); §33 is about the Word</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bCs/>
                <w:i w:val="false"/>
                <w:iCs w:val="false"/>
                <w:color w:val="1B1B1B"/>
                <w:sz w:val="17"/>
                <w:szCs w:val="17"/>
              </w:rPr>
              <w:t xml:space="preserve">1 John 4:7</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i w:val="false"/>
                <w:iCs w:val="false"/>
                <w:color w:val="1B1B1B"/>
                <w:sz w:val="17"/>
                <w:szCs w:val="17"/>
              </w:rPr>
              <w:t xml:space="preserve">Monologion §49</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b w:val="false"/>
                <w:bCs w:val="false"/>
                <w:i/>
                <w:iCs/>
                <w:color w:val="1B1B1B"/>
                <w:sz w:val="17"/>
                <w:szCs w:val="17"/>
              </w:rPr>
              <w:t xml:space="preserve">"love one another" (human love) — §49 is divine self-love; 1 John 4:8 already covers it</w:t>
            </w:r>
          </w:p>
        </w:tc>
      </w:tr>
    </w:tbl>
    <w:p>
      <w:pPr>
        <w:spacing w:after="140" w:before="80" w:line="276"/>
      </w:pPr>
      <w:r>
        <w:rPr>
          <w:rFonts w:ascii="Georgia" w:cs="Georgia" w:eastAsia="Georgia" w:hAnsi="Georgia"/>
          <w:i/>
          <w:iCs/>
          <w:color w:val="666666"/>
          <w:sz w:val="18"/>
          <w:szCs w:val="18"/>
        </w:rPr>
        <w:t xml:space="preserve">The full catalogue, the conceptual-echo layer, the density table, and every reviewed-and-excluded candidate are in the companion data file (Anselm_allusions_v2_data.xlsx).</w:t>
      </w:r>
    </w:p>
    <w:p>
      <w:pPr>
        <w:pStyle w:val="Heading1"/>
        <w:spacing w:after="140" w:before="280"/>
      </w:pPr>
      <w:r>
        <w:rPr>
          <w:rFonts w:ascii="Arial" w:cs="Arial" w:eastAsia="Arial" w:hAnsi="Arial"/>
          <w:b/>
          <w:bCs/>
          <w:color w:val="243447"/>
          <w:sz w:val="28"/>
          <w:szCs w:val="28"/>
        </w:rPr>
        <w:t xml:space="preserve">Limitations</w:t>
      </w:r>
    </w:p>
    <w:p>
      <w:pPr>
        <w:spacing w:after="140" w:before="0" w:line="276"/>
      </w:pPr>
      <w:r>
        <w:rPr>
          <w:rFonts w:ascii="Georgia" w:cs="Georgia" w:eastAsia="Georgia" w:hAnsi="Georgia"/>
          <w:color w:val="1B1B1B"/>
          <w:sz w:val="21"/>
          <w:szCs w:val="21"/>
        </w:rPr>
        <w:t xml:space="preserve">The lexical tiers detect overlaps of about three words or more; a quotation Anselm dissolves entirely into his own phrasing survives only as a thematic echo. The thematic tier reflects judgement and is deduplicated to the verse level. Psalm references follow the Vulgate (Septuagint) numbering, which runs one behind most modern English Bibles for Psalms 10–147. Quotation-mark detection depends on the editorial marks in the digital source texts, which are not exhaustive.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B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43447"/>
      <w:sz w:val="28"/>
      <w:szCs w:val="28"/>
    </w:rPr>
  </w:style>
  <w:style w:type="paragraph" w:styleId="Heading2">
    <w:name w:val="Heading 2"/>
    <w:basedOn w:val="Normal"/>
    <w:next w:val="Normal"/>
    <w:qFormat/>
    <w:pPr>
      <w:spacing w:after="90" w:before="200"/>
      <w:outlineLvl w:val="1"/>
    </w:pPr>
    <w:rPr>
      <w:rFonts w:ascii="Arial" w:cs="Arial" w:eastAsia="Arial" w:hAnsi="Arial"/>
      <w:b/>
      <w:bCs/>
      <w:color w:val="24344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2026-06-23T21:30:19.253Z</dcterms:created>
  <dcterms:modified xsi:type="dcterms:W3CDTF">2026-06-23T21:30:19.254Z</dcterms:modified>
</cp:coreProperties>
</file>

<file path=docProps/custom.xml><?xml version="1.0" encoding="utf-8"?>
<Properties xmlns="http://schemas.openxmlformats.org/officeDocument/2006/custom-properties" xmlns:vt="http://schemas.openxmlformats.org/officeDocument/2006/docPropsVTypes"/>
</file>