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3A28"/>
          <w:sz w:val="34"/>
          <w:szCs w:val="34"/>
        </w:rPr>
        <w:t xml:space="preserve">Система обліку ТБС і ПОС-терміналів</w:t>
      </w:r>
    </w:p>
    <w:p>
      <w:pPr>
        <w:spacing w:after="100"/>
        <w:jc w:val="center"/>
      </w:pPr>
      <w:r>
        <w:rPr>
          <w:b w:val="false"/>
          <w:bCs w:val="false"/>
          <w:i w:val="false"/>
          <w:iCs w:val="false"/>
          <w:color w:val="5A7A62"/>
          <w:sz w:val="24"/>
          <w:szCs w:val="24"/>
        </w:rPr>
        <w:t xml:space="preserve">Інструкція користувача</w:t>
      </w:r>
    </w:p>
    <w:p>
      <w:pPr>
        <w:spacing w:after="300"/>
        <w:jc w:val="center"/>
      </w:pPr>
      <w:r>
        <w:rPr>
          <w:b w:val="false"/>
          <w:bCs w:val="false"/>
          <w:i w:val="false"/>
          <w:iCs w:val="false"/>
          <w:color w:val="5A7A62"/>
          <w:sz w:val="19"/>
          <w:szCs w:val="19"/>
        </w:rPr>
        <w:t xml:space="preserve">Департамент банківської безпеки · АТ «Ощадбанк»</w:t>
      </w:r>
    </w:p>
    <w:p>
      <w:pPr>
        <w:pStyle w:val="Heading1"/>
        <w:spacing w:after="140" w:before="320"/>
      </w:pPr>
      <w:r>
        <w:t xml:space="preserve">1. Таблиця ТБС</w:t>
      </w:r>
    </w:p>
    <w:p>
      <w:pPr>
        <w:pStyle w:val="Heading2"/>
        <w:spacing w:after="100" w:before="240"/>
      </w:pPr>
      <w:r>
        <w:t xml:space="preserve">Розділи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Активні — записи в роботі.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Запущені — те, що вже введено в експлуатацію. Якщо запустити ID, який там уже є, запис перезапишеться новими даними й новою датою.</w:t>
      </w:r>
    </w:p>
    <w:p>
      <w:pPr>
        <w:pStyle w:val="Heading2"/>
        <w:spacing w:after="100" w:before="240"/>
      </w:pPr>
      <w:r>
        <w:t xml:space="preserve">Пошук і фільтри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Угорі є пошук по всіх полях і фільтри за ФІО, організацією, типом. Прострочені (понад 10 робочих днів від дати SLO) підсвічуються окремо.</w:t>
      </w:r>
    </w:p>
    <w:p>
      <w:pPr>
        <w:pStyle w:val="Heading2"/>
        <w:spacing w:after="100" w:before="240"/>
      </w:pPr>
      <w:r>
        <w:t xml:space="preserve">Картка запису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Кнопка з олівцем у рядку відкриває картку — усі поля згруповані за розділами: Опис, Етапи, Технічні, Дати, Примітка, а також блоки для заявки на інсталяцію: Термінал, Криптоключі, Касети, Контактна особа, Мережеве, Модем.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Зміни зберігаються кнопкою «Зберегти». Кожна правка потрапляє в журнал.</w:t>
      </w:r>
    </w:p>
    <w:p>
      <w:pPr>
        <w:pStyle w:val="Heading2"/>
        <w:spacing w:after="100" w:before="240"/>
      </w:pPr>
      <w:r>
        <w:t xml:space="preserve">Додавання запису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Кнопка «Додати» відкриває порожню картку. ID і ваше прізвище підставляються автоматично, набір етапів залежить від типу (ATM чи ІПТ).</w:t>
      </w:r>
    </w:p>
    <w:p>
      <w:pPr>
        <w:pStyle w:val="Heading1"/>
        <w:spacing w:after="140" w:before="320"/>
      </w:pPr>
      <w:r>
        <w:t xml:space="preserve">2. Заявка на інсталяцію ТБС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Кнопка «Заявка на інсталяцію ТБС» угорі картки формує лист до підрядника разом із вкладеною заявкою у Word.</w:t>
      </w:r>
    </w:p>
    <w:p>
      <w:pPr>
        <w:pStyle w:val="Heading2"/>
        <w:spacing w:after="100" w:before="240"/>
      </w:pPr>
      <w:r>
        <w:t xml:space="preserve">Як це працює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Якщо всі потрібні дані в картці заповнені — лист формується одразу.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Якщо чогось бракує — відкривається форма, і зверху червоним перелічено, які саме поля порожні.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Заповнюєте, тиснете «Сформувати лист» — дані одночасно зберігаються в картку, тож наступного разу форма не з’явиться.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Завантажується файл листа. Відкрийте його подвійним кліком — Outlook покаже готовий лист із вкладенням, лишиться натиснути «Надіслати».</w:t>
      </w:r>
    </w:p>
    <w:p>
      <w:pPr>
        <w:pStyle w:val="Heading2"/>
        <w:spacing w:after="100" w:before="240"/>
      </w:pPr>
      <w:r>
        <w:t xml:space="preserve">Що куди підставляється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AF3E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Дані</w:t>
            </w:r>
          </w:p>
        </w:tc>
        <w:tc>
          <w:tcPr>
            <w:tcW w:type="dxa" w:w="6360"/>
            <w:shd w:fill="EAF3E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Куди потрапляють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Серійний номер (S/N)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Тема листа і заявка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Тип термінала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Заявка. Список моделей залежить від типу: для ATM одинадцять, для ІПТ дев’ять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Регіональне управління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Тема листа. Визначається автоматично за ID (напр. A01… → Вінницьке РУ)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Ключі криптування, касети, контактна особа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Текст листа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Мережеві налаштування LAN і WAN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Текст листа, блок «Налаштування для чекпоінта»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Замітка по модему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Текст листа, блок «Дані по каналу зв’язку». Необов’язкова: якщо порожня — блоку не буде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 термінала, шлюз, маска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Заявка</w:t>
            </w:r>
          </w:p>
        </w:tc>
      </w:tr>
    </w:tbl>
    <w:p>
      <w:pPr>
        <w:spacing w:after="2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Отримувачі та копія прописані в системі — змінювати їх вручну не потрібно.</w:t>
      </w:r>
    </w:p>
    <w:p>
      <w:pPr>
        <w:pStyle w:val="Heading1"/>
        <w:spacing w:after="140" w:before="320"/>
      </w:pPr>
      <w:r>
        <w:t xml:space="preserve">3. Сторінка ПОС-терміналів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Відкривається кнопкою «ПОСи» в таблиці ТБС.</w:t>
      </w:r>
    </w:p>
    <w:p>
      <w:pPr>
        <w:pStyle w:val="Heading2"/>
        <w:spacing w:after="100" w:before="240"/>
      </w:pPr>
      <w:r>
        <w:t xml:space="preserve">Що на сторінці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Список відділень: номер ТВБВ, адреса, контактна особа, а далі кнопки з ідентифікаторами — окремо каси, окремо менеджери. Номер каси відповідає тому, що у вихідному файлі.</w:t>
      </w:r>
    </w:p>
    <w:p>
      <w:pPr>
        <w:pStyle w:val="Heading2"/>
        <w:spacing w:after="100" w:before="240"/>
      </w:pPr>
      <w:r>
        <w:t xml:space="preserve">Кольори кнопок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3E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Колір</w:t>
            </w:r>
          </w:p>
        </w:tc>
        <w:tc>
          <w:tcPr>
            <w:tcW w:type="dxa" w:w="7160"/>
            <w:shd w:fill="EAF3E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Що означає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Білий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Серійного номера немає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Жовтий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Серійний номер введено, але у файл ще не вивантажувався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Зелений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Уже потрапив у сформований файл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Пунктирна рамка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Термінала немає в реєстрі — у файл не потрапить</w:t>
            </w:r>
          </w:p>
        </w:tc>
      </w:tr>
    </w:tbl>
    <w:p>
      <w:pPr>
        <w:pStyle w:val="Heading2"/>
        <w:spacing w:after="100" w:before="240"/>
      </w:pPr>
      <w:r>
        <w:t xml:space="preserve">Введення серійного номера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Натисніть кнопку з ідентифікатором, введіть номер (дозволені лише латинські літери й цифри — решта відсікається автоматично) і збережіть. Повторний клік дає змінити або видалити.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У цьому ж вікні є кнопка редагування даних реєстру. Якщо термінала в реєстрі немає, вона запропонує додати його — після цього він почне потрапляти у файли.</w:t>
      </w:r>
    </w:p>
    <w:p>
      <w:pPr>
        <w:pStyle w:val="Heading2"/>
        <w:spacing w:after="100" w:before="240"/>
      </w:pPr>
      <w:r>
        <w:t xml:space="preserve">Формування Excel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Кнопка «Сформувати Excel» відкриває список терміналів. За замовчуванням позначені ті, з якими працювали востаннє; найсвіжіші вгорі.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 файл потрапляють лише термінали, що мають СБОН-ідентифікатор.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Ті, що мають тільки ощадбанківський ID, після формування показуються окремою формою — з неї дані заводяться вручну. Є кнопка «Скопіювати все».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Файл називається POS_CASH_СБОН_Профили_ДДММРРРР_Desk.xlsx і повністю відповідає прийнятому оформленню.</w:t>
      </w:r>
    </w:p>
    <w:p>
      <w:pPr>
        <w:pStyle w:val="Heading2"/>
        <w:spacing w:after="100" w:before="240"/>
      </w:pPr>
      <w:r>
        <w:t xml:space="preserve">Лист реноме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Кнопка «Лист реноме» так само дає обрати термінали. Лист групується по ТВБВ: адреса й контакт друкуються один раз, далі йдуть термінали з підписами «Каса 1», «Менеджер 2» тощо.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Якщо терміналів небагато — Outlook відкриється одразу. Якщо список великий — завантажиться файл листа, який відкривається в Outlook готовим. Підказка про це видно ще до формування.</w:t>
      </w:r>
    </w:p>
    <w:p>
      <w:pPr>
        <w:pStyle w:val="Heading2"/>
        <w:spacing w:after="100" w:before="240"/>
      </w:pPr>
      <w:r>
        <w:t xml:space="preserve">Виготовлення криптоключів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Кнопка «Виготовлення КК» відкриває вибір терміналів: спершу показуються ті, що були в останньому формуванні. Якщо потрібного немає — кнопка «Не знайду ID» покаже всі термінали з серійними номерами.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Обрані термінали групуються за регіональними управліннями, і на кожне РУ формується окрема заявка з власним номером. Номер береться з довідника й збільшується на одиницю; якщо хтось формував заявку одночасно, номери не задвояться.</w:t>
      </w:r>
    </w:p>
    <w:p>
      <w:pPr>
        <w:pStyle w:val="Heading2"/>
        <w:spacing w:after="100" w:before="240"/>
      </w:pPr>
      <w:r>
        <w:t xml:space="preserve">Довідники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«Довідник РУ» — назви управлінь, відповідальні особи, лічильники заявок.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«Додати ТВБВ» — створення відділення вручну: номер, адреса, контактна особа, ідентифікатори по касах і менеджерах. Номер ТВБВ у таблиці клікабельний — відкриває те саме вікно для редагування.</w:t>
      </w:r>
    </w:p>
    <w:p>
      <w:pPr>
        <w:pStyle w:val="Heading1"/>
        <w:spacing w:after="140" w:before="320"/>
      </w:pPr>
      <w:r>
        <w:t xml:space="preserve">4. Хто що може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shd w:fill="EAF3E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Дія</w:t>
            </w:r>
          </w:p>
        </w:tc>
        <w:tc>
          <w:tcPr>
            <w:tcW w:type="dxa" w:w="3360"/>
            <w:shd w:fill="EAF3E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Хто</w:t>
            </w:r>
          </w:p>
        </w:tc>
      </w:tr>
      <w:t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Введення серійних номерів, формування файлів і листів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Усі користувачі</w:t>
            </w:r>
          </w:p>
        </w:tc>
      </w:tr>
      <w:t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Створення й редагування ТВБВ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Усі користувачі</w:t>
            </w:r>
          </w:p>
        </w:tc>
      </w:tr>
      <w:t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Імпорт файлів (Додаток 1, реєстр cash_POS)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Адміністратор</w:t>
            </w:r>
          </w:p>
        </w:tc>
      </w:tr>
      <w:t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Редагування й видалення записів реєстру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Адміністратор</w:t>
            </w:r>
          </w:p>
        </w:tc>
      </w:tr>
      <w:tr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Видалення відділення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Адміністратор</w:t>
            </w:r>
          </w:p>
        </w:tc>
      </w:tr>
    </w:tbl>
    <w:p>
      <w:pPr>
        <w:spacing w:after="2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Усі дії фіксуються в журналі: хто, коли, що саме змінив.</w:t>
      </w:r>
    </w:p>
    <w:p>
      <w:pPr>
        <w:pStyle w:val="Heading1"/>
        <w:spacing w:after="140" w:before="320"/>
      </w:pPr>
      <w:r>
        <w:t xml:space="preserve">5. Часті питання</w:t>
      </w:r>
    </w:p>
    <w:p>
      <w:pPr>
        <w:pStyle w:val="Heading2"/>
        <w:spacing w:after="100" w:before="240"/>
      </w:pPr>
      <w:r>
        <w:t xml:space="preserve">Зміни не з’являються після оновлення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Браузер показує стару копію сторінки. Натисніть Ctrl+Shift+R. У шапці сторінки ПОСів є позначка збірки з часом — за нею видно, свіжа версія чи ні.</w:t>
      </w:r>
    </w:p>
    <w:p>
      <w:pPr>
        <w:pStyle w:val="Heading2"/>
        <w:spacing w:after="100" w:before="240"/>
      </w:pPr>
      <w:r>
        <w:t xml:space="preserve">Замість листа завантажується файл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Це нормально. Outlook не вміє приймати довгі листи й вкладення через звичайне посилання, тому лист передається файлом. Відкрийте його подвійним кліком — Outlook покаже готовий лист.</w:t>
      </w:r>
    </w:p>
    <w:p>
      <w:pPr>
        <w:pStyle w:val="Heading2"/>
        <w:spacing w:after="100" w:before="240"/>
      </w:pPr>
      <w:r>
        <w:t xml:space="preserve">Лист відкрився, але текст обірвано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Список задовгий для прямого відкриття. Оберіть менше терміналів або скористайтеся варіантом із файлом.</w:t>
      </w:r>
    </w:p>
    <w:p>
      <w:pPr>
        <w:pStyle w:val="Heading2"/>
        <w:spacing w:after="100" w:before="240"/>
      </w:pPr>
      <w:r>
        <w:t xml:space="preserve">Термінал не потрапляє у файл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Перевірте, чи є він у реєстрі (пунктирна рамка означає, що немає) і чи має СБОН-ідентифікатор. Додати або виправити дані можна у вікні термінала.</w:t>
      </w:r>
    </w:p>
    <w:p>
      <w:pPr>
        <w:pStyle w:val="Heading2"/>
        <w:spacing w:after="100" w:before="240"/>
      </w:pPr>
      <w:r>
        <w:t xml:space="preserve">Лист не надсилається сам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Так і задумано. Система лише готує лист — перевіряєте його та надсилаєте вручну.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F2A24"/>
          <w:sz w:val="21"/>
          <w:szCs w:val="21"/>
        </w:rPr>
        <w:t xml:space="preserve"> </w:t>
      </w:r>
    </w:p>
    <w:p>
      <w:pPr>
        <w:spacing w:after="100"/>
        <w:jc w:val="center"/>
      </w:pPr>
      <w:r>
        <w:rPr>
          <w:b w:val="false"/>
          <w:bCs w:val="false"/>
          <w:i/>
          <w:iCs/>
          <w:color w:val="5A7A62"/>
          <w:sz w:val="21"/>
          <w:szCs w:val="21"/>
        </w:rPr>
        <w:t xml:space="preserve">З питаннями щодо роботи системи звертайтеся до адміністратора.</w:t>
      </w:r>
    </w:p>
    <w:sectPr>
      <w:pgSz w:w="11906" w:h="16838" w:orient="portrait"/>
      <w:pgMar w:top="900" w:right="9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3A28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A7A4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2026-08-20T11:19:47.633Z</dcterms:created>
  <dcterms:modified xsi:type="dcterms:W3CDTF">2026-08-20T11:19:47.633Z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