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mp" ContentType="image/p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771B0" w14:textId="77777777" w:rsidR="00E8343F" w:rsidRDefault="00E8343F" w:rsidP="009B43D5">
      <w:pPr>
        <w:pStyle w:val="OBISCoverTitle"/>
        <w:spacing w:after="120"/>
        <w:rPr>
          <w:color w:val="0067B1"/>
          <w:sz w:val="52"/>
          <w:szCs w:val="52"/>
        </w:rPr>
      </w:pPr>
    </w:p>
    <w:p w14:paraId="35710EE2" w14:textId="77777777" w:rsidR="009B43D5" w:rsidRPr="00A94665" w:rsidRDefault="00E0442D" w:rsidP="009B43D5">
      <w:pPr>
        <w:pStyle w:val="OBISCoverTitle"/>
        <w:spacing w:after="120"/>
        <w:rPr>
          <w:color w:val="0067B1"/>
          <w:sz w:val="52"/>
          <w:szCs w:val="52"/>
        </w:rPr>
      </w:pPr>
      <w:r w:rsidRPr="00A94665">
        <w:rPr>
          <w:color w:val="0067B1"/>
          <w:sz w:val="52"/>
          <w:szCs w:val="52"/>
        </w:rPr>
        <w:t>Executive Liability Insurance</w:t>
      </w:r>
    </w:p>
    <w:p w14:paraId="4D54B272" w14:textId="601454B5" w:rsidR="00E0442D" w:rsidRPr="00A94665" w:rsidRDefault="001A54AD" w:rsidP="009B43D5">
      <w:pPr>
        <w:pStyle w:val="OBISCoverTitle"/>
        <w:spacing w:after="120"/>
        <w:rPr>
          <w:color w:val="0067B1"/>
          <w:sz w:val="52"/>
          <w:szCs w:val="52"/>
        </w:rPr>
      </w:pPr>
      <w:r>
        <w:rPr>
          <w:color w:val="0067B1"/>
          <w:sz w:val="52"/>
          <w:szCs w:val="52"/>
        </w:rPr>
        <w:t>de-SPAC</w:t>
      </w:r>
      <w:r w:rsidR="00D71D8F" w:rsidRPr="00A94665">
        <w:rPr>
          <w:color w:val="0067B1"/>
          <w:sz w:val="52"/>
          <w:szCs w:val="52"/>
        </w:rPr>
        <w:t xml:space="preserve"> </w:t>
      </w:r>
      <w:r w:rsidR="00932F79" w:rsidRPr="00A94665">
        <w:rPr>
          <w:color w:val="0067B1"/>
          <w:sz w:val="52"/>
          <w:szCs w:val="52"/>
        </w:rPr>
        <w:t>Discussion</w:t>
      </w:r>
    </w:p>
    <w:p w14:paraId="454E8EB0" w14:textId="77777777" w:rsidR="009B43D5" w:rsidRPr="006736E1" w:rsidRDefault="009B43D5" w:rsidP="006736E1">
      <w:pPr>
        <w:pStyle w:val="OBISCoverTitle"/>
        <w:rPr>
          <w:b w:val="0"/>
          <w:smallCaps w:val="0"/>
          <w:color w:val="auto"/>
        </w:rPr>
      </w:pPr>
    </w:p>
    <w:p w14:paraId="71C4D684" w14:textId="77777777" w:rsidR="009B43D5" w:rsidRPr="006736E1" w:rsidRDefault="009B43D5" w:rsidP="009B43D5">
      <w:pPr>
        <w:pStyle w:val="OBISCoverTitle"/>
        <w:rPr>
          <w:smallCaps w:val="0"/>
          <w:color w:val="auto"/>
        </w:rPr>
      </w:pPr>
    </w:p>
    <w:p w14:paraId="27668B54" w14:textId="77777777" w:rsidR="009B43D5" w:rsidRPr="00A94665" w:rsidRDefault="009B43D5" w:rsidP="009B43D5">
      <w:pPr>
        <w:pStyle w:val="OBISCoverTitle"/>
        <w:rPr>
          <w:b w:val="0"/>
          <w:color w:val="0067B1"/>
          <w:sz w:val="24"/>
          <w:szCs w:val="24"/>
        </w:rPr>
      </w:pPr>
      <w:r w:rsidRPr="00A94665">
        <w:rPr>
          <w:b w:val="0"/>
          <w:color w:val="0067B1"/>
          <w:sz w:val="24"/>
          <w:szCs w:val="24"/>
        </w:rPr>
        <w:t>Prepared for:</w:t>
      </w:r>
    </w:p>
    <w:p w14:paraId="23FBD548" w14:textId="77777777" w:rsidR="009B43D5" w:rsidRPr="00EE109A" w:rsidRDefault="009B43D5" w:rsidP="009B43D5">
      <w:pPr>
        <w:pStyle w:val="OBISCoverTitle"/>
        <w:rPr>
          <w:b w:val="0"/>
          <w:color w:val="auto"/>
          <w:sz w:val="28"/>
          <w:szCs w:val="28"/>
        </w:rPr>
      </w:pPr>
    </w:p>
    <w:p w14:paraId="0F31F4BD" w14:textId="77777777" w:rsidR="00077B97" w:rsidRPr="00EE109A" w:rsidRDefault="00077B97" w:rsidP="009B43D5">
      <w:pPr>
        <w:pStyle w:val="OBISCoverTitle"/>
        <w:rPr>
          <w:smallCaps w:val="0"/>
          <w:noProof/>
          <w:color w:val="auto"/>
          <w:sz w:val="24"/>
          <w:szCs w:val="24"/>
        </w:rPr>
      </w:pPr>
    </w:p>
    <w:p w14:paraId="0A86B860" w14:textId="77777777" w:rsidR="005B7B6E" w:rsidRDefault="005B7B6E" w:rsidP="009B43D5">
      <w:pPr>
        <w:pStyle w:val="OBISCoverTitle"/>
        <w:rPr>
          <w:b w:val="0"/>
          <w:color w:val="0067B1"/>
          <w:sz w:val="24"/>
          <w:szCs w:val="24"/>
        </w:rPr>
      </w:pPr>
    </w:p>
    <w:p w14:paraId="6D5BF9D0" w14:textId="77777777" w:rsidR="00130405" w:rsidRPr="00EE109A" w:rsidRDefault="00130405" w:rsidP="00130405">
      <w:pPr>
        <w:pStyle w:val="OBISCoverTitle"/>
        <w:rPr>
          <w:smallCaps w:val="0"/>
          <w:noProof/>
          <w:color w:val="auto"/>
          <w:sz w:val="24"/>
          <w:szCs w:val="24"/>
        </w:rPr>
      </w:pPr>
      <w:r w:rsidRPr="00B9461B">
        <w:rPr>
          <w:noProof/>
          <w:highlight w:val="yellow"/>
        </w:rPr>
        <w:t>ABC Company</w:t>
      </w:r>
    </w:p>
    <w:p w14:paraId="7C8B9094" w14:textId="77777777" w:rsidR="002519A6" w:rsidRDefault="00E8343F" w:rsidP="009B43D5">
      <w:pPr>
        <w:pStyle w:val="OBISCoverTitle"/>
        <w:rPr>
          <w:b w:val="0"/>
          <w:color w:val="0067B1"/>
          <w:sz w:val="24"/>
          <w:szCs w:val="24"/>
        </w:rPr>
      </w:pPr>
      <w:r>
        <w:rPr>
          <w:b w:val="0"/>
          <w:color w:val="0067B1"/>
          <w:sz w:val="24"/>
          <w:szCs w:val="24"/>
        </w:rPr>
        <w:t xml:space="preserve"> </w:t>
      </w:r>
    </w:p>
    <w:p w14:paraId="11366CE3" w14:textId="77777777" w:rsidR="002609DC" w:rsidRDefault="002609DC" w:rsidP="009B43D5">
      <w:pPr>
        <w:pStyle w:val="OBISCoverTitle"/>
        <w:rPr>
          <w:b w:val="0"/>
          <w:color w:val="0067B1"/>
          <w:sz w:val="24"/>
          <w:szCs w:val="24"/>
        </w:rPr>
      </w:pPr>
    </w:p>
    <w:p w14:paraId="6FFC0253" w14:textId="77777777" w:rsidR="002609DC" w:rsidRDefault="002609DC" w:rsidP="009B43D5">
      <w:pPr>
        <w:pStyle w:val="OBISCoverTitle"/>
        <w:rPr>
          <w:b w:val="0"/>
          <w:color w:val="0067B1"/>
          <w:sz w:val="24"/>
          <w:szCs w:val="24"/>
        </w:rPr>
      </w:pPr>
    </w:p>
    <w:p w14:paraId="31F21D65" w14:textId="77777777" w:rsidR="002609DC" w:rsidRDefault="002609DC" w:rsidP="009B43D5">
      <w:pPr>
        <w:pStyle w:val="OBISCoverTitle"/>
        <w:rPr>
          <w:b w:val="0"/>
          <w:color w:val="0067B1"/>
          <w:sz w:val="24"/>
          <w:szCs w:val="24"/>
        </w:rPr>
      </w:pPr>
    </w:p>
    <w:p w14:paraId="305E6D41" w14:textId="77777777" w:rsidR="002609DC" w:rsidRDefault="002609DC" w:rsidP="009B43D5">
      <w:pPr>
        <w:pStyle w:val="OBISCoverTitle"/>
        <w:rPr>
          <w:b w:val="0"/>
          <w:color w:val="0067B1"/>
          <w:sz w:val="24"/>
          <w:szCs w:val="24"/>
        </w:rPr>
      </w:pPr>
    </w:p>
    <w:p w14:paraId="31922DFB" w14:textId="77777777" w:rsidR="009B43D5" w:rsidRPr="00A94665" w:rsidRDefault="009B43D5" w:rsidP="009B43D5">
      <w:pPr>
        <w:pStyle w:val="OBISCoverTitle"/>
        <w:rPr>
          <w:b w:val="0"/>
          <w:color w:val="0067B1"/>
          <w:sz w:val="24"/>
          <w:szCs w:val="24"/>
        </w:rPr>
      </w:pPr>
      <w:r w:rsidRPr="00A94665">
        <w:rPr>
          <w:b w:val="0"/>
          <w:color w:val="0067B1"/>
          <w:sz w:val="24"/>
          <w:szCs w:val="24"/>
        </w:rPr>
        <w:t>Presented by:</w:t>
      </w:r>
    </w:p>
    <w:p w14:paraId="4FFAC814" w14:textId="77777777" w:rsidR="00FE4888" w:rsidRPr="00A1771B" w:rsidRDefault="00FE4888" w:rsidP="00A1771B">
      <w:pPr>
        <w:pStyle w:val="OBISCoverTitle"/>
        <w:rPr>
          <w:b w:val="0"/>
          <w:color w:val="auto"/>
          <w:sz w:val="36"/>
          <w:szCs w:val="36"/>
        </w:rPr>
      </w:pPr>
    </w:p>
    <w:p w14:paraId="62DA958F" w14:textId="706C6711" w:rsidR="00130405" w:rsidRDefault="00B9461B" w:rsidP="00130405">
      <w:pPr>
        <w:pStyle w:val="OBISCoverTitle"/>
        <w:rPr>
          <w:b w:val="0"/>
          <w:i/>
          <w:color w:val="808080"/>
          <w:sz w:val="36"/>
          <w:szCs w:val="36"/>
        </w:rPr>
      </w:pPr>
      <w:r>
        <w:rPr>
          <w:b w:val="0"/>
          <w:i/>
          <w:color w:val="808080"/>
          <w:sz w:val="36"/>
          <w:szCs w:val="36"/>
        </w:rPr>
        <w:t>Aaron Lavespere</w:t>
      </w:r>
    </w:p>
    <w:p w14:paraId="76A8772C" w14:textId="7E975327" w:rsidR="00130405" w:rsidRPr="009E4301" w:rsidRDefault="00B9461B" w:rsidP="00130405">
      <w:pPr>
        <w:pStyle w:val="OBISCoverTitle"/>
        <w:rPr>
          <w:i/>
          <w:color w:val="808080"/>
          <w:sz w:val="36"/>
          <w:szCs w:val="36"/>
        </w:rPr>
      </w:pPr>
      <w:r>
        <w:rPr>
          <w:i/>
          <w:color w:val="808080"/>
          <w:sz w:val="36"/>
          <w:szCs w:val="36"/>
        </w:rPr>
        <w:t>EPIC Insurance Brokers &amp; Consultants</w:t>
      </w:r>
    </w:p>
    <w:p w14:paraId="37F0C63A" w14:textId="77777777" w:rsidR="00130405" w:rsidRPr="00EE455C" w:rsidRDefault="00130405" w:rsidP="00130405">
      <w:pPr>
        <w:pStyle w:val="OBISCoverTitle"/>
        <w:rPr>
          <w:i/>
          <w:color w:val="808080"/>
          <w:sz w:val="36"/>
          <w:szCs w:val="36"/>
        </w:rPr>
      </w:pPr>
    </w:p>
    <w:p w14:paraId="2AF160A2" w14:textId="2F0724DB" w:rsidR="00130405" w:rsidRDefault="003159AB" w:rsidP="00130405">
      <w:pPr>
        <w:pStyle w:val="OBISCoverTitle"/>
        <w:rPr>
          <w:b w:val="0"/>
          <w:i/>
          <w:color w:val="808080"/>
          <w:sz w:val="36"/>
          <w:szCs w:val="36"/>
        </w:rPr>
      </w:pPr>
      <w:r>
        <w:rPr>
          <w:b w:val="0"/>
          <w:i/>
          <w:color w:val="808080"/>
          <w:sz w:val="36"/>
          <w:szCs w:val="36"/>
        </w:rPr>
        <w:t>R</w:t>
      </w:r>
      <w:r w:rsidR="00B9461B">
        <w:rPr>
          <w:b w:val="0"/>
          <w:i/>
          <w:color w:val="808080"/>
          <w:sz w:val="36"/>
          <w:szCs w:val="36"/>
        </w:rPr>
        <w:t>achelle Best</w:t>
      </w:r>
    </w:p>
    <w:p w14:paraId="0914FE39" w14:textId="77777777" w:rsidR="00130405" w:rsidRDefault="00130405" w:rsidP="00130405">
      <w:pPr>
        <w:pStyle w:val="OBISCoverTitle"/>
        <w:rPr>
          <w:b w:val="0"/>
          <w:i/>
          <w:smallCaps w:val="0"/>
          <w:color w:val="808080"/>
          <w:sz w:val="36"/>
          <w:szCs w:val="36"/>
        </w:rPr>
      </w:pPr>
      <w:r w:rsidRPr="00B50288">
        <w:rPr>
          <w:i/>
          <w:color w:val="808080"/>
          <w:sz w:val="36"/>
          <w:szCs w:val="36"/>
        </w:rPr>
        <w:t>RT ProExec</w:t>
      </w:r>
    </w:p>
    <w:p w14:paraId="05697C3F" w14:textId="77777777" w:rsidR="00130405" w:rsidRDefault="00130405" w:rsidP="00130405">
      <w:pPr>
        <w:pStyle w:val="OBISCoverTitle"/>
        <w:rPr>
          <w:b w:val="0"/>
          <w:color w:val="0067B1"/>
          <w:sz w:val="36"/>
          <w:szCs w:val="36"/>
        </w:rPr>
      </w:pPr>
    </w:p>
    <w:p w14:paraId="3AD01E75" w14:textId="77777777" w:rsidR="00130405" w:rsidRPr="00A94665" w:rsidRDefault="00130405" w:rsidP="00130405">
      <w:pPr>
        <w:pStyle w:val="OBISCoverTitle"/>
        <w:rPr>
          <w:b w:val="0"/>
          <w:color w:val="0067B1"/>
          <w:sz w:val="36"/>
          <w:szCs w:val="36"/>
        </w:rPr>
      </w:pPr>
    </w:p>
    <w:p w14:paraId="5D2D305D" w14:textId="77777777" w:rsidR="00130405" w:rsidRDefault="00130405" w:rsidP="00130405">
      <w:pPr>
        <w:pStyle w:val="OBISCoverTitle"/>
        <w:rPr>
          <w:b w:val="0"/>
          <w:color w:val="0067B1"/>
          <w:sz w:val="36"/>
          <w:szCs w:val="36"/>
        </w:rPr>
      </w:pPr>
    </w:p>
    <w:p w14:paraId="29A55307" w14:textId="77777777" w:rsidR="00130405" w:rsidRDefault="00130405" w:rsidP="00130405">
      <w:pPr>
        <w:pStyle w:val="OBISCoverTitle"/>
        <w:rPr>
          <w:b w:val="0"/>
          <w:color w:val="0067B1"/>
          <w:sz w:val="36"/>
          <w:szCs w:val="36"/>
        </w:rPr>
      </w:pPr>
    </w:p>
    <w:p w14:paraId="466EF4F5" w14:textId="37EC75A7" w:rsidR="009B43D5" w:rsidRPr="00A94665" w:rsidRDefault="00B9461B" w:rsidP="00130405">
      <w:pPr>
        <w:pStyle w:val="OBISCoverTitle"/>
        <w:rPr>
          <w:b w:val="0"/>
          <w:color w:val="0067B1"/>
          <w:sz w:val="36"/>
          <w:szCs w:val="36"/>
        </w:rPr>
      </w:pPr>
      <w:r>
        <w:rPr>
          <w:b w:val="0"/>
          <w:color w:val="0067B1"/>
          <w:sz w:val="36"/>
          <w:szCs w:val="36"/>
        </w:rPr>
        <w:t>June</w:t>
      </w:r>
      <w:r w:rsidR="00130405">
        <w:rPr>
          <w:b w:val="0"/>
          <w:color w:val="0067B1"/>
          <w:sz w:val="36"/>
          <w:szCs w:val="36"/>
        </w:rPr>
        <w:t xml:space="preserve"> 20</w:t>
      </w:r>
      <w:r w:rsidR="000A7AE8">
        <w:rPr>
          <w:b w:val="0"/>
          <w:color w:val="0067B1"/>
          <w:sz w:val="36"/>
          <w:szCs w:val="36"/>
        </w:rPr>
        <w:t>2</w:t>
      </w:r>
      <w:r w:rsidR="00AA6B12">
        <w:rPr>
          <w:b w:val="0"/>
          <w:color w:val="0067B1"/>
          <w:sz w:val="36"/>
          <w:szCs w:val="36"/>
        </w:rPr>
        <w:t>2</w:t>
      </w:r>
    </w:p>
    <w:p w14:paraId="29B8246F" w14:textId="77777777" w:rsidR="002609DC" w:rsidRDefault="006D1B6B" w:rsidP="009C2DDD">
      <w:pPr>
        <w:spacing w:before="240"/>
        <w:ind w:left="6480"/>
        <w:jc w:val="right"/>
        <w:rPr>
          <w:rFonts w:ascii="Arial" w:hAnsi="Arial"/>
          <w:smallCaps/>
          <w:sz w:val="28"/>
          <w:u w:val="single"/>
        </w:rPr>
      </w:pPr>
      <w:r>
        <w:rPr>
          <w:rFonts w:ascii="Arial" w:hAnsi="Arial"/>
          <w:smallCaps/>
          <w:sz w:val="28"/>
          <w:u w:val="single"/>
        </w:rPr>
        <w:br w:type="page"/>
      </w:r>
    </w:p>
    <w:p w14:paraId="185A9077" w14:textId="77777777" w:rsidR="002609DC" w:rsidRDefault="002609DC" w:rsidP="009C2DDD">
      <w:pPr>
        <w:spacing w:before="240"/>
        <w:ind w:left="6480"/>
        <w:jc w:val="right"/>
        <w:rPr>
          <w:rFonts w:ascii="Arial" w:hAnsi="Arial"/>
          <w:smallCaps/>
          <w:sz w:val="28"/>
          <w:u w:val="single"/>
        </w:rPr>
      </w:pPr>
    </w:p>
    <w:p w14:paraId="6564EC69" w14:textId="77777777" w:rsidR="009B43D5" w:rsidRDefault="009B43D5" w:rsidP="009C2DDD">
      <w:pPr>
        <w:spacing w:before="240"/>
        <w:ind w:left="6480"/>
        <w:jc w:val="right"/>
        <w:rPr>
          <w:rFonts w:ascii="Arial" w:hAnsi="Arial"/>
          <w:smallCaps/>
          <w:sz w:val="28"/>
        </w:rPr>
      </w:pPr>
      <w:r w:rsidRPr="00076624">
        <w:rPr>
          <w:rFonts w:ascii="Arial" w:hAnsi="Arial"/>
          <w:smallCaps/>
          <w:sz w:val="28"/>
          <w:u w:val="single"/>
        </w:rPr>
        <w:t>Table of Contents</w:t>
      </w:r>
      <w:r>
        <w:rPr>
          <w:rFonts w:ascii="Arial" w:hAnsi="Arial"/>
          <w:smallCaps/>
          <w:sz w:val="28"/>
        </w:rPr>
        <w:t>:</w:t>
      </w:r>
    </w:p>
    <w:p w14:paraId="6BCE6769" w14:textId="663FCA04" w:rsidR="00B46B85" w:rsidRDefault="002F4697" w:rsidP="00B46B85">
      <w:pPr>
        <w:numPr>
          <w:ilvl w:val="0"/>
          <w:numId w:val="3"/>
        </w:numPr>
        <w:spacing w:before="360" w:after="360" w:line="360" w:lineRule="auto"/>
        <w:ind w:left="907" w:hanging="187"/>
        <w:jc w:val="right"/>
        <w:rPr>
          <w:rFonts w:ascii="Arial" w:hAnsi="Arial"/>
          <w:smallCaps/>
          <w:sz w:val="28"/>
        </w:rPr>
      </w:pPr>
      <w:r>
        <w:rPr>
          <w:rFonts w:ascii="Arial" w:hAnsi="Arial"/>
          <w:smallCaps/>
          <w:sz w:val="28"/>
        </w:rPr>
        <w:t>Introduction</w:t>
      </w:r>
    </w:p>
    <w:p w14:paraId="68621D3B" w14:textId="77777777" w:rsidR="00B46B85" w:rsidRDefault="00B46B85" w:rsidP="00B46B85">
      <w:pPr>
        <w:numPr>
          <w:ilvl w:val="0"/>
          <w:numId w:val="3"/>
        </w:numPr>
        <w:spacing w:after="360" w:line="360" w:lineRule="auto"/>
        <w:jc w:val="right"/>
        <w:rPr>
          <w:rFonts w:ascii="Arial" w:hAnsi="Arial"/>
          <w:smallCaps/>
          <w:sz w:val="28"/>
        </w:rPr>
      </w:pPr>
      <w:r>
        <w:rPr>
          <w:rFonts w:ascii="Arial" w:hAnsi="Arial"/>
          <w:smallCaps/>
          <w:sz w:val="28"/>
        </w:rPr>
        <w:t xml:space="preserve">D&amp;O Program Structure Review </w:t>
      </w:r>
    </w:p>
    <w:p w14:paraId="17084477" w14:textId="1395FE26" w:rsidR="00B46B85" w:rsidRDefault="001A54AD" w:rsidP="00B46B85">
      <w:pPr>
        <w:numPr>
          <w:ilvl w:val="0"/>
          <w:numId w:val="3"/>
        </w:numPr>
        <w:spacing w:before="360" w:after="360" w:line="360" w:lineRule="auto"/>
        <w:ind w:left="907" w:hanging="187"/>
        <w:jc w:val="right"/>
        <w:rPr>
          <w:rFonts w:ascii="Arial" w:hAnsi="Arial"/>
          <w:smallCaps/>
          <w:sz w:val="28"/>
        </w:rPr>
      </w:pPr>
      <w:r>
        <w:rPr>
          <w:rFonts w:ascii="Arial" w:hAnsi="Arial"/>
          <w:smallCaps/>
          <w:sz w:val="28"/>
        </w:rPr>
        <w:t>D&amp;O Industry Update</w:t>
      </w:r>
    </w:p>
    <w:p w14:paraId="33374F84" w14:textId="1551EFD0" w:rsidR="00B46B85" w:rsidRDefault="001A54AD" w:rsidP="00B46B85">
      <w:pPr>
        <w:numPr>
          <w:ilvl w:val="0"/>
          <w:numId w:val="3"/>
        </w:numPr>
        <w:spacing w:after="360" w:line="360" w:lineRule="auto"/>
        <w:ind w:left="907" w:hanging="187"/>
        <w:jc w:val="right"/>
        <w:rPr>
          <w:rFonts w:ascii="Arial" w:hAnsi="Arial"/>
          <w:smallCaps/>
          <w:sz w:val="28"/>
        </w:rPr>
      </w:pPr>
      <w:r>
        <w:rPr>
          <w:rFonts w:ascii="Arial" w:hAnsi="Arial"/>
          <w:smallCaps/>
          <w:sz w:val="28"/>
        </w:rPr>
        <w:t>D&amp;O related SPAC concerns and SPAC Litigation</w:t>
      </w:r>
    </w:p>
    <w:p w14:paraId="6BF23CF6" w14:textId="6A01A38A" w:rsidR="00B46B85" w:rsidRDefault="001A54AD" w:rsidP="00B46B85">
      <w:pPr>
        <w:numPr>
          <w:ilvl w:val="0"/>
          <w:numId w:val="3"/>
        </w:numPr>
        <w:spacing w:after="360" w:line="360" w:lineRule="auto"/>
        <w:ind w:left="907" w:hanging="187"/>
        <w:jc w:val="right"/>
        <w:rPr>
          <w:rFonts w:ascii="Arial" w:hAnsi="Arial"/>
          <w:smallCaps/>
          <w:sz w:val="28"/>
        </w:rPr>
      </w:pPr>
      <w:r>
        <w:rPr>
          <w:rFonts w:ascii="Arial" w:hAnsi="Arial"/>
          <w:smallCaps/>
          <w:sz w:val="28"/>
        </w:rPr>
        <w:t xml:space="preserve">Key </w:t>
      </w:r>
      <w:r w:rsidR="002D5670">
        <w:rPr>
          <w:rFonts w:ascii="Arial" w:hAnsi="Arial"/>
          <w:smallCaps/>
          <w:sz w:val="28"/>
        </w:rPr>
        <w:t xml:space="preserve">de-SPAC </w:t>
      </w:r>
      <w:r>
        <w:rPr>
          <w:rFonts w:ascii="Arial" w:hAnsi="Arial"/>
          <w:smallCaps/>
          <w:sz w:val="28"/>
        </w:rPr>
        <w:t>Coverage Issues</w:t>
      </w:r>
    </w:p>
    <w:p w14:paraId="66DC7BBD" w14:textId="165A70E4" w:rsidR="001A54AD" w:rsidRDefault="001A54AD" w:rsidP="00B46B85">
      <w:pPr>
        <w:numPr>
          <w:ilvl w:val="0"/>
          <w:numId w:val="3"/>
        </w:numPr>
        <w:spacing w:after="360" w:line="360" w:lineRule="auto"/>
        <w:ind w:left="907" w:hanging="187"/>
        <w:jc w:val="right"/>
        <w:rPr>
          <w:rFonts w:ascii="Arial" w:hAnsi="Arial"/>
          <w:smallCaps/>
          <w:sz w:val="28"/>
        </w:rPr>
      </w:pPr>
      <w:r>
        <w:rPr>
          <w:rFonts w:ascii="Arial" w:hAnsi="Arial"/>
          <w:smallCaps/>
          <w:sz w:val="28"/>
        </w:rPr>
        <w:t xml:space="preserve">Placement </w:t>
      </w:r>
      <w:r w:rsidR="002D5670">
        <w:rPr>
          <w:rFonts w:ascii="Arial" w:hAnsi="Arial"/>
          <w:smallCaps/>
          <w:sz w:val="28"/>
        </w:rPr>
        <w:t>Strategy</w:t>
      </w:r>
    </w:p>
    <w:p w14:paraId="4719AA8B" w14:textId="77777777" w:rsidR="00B46B85" w:rsidRDefault="00B46B85" w:rsidP="00B46B85">
      <w:pPr>
        <w:numPr>
          <w:ilvl w:val="0"/>
          <w:numId w:val="3"/>
        </w:numPr>
        <w:spacing w:after="360" w:line="360" w:lineRule="auto"/>
        <w:jc w:val="right"/>
        <w:rPr>
          <w:rFonts w:ascii="Arial" w:hAnsi="Arial"/>
          <w:smallCaps/>
          <w:sz w:val="28"/>
        </w:rPr>
      </w:pPr>
      <w:r>
        <w:rPr>
          <w:rFonts w:ascii="Arial" w:hAnsi="Arial"/>
          <w:smallCaps/>
          <w:sz w:val="28"/>
        </w:rPr>
        <w:t>Limits Modeling Data</w:t>
      </w:r>
    </w:p>
    <w:p w14:paraId="3EB07608" w14:textId="77777777" w:rsidR="00B46B85" w:rsidRPr="00E15604" w:rsidRDefault="00B46B85" w:rsidP="00B46B85">
      <w:pPr>
        <w:numPr>
          <w:ilvl w:val="0"/>
          <w:numId w:val="3"/>
        </w:numPr>
        <w:spacing w:after="360" w:line="360" w:lineRule="auto"/>
        <w:jc w:val="right"/>
        <w:rPr>
          <w:rFonts w:ascii="Arial" w:hAnsi="Arial"/>
          <w:smallCaps/>
          <w:sz w:val="28"/>
        </w:rPr>
      </w:pPr>
      <w:r>
        <w:rPr>
          <w:rFonts w:ascii="Arial" w:hAnsi="Arial"/>
          <w:smallCaps/>
          <w:sz w:val="28"/>
        </w:rPr>
        <w:t>Marketplace Update</w:t>
      </w:r>
    </w:p>
    <w:p w14:paraId="12ACDB17" w14:textId="77777777" w:rsidR="00B46B85" w:rsidRPr="00D04E1B" w:rsidRDefault="00B46B85" w:rsidP="00B46B85">
      <w:pPr>
        <w:pStyle w:val="ListParagraph"/>
        <w:spacing w:after="360" w:line="360" w:lineRule="auto"/>
        <w:ind w:left="900"/>
        <w:jc w:val="right"/>
        <w:rPr>
          <w:rFonts w:ascii="Arial" w:hAnsi="Arial"/>
          <w:smallCaps/>
          <w:sz w:val="28"/>
        </w:rPr>
      </w:pPr>
      <w:r w:rsidRPr="00D04E1B">
        <w:rPr>
          <w:rFonts w:ascii="Arial" w:hAnsi="Arial"/>
          <w:smallCaps/>
          <w:color w:val="0046AD"/>
          <w:sz w:val="28"/>
        </w:rPr>
        <w:t xml:space="preserve">Appendix A.  </w:t>
      </w:r>
      <w:r w:rsidRPr="00D04E1B">
        <w:rPr>
          <w:rFonts w:ascii="Arial" w:hAnsi="Arial"/>
          <w:smallCaps/>
          <w:sz w:val="28"/>
        </w:rPr>
        <w:t>Securities Litigation Loss Prevention</w:t>
      </w:r>
    </w:p>
    <w:p w14:paraId="0C5DAE17" w14:textId="77777777" w:rsidR="009B43D5" w:rsidRDefault="00B46B85" w:rsidP="00B46B85">
      <w:pPr>
        <w:spacing w:after="360" w:line="360" w:lineRule="auto"/>
        <w:ind w:left="720"/>
        <w:jc w:val="right"/>
        <w:rPr>
          <w:rFonts w:ascii="Arial" w:hAnsi="Arial"/>
          <w:smallCaps/>
          <w:sz w:val="28"/>
        </w:rPr>
      </w:pPr>
      <w:r>
        <w:rPr>
          <w:rFonts w:ascii="Arial" w:hAnsi="Arial"/>
          <w:smallCaps/>
          <w:color w:val="0046AD"/>
          <w:sz w:val="28"/>
        </w:rPr>
        <w:t>Appendix B</w:t>
      </w:r>
      <w:r w:rsidRPr="00C43C34">
        <w:rPr>
          <w:rFonts w:ascii="Arial" w:hAnsi="Arial"/>
          <w:smallCaps/>
          <w:color w:val="0046AD"/>
          <w:sz w:val="28"/>
        </w:rPr>
        <w:t>.</w:t>
      </w:r>
      <w:r>
        <w:rPr>
          <w:rFonts w:ascii="Arial" w:hAnsi="Arial"/>
          <w:smallCaps/>
          <w:color w:val="0046AD"/>
          <w:sz w:val="28"/>
        </w:rPr>
        <w:t xml:space="preserve">   </w:t>
      </w:r>
      <w:r w:rsidR="00AF1213">
        <w:rPr>
          <w:rFonts w:ascii="Arial" w:hAnsi="Arial"/>
          <w:smallCaps/>
          <w:sz w:val="28"/>
        </w:rPr>
        <w:t>Notable D&amp;O Related Supreme Court Decisions</w:t>
      </w:r>
    </w:p>
    <w:p w14:paraId="00EC6CB2" w14:textId="77777777" w:rsidR="00AB6C33" w:rsidRPr="007D616B" w:rsidRDefault="00AB6C33" w:rsidP="00B46B85">
      <w:pPr>
        <w:spacing w:after="360" w:line="360" w:lineRule="auto"/>
        <w:ind w:left="720"/>
        <w:jc w:val="right"/>
        <w:rPr>
          <w:rFonts w:ascii="Arial" w:hAnsi="Arial"/>
          <w:smallCaps/>
          <w:sz w:val="28"/>
        </w:rPr>
      </w:pPr>
      <w:r>
        <w:rPr>
          <w:rFonts w:ascii="Arial" w:hAnsi="Arial"/>
          <w:smallCaps/>
          <w:color w:val="0046AD"/>
          <w:sz w:val="28"/>
        </w:rPr>
        <w:t>Appendix C.</w:t>
      </w:r>
      <w:r>
        <w:rPr>
          <w:rFonts w:ascii="Arial" w:hAnsi="Arial"/>
          <w:smallCaps/>
          <w:sz w:val="28"/>
        </w:rPr>
        <w:t xml:space="preserve"> </w:t>
      </w:r>
      <w:r w:rsidR="00E52759">
        <w:rPr>
          <w:rFonts w:ascii="Arial" w:hAnsi="Arial"/>
          <w:smallCaps/>
          <w:sz w:val="28"/>
        </w:rPr>
        <w:t>Claims Management &amp; Additional Resources</w:t>
      </w:r>
    </w:p>
    <w:p w14:paraId="09128EF5" w14:textId="77777777" w:rsidR="009B43D5" w:rsidRDefault="009B43D5" w:rsidP="009B43D5">
      <w:pPr>
        <w:jc w:val="right"/>
      </w:pPr>
    </w:p>
    <w:p w14:paraId="2802F984" w14:textId="77777777" w:rsidR="00EE109A" w:rsidRDefault="00EE109A">
      <w:pPr>
        <w:rPr>
          <w:rFonts w:ascii="Arial" w:eastAsia="Times New Roman" w:hAnsi="Arial" w:cs="Times New Roman"/>
          <w:b/>
          <w:bCs/>
          <w:smallCaps/>
          <w:color w:val="0046AD"/>
          <w:kern w:val="22"/>
          <w:sz w:val="28"/>
          <w:szCs w:val="28"/>
        </w:rPr>
      </w:pPr>
      <w:r>
        <w:rPr>
          <w:bCs/>
          <w:iCs/>
          <w:color w:val="0046AD"/>
          <w:kern w:val="22"/>
        </w:rPr>
        <w:br w:type="page"/>
      </w:r>
    </w:p>
    <w:p w14:paraId="152AF7E3" w14:textId="77777777" w:rsidR="009B43D5" w:rsidRPr="00A94665" w:rsidRDefault="009B43D5" w:rsidP="009B43D5">
      <w:pPr>
        <w:pStyle w:val="OBISChapterTitle"/>
        <w:rPr>
          <w:bCs/>
          <w:iCs w:val="0"/>
          <w:color w:val="0067B1"/>
          <w:kern w:val="22"/>
          <w:szCs w:val="24"/>
        </w:rPr>
      </w:pPr>
      <w:r w:rsidRPr="00A94665">
        <w:rPr>
          <w:bCs/>
          <w:iCs w:val="0"/>
          <w:color w:val="0067B1"/>
          <w:kern w:val="22"/>
        </w:rPr>
        <w:lastRenderedPageBreak/>
        <w:t xml:space="preserve">I.  </w:t>
      </w:r>
      <w:r w:rsidR="00C41260" w:rsidRPr="00A94665">
        <w:rPr>
          <w:bCs/>
          <w:iCs w:val="0"/>
          <w:color w:val="0067B1"/>
          <w:kern w:val="22"/>
        </w:rPr>
        <w:t>Introduction</w:t>
      </w:r>
    </w:p>
    <w:p w14:paraId="2C7480C4" w14:textId="3FFE7384" w:rsidR="009E4301" w:rsidRDefault="009E4301" w:rsidP="009E4301">
      <w:pPr>
        <w:spacing w:line="360" w:lineRule="auto"/>
        <w:jc w:val="both"/>
        <w:rPr>
          <w:rFonts w:ascii="Arial" w:hAnsi="Arial" w:cs="Arial"/>
        </w:rPr>
      </w:pPr>
      <w:r>
        <w:rPr>
          <w:noProof/>
        </w:rPr>
        <w:drawing>
          <wp:anchor distT="0" distB="0" distL="114300" distR="114300" simplePos="0" relativeHeight="251749376" behindDoc="1" locked="0" layoutInCell="1" allowOverlap="1" wp14:anchorId="6F6EEB57" wp14:editId="0D4769A3">
            <wp:simplePos x="0" y="0"/>
            <wp:positionH relativeFrom="column">
              <wp:posOffset>-34290</wp:posOffset>
            </wp:positionH>
            <wp:positionV relativeFrom="paragraph">
              <wp:posOffset>7620</wp:posOffset>
            </wp:positionV>
            <wp:extent cx="1139190" cy="1077595"/>
            <wp:effectExtent l="0" t="0" r="3810" b="8255"/>
            <wp:wrapTight wrapText="bothSides">
              <wp:wrapPolygon edited="0">
                <wp:start x="0" y="0"/>
                <wp:lineTo x="0" y="21384"/>
                <wp:lineTo x="21311" y="21384"/>
                <wp:lineTo x="21311" y="0"/>
                <wp:lineTo x="0" y="0"/>
              </wp:wrapPolygon>
            </wp:wrapTight>
            <wp:docPr id="1" name="Picture 45" descr="DIFFERENT-PERSPECTIVES_1209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ERENT-PERSPECTIVES_12091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9190" cy="107759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rPr>
        <w:t>The public company Directors and Officers Liability insurance market ha</w:t>
      </w:r>
      <w:r w:rsidR="00CA7CBA">
        <w:rPr>
          <w:rFonts w:ascii="Arial" w:hAnsi="Arial" w:cs="Arial"/>
        </w:rPr>
        <w:t xml:space="preserve">d been experiencing a </w:t>
      </w:r>
      <w:r w:rsidR="00B4799F">
        <w:rPr>
          <w:rFonts w:ascii="Arial" w:hAnsi="Arial" w:cs="Arial"/>
        </w:rPr>
        <w:t>softening</w:t>
      </w:r>
      <w:r>
        <w:rPr>
          <w:rFonts w:ascii="Arial" w:hAnsi="Arial" w:cs="Arial"/>
        </w:rPr>
        <w:t xml:space="preserve"> underwriting environment </w:t>
      </w:r>
      <w:r w:rsidR="002F4697">
        <w:rPr>
          <w:rFonts w:ascii="Arial" w:hAnsi="Arial" w:cs="Arial"/>
        </w:rPr>
        <w:t>until 2018</w:t>
      </w:r>
      <w:r w:rsidR="00957996">
        <w:rPr>
          <w:rFonts w:ascii="Arial" w:hAnsi="Arial" w:cs="Arial"/>
        </w:rPr>
        <w:t>.  Insurers had</w:t>
      </w:r>
      <w:r>
        <w:rPr>
          <w:rFonts w:ascii="Arial" w:hAnsi="Arial" w:cs="Arial"/>
        </w:rPr>
        <w:t xml:space="preserve"> been </w:t>
      </w:r>
      <w:r w:rsidR="00B4799F">
        <w:rPr>
          <w:rFonts w:ascii="Arial" w:hAnsi="Arial" w:cs="Arial"/>
        </w:rPr>
        <w:t>allowing slight decreases on primary and lower excess layers</w:t>
      </w:r>
      <w:r>
        <w:rPr>
          <w:rFonts w:ascii="Arial" w:hAnsi="Arial" w:cs="Arial"/>
        </w:rPr>
        <w:t xml:space="preserve">, while competing intensely on higher excess placements.  </w:t>
      </w:r>
      <w:r w:rsidR="002F4697">
        <w:rPr>
          <w:rFonts w:ascii="Arial" w:hAnsi="Arial" w:cs="Arial"/>
        </w:rPr>
        <w:t xml:space="preserve">Beginning in </w:t>
      </w:r>
      <w:r w:rsidR="009A3757">
        <w:rPr>
          <w:rFonts w:ascii="Arial" w:hAnsi="Arial" w:cs="Arial"/>
        </w:rPr>
        <w:t>the second half of</w:t>
      </w:r>
      <w:r w:rsidR="002F4697">
        <w:rPr>
          <w:rFonts w:ascii="Arial" w:hAnsi="Arial" w:cs="Arial"/>
        </w:rPr>
        <w:t xml:space="preserve"> 2018 and then intensifying in 2019 and 2020, t</w:t>
      </w:r>
      <w:r>
        <w:rPr>
          <w:rFonts w:ascii="Arial" w:hAnsi="Arial" w:cs="Arial"/>
        </w:rPr>
        <w:t xml:space="preserve">he </w:t>
      </w:r>
      <w:r w:rsidR="002F4697">
        <w:rPr>
          <w:rFonts w:ascii="Arial" w:hAnsi="Arial" w:cs="Arial"/>
        </w:rPr>
        <w:t xml:space="preserve">D&amp;O marketplace </w:t>
      </w:r>
      <w:r w:rsidR="00B4799F">
        <w:rPr>
          <w:rFonts w:ascii="Arial" w:hAnsi="Arial" w:cs="Arial"/>
        </w:rPr>
        <w:t>firm</w:t>
      </w:r>
      <w:r w:rsidR="00301EE2">
        <w:rPr>
          <w:rFonts w:ascii="Arial" w:hAnsi="Arial" w:cs="Arial"/>
        </w:rPr>
        <w:t>ed</w:t>
      </w:r>
      <w:r w:rsidR="00B4799F">
        <w:rPr>
          <w:rFonts w:ascii="Arial" w:hAnsi="Arial" w:cs="Arial"/>
        </w:rPr>
        <w:t xml:space="preserve"> </w:t>
      </w:r>
      <w:r w:rsidR="002F4697">
        <w:rPr>
          <w:rFonts w:ascii="Arial" w:hAnsi="Arial" w:cs="Arial"/>
        </w:rPr>
        <w:t xml:space="preserve">dramatically </w:t>
      </w:r>
      <w:r w:rsidR="00B4799F">
        <w:rPr>
          <w:rFonts w:ascii="Arial" w:hAnsi="Arial" w:cs="Arial"/>
        </w:rPr>
        <w:t>from a premium perspective</w:t>
      </w:r>
      <w:r w:rsidR="00301EE2">
        <w:rPr>
          <w:rFonts w:ascii="Arial" w:hAnsi="Arial" w:cs="Arial"/>
        </w:rPr>
        <w:t xml:space="preserve"> </w:t>
      </w:r>
      <w:r w:rsidR="00B4799F">
        <w:rPr>
          <w:rFonts w:ascii="Arial" w:hAnsi="Arial" w:cs="Arial"/>
        </w:rPr>
        <w:t>-</w:t>
      </w:r>
      <w:r w:rsidR="00301EE2">
        <w:rPr>
          <w:rFonts w:ascii="Arial" w:hAnsi="Arial" w:cs="Arial"/>
        </w:rPr>
        <w:t xml:space="preserve"> </w:t>
      </w:r>
      <w:r w:rsidR="00B4799F">
        <w:rPr>
          <w:rFonts w:ascii="Arial" w:hAnsi="Arial" w:cs="Arial"/>
        </w:rPr>
        <w:t>especially for higher risk classes of business</w:t>
      </w:r>
      <w:r>
        <w:rPr>
          <w:rFonts w:ascii="Arial" w:hAnsi="Arial" w:cs="Arial"/>
        </w:rPr>
        <w:t xml:space="preserve">.  </w:t>
      </w:r>
      <w:r w:rsidR="00301EE2">
        <w:rPr>
          <w:rFonts w:ascii="Arial" w:hAnsi="Arial" w:cs="Arial"/>
        </w:rPr>
        <w:t xml:space="preserve">Lower excess placements have witnessed even larger increases in comparison to past placements.  </w:t>
      </w:r>
      <w:r>
        <w:rPr>
          <w:rFonts w:ascii="Arial" w:hAnsi="Arial" w:cs="Arial"/>
        </w:rPr>
        <w:t xml:space="preserve">Insurers continue to pay close attention to retentions and are imposing increases when retentions are below their target levels.  </w:t>
      </w:r>
      <w:r w:rsidR="00B4799F">
        <w:rPr>
          <w:rFonts w:ascii="Arial" w:hAnsi="Arial" w:cs="Arial"/>
        </w:rPr>
        <w:t xml:space="preserve">As discussed in greater detail below, this is a result not only of increased losses in the D&amp;O space, but also negative developments in the overall insurance industry </w:t>
      </w:r>
      <w:r w:rsidR="00A70FAC">
        <w:rPr>
          <w:rFonts w:ascii="Arial" w:hAnsi="Arial" w:cs="Arial"/>
        </w:rPr>
        <w:t>over the past several years</w:t>
      </w:r>
      <w:r w:rsidR="00B4799F">
        <w:rPr>
          <w:rFonts w:ascii="Arial" w:hAnsi="Arial" w:cs="Arial"/>
        </w:rPr>
        <w:t xml:space="preserve">.  </w:t>
      </w:r>
      <w:r w:rsidR="00A70FAC">
        <w:rPr>
          <w:rFonts w:ascii="Arial" w:hAnsi="Arial" w:cs="Arial"/>
        </w:rPr>
        <w:t>In particular, the D&amp;O carriers view</w:t>
      </w:r>
      <w:r w:rsidR="002F4697">
        <w:rPr>
          <w:rFonts w:ascii="Arial" w:hAnsi="Arial" w:cs="Arial"/>
        </w:rPr>
        <w:t>ed</w:t>
      </w:r>
      <w:r w:rsidR="00A70FAC">
        <w:rPr>
          <w:rFonts w:ascii="Arial" w:hAnsi="Arial" w:cs="Arial"/>
        </w:rPr>
        <w:t xml:space="preserve"> the Cyan decision as a major increase in D&amp;O litigation risk for companies with initial public or follow on offering exposure.  </w:t>
      </w:r>
      <w:r w:rsidR="00CA7CBA">
        <w:rPr>
          <w:rFonts w:ascii="Arial" w:hAnsi="Arial" w:cs="Arial"/>
        </w:rPr>
        <w:t xml:space="preserve">As a result, the D&amp;O market for companies conducting IPOs has become the hardest that it has been since the early 1990s.  Premiums have increased significantly and retentions are much higher than they have ever been.  </w:t>
      </w:r>
      <w:r w:rsidR="00CC02F3">
        <w:rPr>
          <w:rFonts w:ascii="Arial" w:hAnsi="Arial" w:cs="Arial"/>
        </w:rPr>
        <w:t xml:space="preserve">As discussed in greater detail in the following pages, the </w:t>
      </w:r>
      <w:r w:rsidR="002F4697">
        <w:rPr>
          <w:rFonts w:ascii="Arial" w:hAnsi="Arial" w:cs="Arial"/>
        </w:rPr>
        <w:t>2020</w:t>
      </w:r>
      <w:r w:rsidR="00CC02F3">
        <w:rPr>
          <w:rFonts w:ascii="Arial" w:hAnsi="Arial" w:cs="Arial"/>
        </w:rPr>
        <w:t xml:space="preserve"> Delaware Supreme Court decision in the </w:t>
      </w:r>
      <w:r w:rsidR="00CC02F3" w:rsidRPr="00CC02F3">
        <w:rPr>
          <w:rFonts w:ascii="Arial" w:hAnsi="Arial" w:cs="Arial"/>
        </w:rPr>
        <w:t xml:space="preserve">Salzberg v. Sciabacchuchi </w:t>
      </w:r>
      <w:r w:rsidR="00CC02F3">
        <w:rPr>
          <w:rFonts w:ascii="Arial" w:hAnsi="Arial" w:cs="Arial"/>
        </w:rPr>
        <w:t xml:space="preserve">case </w:t>
      </w:r>
      <w:r w:rsidR="002F4697">
        <w:rPr>
          <w:rFonts w:ascii="Arial" w:hAnsi="Arial" w:cs="Arial"/>
        </w:rPr>
        <w:t xml:space="preserve">has provided meaningful </w:t>
      </w:r>
      <w:r w:rsidR="00CC02F3">
        <w:rPr>
          <w:rFonts w:ascii="Arial" w:hAnsi="Arial" w:cs="Arial"/>
        </w:rPr>
        <w:t xml:space="preserve">relief from </w:t>
      </w:r>
      <w:r w:rsidR="002F4697">
        <w:rPr>
          <w:rFonts w:ascii="Arial" w:hAnsi="Arial" w:cs="Arial"/>
        </w:rPr>
        <w:t xml:space="preserve">state court </w:t>
      </w:r>
      <w:r w:rsidR="00CC02F3">
        <w:rPr>
          <w:rFonts w:ascii="Arial" w:hAnsi="Arial" w:cs="Arial"/>
        </w:rPr>
        <w:t>IPO and follow on offering claims</w:t>
      </w:r>
      <w:r w:rsidR="002F4697">
        <w:rPr>
          <w:rFonts w:ascii="Arial" w:hAnsi="Arial" w:cs="Arial"/>
        </w:rPr>
        <w:t>.</w:t>
      </w:r>
      <w:r w:rsidR="00CC02F3">
        <w:rPr>
          <w:rFonts w:ascii="Arial" w:hAnsi="Arial" w:cs="Arial"/>
        </w:rPr>
        <w:t xml:space="preserve">  </w:t>
      </w:r>
      <w:r w:rsidR="00CA7CBA">
        <w:rPr>
          <w:rFonts w:ascii="Arial" w:hAnsi="Arial" w:cs="Arial"/>
        </w:rPr>
        <w:t xml:space="preserve">While coverage remains very broad, some underwriters are attempting to narrow their policies in certain areas.  </w:t>
      </w:r>
    </w:p>
    <w:p w14:paraId="0C7CB15E" w14:textId="6A2858E9" w:rsidR="009E4301" w:rsidRDefault="009E4301" w:rsidP="009E4301">
      <w:pPr>
        <w:spacing w:line="360" w:lineRule="auto"/>
        <w:jc w:val="both"/>
        <w:rPr>
          <w:rFonts w:ascii="Arial" w:hAnsi="Arial" w:cs="Arial"/>
        </w:rPr>
      </w:pPr>
      <w:r>
        <w:rPr>
          <w:rFonts w:ascii="Arial" w:hAnsi="Arial" w:cs="Arial"/>
        </w:rPr>
        <w:t>Additional capacity continues to enter the D&amp;O marketplace.  The majority of the capacity is still focused on the higher excess layers, but some markets have begun to provide cr</w:t>
      </w:r>
      <w:r w:rsidR="00CA7CBA">
        <w:rPr>
          <w:rFonts w:ascii="Arial" w:hAnsi="Arial" w:cs="Arial"/>
        </w:rPr>
        <w:t xml:space="preserve">edible primary quotes as well </w:t>
      </w:r>
      <w:r w:rsidR="00B4799F">
        <w:rPr>
          <w:rFonts w:ascii="Arial" w:hAnsi="Arial" w:cs="Arial"/>
        </w:rPr>
        <w:t>-</w:t>
      </w:r>
      <w:r w:rsidR="00600328">
        <w:rPr>
          <w:rFonts w:ascii="Arial" w:hAnsi="Arial" w:cs="Arial"/>
        </w:rPr>
        <w:t xml:space="preserve"> </w:t>
      </w:r>
      <w:r w:rsidR="00B4799F">
        <w:rPr>
          <w:rFonts w:ascii="Arial" w:hAnsi="Arial" w:cs="Arial"/>
        </w:rPr>
        <w:t>although there is merger and acquisition activity afoot as well</w:t>
      </w:r>
      <w:r w:rsidR="00CA7CBA">
        <w:rPr>
          <w:rFonts w:ascii="Arial" w:hAnsi="Arial" w:cs="Arial"/>
        </w:rPr>
        <w:t xml:space="preserve"> which is consolidating some of the insurers</w:t>
      </w:r>
      <w:r>
        <w:rPr>
          <w:rFonts w:ascii="Arial" w:hAnsi="Arial" w:cs="Arial"/>
        </w:rPr>
        <w:t>.  In any case, the abundance of capacity is certainly a positive from the insured’s perspective.</w:t>
      </w:r>
      <w:r w:rsidR="00B20509">
        <w:rPr>
          <w:rFonts w:ascii="Arial" w:hAnsi="Arial" w:cs="Arial"/>
        </w:rPr>
        <w:t xml:space="preserve">  </w:t>
      </w:r>
      <w:r w:rsidR="00CA7CBA">
        <w:rPr>
          <w:rFonts w:ascii="Arial" w:hAnsi="Arial" w:cs="Arial"/>
        </w:rPr>
        <w:t xml:space="preserve">The key is convincing the insurers to deploy their capacity </w:t>
      </w:r>
      <w:r w:rsidR="004B4669">
        <w:rPr>
          <w:rFonts w:ascii="Arial" w:hAnsi="Arial" w:cs="Arial"/>
        </w:rPr>
        <w:t>in an effective manner</w:t>
      </w:r>
      <w:r w:rsidR="00CA7CBA">
        <w:rPr>
          <w:rFonts w:ascii="Arial" w:hAnsi="Arial" w:cs="Arial"/>
        </w:rPr>
        <w:t>.</w:t>
      </w:r>
      <w:r w:rsidR="00CC02F3">
        <w:rPr>
          <w:rFonts w:ascii="Arial" w:hAnsi="Arial" w:cs="Arial"/>
        </w:rPr>
        <w:t xml:space="preserve">  The COVID 19 pandemic </w:t>
      </w:r>
      <w:r w:rsidR="004B4669">
        <w:rPr>
          <w:rFonts w:ascii="Arial" w:hAnsi="Arial" w:cs="Arial"/>
        </w:rPr>
        <w:t xml:space="preserve">has also </w:t>
      </w:r>
      <w:r w:rsidR="00CC02F3">
        <w:rPr>
          <w:rFonts w:ascii="Arial" w:hAnsi="Arial" w:cs="Arial"/>
        </w:rPr>
        <w:t>impact</w:t>
      </w:r>
      <w:r w:rsidR="004B4669">
        <w:rPr>
          <w:rFonts w:ascii="Arial" w:hAnsi="Arial" w:cs="Arial"/>
        </w:rPr>
        <w:t>ed</w:t>
      </w:r>
      <w:r w:rsidR="00CC02F3">
        <w:rPr>
          <w:rFonts w:ascii="Arial" w:hAnsi="Arial" w:cs="Arial"/>
        </w:rPr>
        <w:t xml:space="preserve"> the D&amp;O insurance marketplace on several levels.</w:t>
      </w:r>
    </w:p>
    <w:p w14:paraId="57628FB7" w14:textId="11B40EF8" w:rsidR="004B13A8" w:rsidRPr="00F5399C" w:rsidRDefault="00B46B85" w:rsidP="00B20509">
      <w:pPr>
        <w:spacing w:after="240" w:line="360" w:lineRule="auto"/>
        <w:jc w:val="both"/>
        <w:rPr>
          <w:rFonts w:cs="Arial"/>
        </w:rPr>
      </w:pPr>
      <w:r w:rsidRPr="00507E69">
        <w:rPr>
          <w:rFonts w:ascii="Arial" w:hAnsi="Arial" w:cs="Arial"/>
        </w:rPr>
        <w:t xml:space="preserve">We have prepared this document to help you navigate the D&amp;O purchasing process as a publicly-traded company.  </w:t>
      </w:r>
      <w:r w:rsidR="00DD49CC">
        <w:rPr>
          <w:rFonts w:ascii="Arial" w:hAnsi="Arial" w:cs="Arial"/>
        </w:rPr>
        <w:t>W</w:t>
      </w:r>
      <w:r>
        <w:rPr>
          <w:rFonts w:ascii="Arial" w:hAnsi="Arial" w:cs="Arial"/>
        </w:rPr>
        <w:t xml:space="preserve">e appreciate the opportunity to represent </w:t>
      </w:r>
      <w:r w:rsidR="006D1B6B">
        <w:rPr>
          <w:rFonts w:ascii="Arial" w:hAnsi="Arial" w:cs="Arial"/>
        </w:rPr>
        <w:t>you</w:t>
      </w:r>
      <w:r>
        <w:rPr>
          <w:rFonts w:ascii="Arial" w:hAnsi="Arial" w:cs="Arial"/>
        </w:rPr>
        <w:t xml:space="preserve"> with regard to</w:t>
      </w:r>
      <w:r w:rsidRPr="00F5486F">
        <w:rPr>
          <w:rFonts w:ascii="Arial" w:hAnsi="Arial" w:cs="Arial"/>
        </w:rPr>
        <w:t xml:space="preserve"> your D&amp;O insurance purchasing needs and look forward to </w:t>
      </w:r>
      <w:r>
        <w:rPr>
          <w:rFonts w:ascii="Arial" w:hAnsi="Arial" w:cs="Arial"/>
        </w:rPr>
        <w:t>representing your interests in this evolving marketplace.</w:t>
      </w:r>
      <w:r w:rsidR="00E82498">
        <w:rPr>
          <w:color w:val="000000"/>
        </w:rPr>
        <w:br w:type="page"/>
      </w:r>
    </w:p>
    <w:p w14:paraId="7B305407" w14:textId="77777777" w:rsidR="00E82498" w:rsidRPr="00A94665" w:rsidRDefault="004041BD" w:rsidP="00E82498">
      <w:pPr>
        <w:pStyle w:val="OBISBodyCopy"/>
        <w:rPr>
          <w:b/>
          <w:bCs/>
          <w:smallCaps/>
          <w:color w:val="0067B1"/>
          <w:sz w:val="28"/>
        </w:rPr>
      </w:pPr>
      <w:r w:rsidRPr="00A94665">
        <w:rPr>
          <w:b/>
          <w:bCs/>
          <w:smallCaps/>
          <w:color w:val="0067B1"/>
          <w:sz w:val="28"/>
        </w:rPr>
        <w:lastRenderedPageBreak/>
        <w:t xml:space="preserve">II. </w:t>
      </w:r>
      <w:r w:rsidR="00E82498" w:rsidRPr="00A94665">
        <w:rPr>
          <w:b/>
          <w:bCs/>
          <w:smallCaps/>
          <w:color w:val="0067B1"/>
          <w:sz w:val="28"/>
        </w:rPr>
        <w:t>D&amp;O Program Structure Overview</w:t>
      </w:r>
    </w:p>
    <w:p w14:paraId="08149253" w14:textId="77777777" w:rsidR="00F5399C" w:rsidRPr="00BC013D" w:rsidRDefault="00F5399C" w:rsidP="00F5399C">
      <w:pPr>
        <w:pStyle w:val="OBISBodyCopy"/>
        <w:rPr>
          <w:kern w:val="22"/>
        </w:rPr>
      </w:pPr>
      <w:r>
        <w:rPr>
          <w:rFonts w:cs="Arial"/>
          <w:noProof/>
        </w:rPr>
        <w:drawing>
          <wp:anchor distT="0" distB="0" distL="114300" distR="114300" simplePos="0" relativeHeight="251710464" behindDoc="1" locked="0" layoutInCell="1" allowOverlap="1" wp14:anchorId="07AC3D9A" wp14:editId="75C3F6F0">
            <wp:simplePos x="0" y="0"/>
            <wp:positionH relativeFrom="margin">
              <wp:posOffset>0</wp:posOffset>
            </wp:positionH>
            <wp:positionV relativeFrom="margin">
              <wp:posOffset>466090</wp:posOffset>
            </wp:positionV>
            <wp:extent cx="622300" cy="1141095"/>
            <wp:effectExtent l="0" t="0" r="6350" b="1905"/>
            <wp:wrapTight wrapText="bothSides">
              <wp:wrapPolygon edited="0">
                <wp:start x="0" y="0"/>
                <wp:lineTo x="0" y="21275"/>
                <wp:lineTo x="21159" y="21275"/>
                <wp:lineTo x="21159" y="0"/>
                <wp:lineTo x="0" y="0"/>
              </wp:wrapPolygon>
            </wp:wrapTight>
            <wp:docPr id="7" name="Picture 7" descr="M:\RT ICONS\RT Logos 2\endorsments_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RT ICONS\RT Logos 2\endorsments_rt.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2300" cy="11410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kern w:val="22"/>
        </w:rPr>
        <w:t>The traditional D&amp;O p</w:t>
      </w:r>
      <w:r w:rsidRPr="00BC013D">
        <w:rPr>
          <w:kern w:val="22"/>
        </w:rPr>
        <w:t>olicy consist</w:t>
      </w:r>
      <w:r>
        <w:rPr>
          <w:kern w:val="22"/>
        </w:rPr>
        <w:t>s</w:t>
      </w:r>
      <w:r w:rsidRPr="00BC013D">
        <w:rPr>
          <w:kern w:val="22"/>
        </w:rPr>
        <w:t xml:space="preserve"> of what are generally referred to as Insuring</w:t>
      </w:r>
      <w:r>
        <w:rPr>
          <w:kern w:val="22"/>
        </w:rPr>
        <w:t xml:space="preserve"> Agreements “A,”</w:t>
      </w:r>
      <w:r w:rsidRPr="00BC013D">
        <w:rPr>
          <w:kern w:val="22"/>
        </w:rPr>
        <w:t xml:space="preserve"> “B” and “C” </w:t>
      </w:r>
      <w:r>
        <w:rPr>
          <w:kern w:val="22"/>
        </w:rPr>
        <w:t>that</w:t>
      </w:r>
      <w:r w:rsidRPr="00BC013D">
        <w:rPr>
          <w:kern w:val="22"/>
        </w:rPr>
        <w:t xml:space="preserve"> afford coverage as </w:t>
      </w:r>
      <w:r>
        <w:rPr>
          <w:kern w:val="22"/>
        </w:rPr>
        <w:t>illustrated below.</w:t>
      </w:r>
      <w:r w:rsidRPr="00BC013D">
        <w:rPr>
          <w:kern w:val="22"/>
        </w:rPr>
        <w:t xml:space="preserve"> </w:t>
      </w:r>
      <w:r>
        <w:rPr>
          <w:kern w:val="22"/>
        </w:rPr>
        <w:t xml:space="preserve"> Whereas coverage for shareholder class actions (generally defined as Securities Claims) under Insuring Agreements B and C has traditionally been the main focus of underwriters and Insureds, the dynamics of today’s risk environment have significant coverage implications for “A-Side” claims as well.  Typically, Securities Claims are brought against both the corporate entity and the individual directors and officers, thus triggering both Insuring Agreements B and C of the D&amp;O policy.  It may be helpful to think of sides B and C as “balance sheet p</w:t>
      </w:r>
      <w:r w:rsidRPr="00322F00">
        <w:rPr>
          <w:kern w:val="22"/>
        </w:rPr>
        <w:t>rotection</w:t>
      </w:r>
      <w:r>
        <w:rPr>
          <w:kern w:val="22"/>
        </w:rPr>
        <w:t>,”</w:t>
      </w:r>
      <w:r>
        <w:rPr>
          <w:b/>
          <w:kern w:val="22"/>
        </w:rPr>
        <w:t xml:space="preserve"> </w:t>
      </w:r>
      <w:r w:rsidRPr="00131A2F">
        <w:rPr>
          <w:kern w:val="22"/>
        </w:rPr>
        <w:t>wh</w:t>
      </w:r>
      <w:r>
        <w:rPr>
          <w:kern w:val="22"/>
        </w:rPr>
        <w:t xml:space="preserve">ereby </w:t>
      </w:r>
      <w:r w:rsidRPr="00131A2F">
        <w:rPr>
          <w:kern w:val="22"/>
        </w:rPr>
        <w:t xml:space="preserve">the insurance </w:t>
      </w:r>
      <w:r>
        <w:rPr>
          <w:kern w:val="22"/>
        </w:rPr>
        <w:t>pays on behalf of the c</w:t>
      </w:r>
      <w:r w:rsidRPr="00BC013D">
        <w:rPr>
          <w:kern w:val="22"/>
        </w:rPr>
        <w:t xml:space="preserve">orporate </w:t>
      </w:r>
      <w:r>
        <w:rPr>
          <w:kern w:val="22"/>
        </w:rPr>
        <w:t>e</w:t>
      </w:r>
      <w:r w:rsidRPr="00BC013D">
        <w:rPr>
          <w:kern w:val="22"/>
        </w:rPr>
        <w:t xml:space="preserve">ntity </w:t>
      </w:r>
      <w:r>
        <w:rPr>
          <w:kern w:val="22"/>
        </w:rPr>
        <w:t>for its costs</w:t>
      </w:r>
      <w:r w:rsidRPr="00BC013D">
        <w:rPr>
          <w:kern w:val="22"/>
        </w:rPr>
        <w:t xml:space="preserve"> </w:t>
      </w:r>
      <w:r>
        <w:rPr>
          <w:kern w:val="22"/>
        </w:rPr>
        <w:t>to defend itself and its individual directors and officers.</w:t>
      </w:r>
    </w:p>
    <w:p w14:paraId="183E1E58" w14:textId="77777777" w:rsidR="00F5399C" w:rsidRDefault="00F5399C" w:rsidP="00F5399C">
      <w:pPr>
        <w:pStyle w:val="OBISBodyCopy"/>
        <w:rPr>
          <w:kern w:val="22"/>
        </w:rPr>
      </w:pPr>
      <w:r w:rsidRPr="00BC013D">
        <w:rPr>
          <w:kern w:val="22"/>
        </w:rPr>
        <w:t xml:space="preserve">Insuring Agreement A </w:t>
      </w:r>
      <w:r>
        <w:rPr>
          <w:kern w:val="22"/>
        </w:rPr>
        <w:t>provides “worst case scenario” protection for the personal assets of the directors and officers, responding when the corporate e</w:t>
      </w:r>
      <w:r w:rsidRPr="00BC013D">
        <w:rPr>
          <w:kern w:val="22"/>
        </w:rPr>
        <w:t xml:space="preserve">ntity does not have the financial </w:t>
      </w:r>
      <w:r>
        <w:rPr>
          <w:kern w:val="22"/>
        </w:rPr>
        <w:t xml:space="preserve">ability to indemnify them, as well as in situations where </w:t>
      </w:r>
      <w:r w:rsidRPr="00BC013D">
        <w:rPr>
          <w:kern w:val="22"/>
        </w:rPr>
        <w:t xml:space="preserve">it is </w:t>
      </w:r>
      <w:r>
        <w:rPr>
          <w:kern w:val="22"/>
        </w:rPr>
        <w:t xml:space="preserve">deemed to be </w:t>
      </w:r>
      <w:r w:rsidRPr="00BC013D">
        <w:rPr>
          <w:kern w:val="22"/>
        </w:rPr>
        <w:t>against public policy</w:t>
      </w:r>
      <w:r>
        <w:rPr>
          <w:kern w:val="22"/>
        </w:rPr>
        <w:t xml:space="preserve"> for the corporation</w:t>
      </w:r>
      <w:r w:rsidRPr="00BC013D">
        <w:rPr>
          <w:kern w:val="22"/>
        </w:rPr>
        <w:t xml:space="preserve"> to indemnify </w:t>
      </w:r>
      <w:r>
        <w:rPr>
          <w:kern w:val="22"/>
        </w:rPr>
        <w:t>its</w:t>
      </w:r>
      <w:r w:rsidRPr="00BC013D">
        <w:rPr>
          <w:kern w:val="22"/>
        </w:rPr>
        <w:t xml:space="preserve"> directors and officers</w:t>
      </w:r>
      <w:r w:rsidRPr="00BC013D">
        <w:rPr>
          <w:rFonts w:cs="Arial"/>
          <w:kern w:val="22"/>
          <w:szCs w:val="22"/>
        </w:rPr>
        <w:t xml:space="preserve">. </w:t>
      </w:r>
      <w:r>
        <w:rPr>
          <w:rFonts w:cs="Arial"/>
          <w:kern w:val="22"/>
          <w:szCs w:val="22"/>
        </w:rPr>
        <w:t xml:space="preserve"> Of particular note, the A-Side of the policy is often called upon to pay settlements and judgments in shareholder derivative suits, where the claim is being brought by shareholders on behalf of the company</w:t>
      </w:r>
      <w:r>
        <w:rPr>
          <w:kern w:val="22"/>
        </w:rPr>
        <w:t xml:space="preserve">. </w:t>
      </w:r>
    </w:p>
    <w:p w14:paraId="221EE58B" w14:textId="77777777" w:rsidR="00666C79" w:rsidRPr="00F81FCE" w:rsidRDefault="00666C79" w:rsidP="00F5399C">
      <w:pPr>
        <w:pStyle w:val="OBISBodyCopy"/>
        <w:rPr>
          <w:kern w:val="22"/>
        </w:rPr>
      </w:pPr>
      <w:r>
        <w:rPr>
          <w:noProof/>
        </w:rPr>
        <w:drawing>
          <wp:inline distT="0" distB="0" distL="0" distR="0" wp14:anchorId="79E545A7" wp14:editId="6BAE0A3B">
            <wp:extent cx="5664200" cy="1663700"/>
            <wp:effectExtent l="0" t="0" r="0" b="0"/>
            <wp:docPr id="14" name="Picture 14" descr="C:\Users\ajezerski\AppData\Local\Microsoft\Windows\INetCache\Content.Word\Graphic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jezerski\AppData\Local\Microsoft\Windows\INetCache\Content.Word\Graphic 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4200" cy="1663700"/>
                    </a:xfrm>
                    <a:prstGeom prst="rect">
                      <a:avLst/>
                    </a:prstGeom>
                    <a:noFill/>
                    <a:ln>
                      <a:noFill/>
                    </a:ln>
                  </pic:spPr>
                </pic:pic>
              </a:graphicData>
            </a:graphic>
          </wp:inline>
        </w:drawing>
      </w:r>
    </w:p>
    <w:p w14:paraId="1658DB97" w14:textId="77777777" w:rsidR="00F5399C" w:rsidRDefault="00F5399C" w:rsidP="00F5399C">
      <w:pPr>
        <w:pStyle w:val="OBISBodyCopy"/>
        <w:rPr>
          <w:kern w:val="22"/>
        </w:rPr>
      </w:pPr>
      <w:r>
        <w:rPr>
          <w:kern w:val="22"/>
        </w:rPr>
        <w:t xml:space="preserve">Due to the increase in regulatory enforcement activity, modern D&amp;O policies can be amended to include coverage for “pre-claim” inquiry costs incurred by directors and officers to prepare for and respond to requests by an Enforcement Body that an insured person appear at a meeting or interview, or produce information relating to the Company’s business.  </w:t>
      </w:r>
    </w:p>
    <w:p w14:paraId="69ECFE61" w14:textId="77777777" w:rsidR="00F5399C" w:rsidRPr="00491FFF" w:rsidRDefault="00F5399C" w:rsidP="00F5399C">
      <w:pPr>
        <w:rPr>
          <w:rFonts w:ascii="Arial" w:eastAsia="Times New Roman" w:hAnsi="Arial" w:cs="Times New Roman"/>
          <w:b/>
          <w:smallCaps/>
          <w:kern w:val="22"/>
          <w:sz w:val="24"/>
          <w:szCs w:val="24"/>
        </w:rPr>
      </w:pPr>
      <w:bookmarkStart w:id="0" w:name="_Toc210108504"/>
      <w:bookmarkStart w:id="1" w:name="_Toc210108721"/>
      <w:r>
        <w:br w:type="page"/>
      </w:r>
    </w:p>
    <w:p w14:paraId="43E7B6DD" w14:textId="77777777" w:rsidR="00F5399C" w:rsidRPr="00A01159" w:rsidRDefault="00F5399C" w:rsidP="00F5399C">
      <w:pPr>
        <w:pStyle w:val="OBISSubhead1"/>
        <w:outlineLvl w:val="0"/>
        <w:rPr>
          <w:color w:val="0067B1"/>
        </w:rPr>
      </w:pPr>
      <w:r w:rsidRPr="00A01159">
        <w:rPr>
          <w:color w:val="0067B1"/>
        </w:rPr>
        <w:lastRenderedPageBreak/>
        <w:t>The Risks Inherent in Traditional D&amp;O Policy Structure</w:t>
      </w:r>
      <w:bookmarkEnd w:id="0"/>
      <w:bookmarkEnd w:id="1"/>
      <w:r w:rsidRPr="00A01159">
        <w:rPr>
          <w:color w:val="0067B1"/>
        </w:rPr>
        <w:t xml:space="preserve">  </w:t>
      </w:r>
    </w:p>
    <w:p w14:paraId="2B5F1E25" w14:textId="77777777" w:rsidR="00F5399C" w:rsidRPr="00DF0F0C" w:rsidRDefault="00F5399C" w:rsidP="00F5399C">
      <w:pPr>
        <w:spacing w:after="240" w:line="360" w:lineRule="auto"/>
        <w:jc w:val="both"/>
        <w:rPr>
          <w:rFonts w:ascii="Arial" w:hAnsi="Arial"/>
          <w:b/>
          <w:kern w:val="22"/>
        </w:rPr>
      </w:pPr>
      <w:r w:rsidRPr="00570A4A">
        <w:rPr>
          <w:rFonts w:ascii="Arial" w:hAnsi="Arial" w:cs="Arial"/>
        </w:rPr>
        <w:t xml:space="preserve">While it is generally advantageous to have a D&amp;O policy </w:t>
      </w:r>
      <w:r>
        <w:rPr>
          <w:rFonts w:ascii="Arial" w:hAnsi="Arial" w:cs="Arial"/>
        </w:rPr>
        <w:t>that</w:t>
      </w:r>
      <w:r w:rsidRPr="00570A4A">
        <w:rPr>
          <w:rFonts w:ascii="Arial" w:hAnsi="Arial" w:cs="Arial"/>
        </w:rPr>
        <w:t xml:space="preserve"> provides balance sheet protection, there are situations where having Insuring Agreements A, B and C under one policy may be problematic</w:t>
      </w:r>
      <w:r>
        <w:rPr>
          <w:rFonts w:ascii="Arial" w:hAnsi="Arial" w:cs="Arial"/>
        </w:rPr>
        <w:t>.</w:t>
      </w:r>
    </w:p>
    <w:p w14:paraId="7B142D75" w14:textId="77777777" w:rsidR="00F5399C" w:rsidRPr="00570A4A" w:rsidRDefault="00F5399C" w:rsidP="00F5399C">
      <w:pPr>
        <w:spacing w:after="120" w:line="360" w:lineRule="auto"/>
        <w:jc w:val="both"/>
        <w:rPr>
          <w:rFonts w:ascii="Arial" w:hAnsi="Arial" w:cs="Arial"/>
          <w:kern w:val="22"/>
        </w:rPr>
      </w:pPr>
      <w:r w:rsidRPr="00A01159">
        <w:rPr>
          <w:rStyle w:val="OBISSubhead2Char"/>
          <w:rFonts w:eastAsiaTheme="minorHAnsi"/>
          <w:b/>
          <w:color w:val="0067B1"/>
        </w:rPr>
        <w:t>Bankruptcy</w:t>
      </w:r>
      <w:r>
        <w:rPr>
          <w:rStyle w:val="OBISSubhead2Char"/>
          <w:rFonts w:eastAsiaTheme="minorHAnsi"/>
        </w:rPr>
        <w:t xml:space="preserve">   </w:t>
      </w:r>
      <w:r w:rsidRPr="00570A4A">
        <w:rPr>
          <w:rFonts w:ascii="Arial" w:hAnsi="Arial" w:cs="Arial"/>
          <w:kern w:val="22"/>
        </w:rPr>
        <w:t>Since the Corporate Entity is covered under the traditional policy, the policy may be subject to an automatic stay</w:t>
      </w:r>
      <w:r>
        <w:rPr>
          <w:rFonts w:ascii="Arial" w:hAnsi="Arial" w:cs="Arial"/>
          <w:kern w:val="22"/>
        </w:rPr>
        <w:t xml:space="preserve"> provision</w:t>
      </w:r>
      <w:r w:rsidRPr="00570A4A">
        <w:rPr>
          <w:rFonts w:ascii="Arial" w:hAnsi="Arial" w:cs="Arial"/>
          <w:kern w:val="22"/>
        </w:rPr>
        <w:t xml:space="preserve"> imposed in bankruptcy that prevents the insured persons from receiving </w:t>
      </w:r>
      <w:r>
        <w:rPr>
          <w:rFonts w:ascii="Arial" w:hAnsi="Arial" w:cs="Arial"/>
          <w:kern w:val="22"/>
        </w:rPr>
        <w:t>disbursements for</w:t>
      </w:r>
      <w:r w:rsidRPr="00570A4A">
        <w:rPr>
          <w:rFonts w:ascii="Arial" w:hAnsi="Arial" w:cs="Arial"/>
          <w:kern w:val="22"/>
        </w:rPr>
        <w:t xml:space="preserve"> </w:t>
      </w:r>
      <w:r>
        <w:rPr>
          <w:rFonts w:ascii="Arial" w:hAnsi="Arial" w:cs="Arial"/>
          <w:kern w:val="22"/>
        </w:rPr>
        <w:t>their defense costs.</w:t>
      </w:r>
    </w:p>
    <w:p w14:paraId="5020CE4D" w14:textId="77777777" w:rsidR="00F5399C" w:rsidRPr="00DF0F0C" w:rsidRDefault="00F5399C" w:rsidP="00F5399C">
      <w:pPr>
        <w:spacing w:after="120" w:line="360" w:lineRule="auto"/>
        <w:jc w:val="both"/>
        <w:rPr>
          <w:rStyle w:val="OBISSubhead2Char"/>
          <w:rFonts w:eastAsiaTheme="minorHAnsi"/>
          <w:b/>
          <w:color w:val="auto"/>
        </w:rPr>
      </w:pPr>
      <w:r w:rsidRPr="00A01159">
        <w:rPr>
          <w:rStyle w:val="OBISSubhead2Char"/>
          <w:rFonts w:eastAsiaTheme="minorHAnsi"/>
          <w:b/>
          <w:color w:val="0067B1"/>
        </w:rPr>
        <w:t>Limit Loss</w:t>
      </w:r>
      <w:r w:rsidRPr="00A01159">
        <w:rPr>
          <w:rFonts w:ascii="Arial" w:hAnsi="Arial" w:cs="Arial"/>
          <w:color w:val="0067B1"/>
          <w:kern w:val="22"/>
        </w:rPr>
        <w:t xml:space="preserve">   </w:t>
      </w:r>
      <w:r w:rsidRPr="00570A4A">
        <w:rPr>
          <w:rFonts w:ascii="Arial" w:hAnsi="Arial" w:cs="Arial"/>
          <w:kern w:val="22"/>
        </w:rPr>
        <w:t>In</w:t>
      </w:r>
      <w:r>
        <w:rPr>
          <w:rFonts w:ascii="Arial" w:hAnsi="Arial" w:cs="Arial"/>
          <w:kern w:val="22"/>
        </w:rPr>
        <w:t xml:space="preserve"> a limit loss situation, the directors and officer</w:t>
      </w:r>
      <w:r w:rsidRPr="00570A4A">
        <w:rPr>
          <w:rFonts w:ascii="Arial" w:hAnsi="Arial" w:cs="Arial"/>
          <w:kern w:val="22"/>
        </w:rPr>
        <w:t>s may find themselves without adequate coverage as a result of the inclusion of coverage for the corporate entity and all employees in the traditional policy.</w:t>
      </w:r>
    </w:p>
    <w:p w14:paraId="15972FED" w14:textId="77777777" w:rsidR="00F5399C" w:rsidRDefault="00F5399C" w:rsidP="00F5399C">
      <w:pPr>
        <w:spacing w:after="120" w:line="360" w:lineRule="auto"/>
        <w:jc w:val="both"/>
        <w:rPr>
          <w:rFonts w:ascii="Arial" w:hAnsi="Arial" w:cs="Arial"/>
          <w:kern w:val="22"/>
        </w:rPr>
      </w:pPr>
      <w:r w:rsidRPr="00A01159">
        <w:rPr>
          <w:rStyle w:val="OBISSubhead2Char"/>
          <w:rFonts w:eastAsiaTheme="minorHAnsi"/>
          <w:b/>
          <w:color w:val="0067B1"/>
        </w:rPr>
        <w:t>Restrictive Primary Terms</w:t>
      </w:r>
      <w:r w:rsidRPr="00A01159">
        <w:rPr>
          <w:rFonts w:ascii="Arial" w:hAnsi="Arial" w:cs="Arial"/>
          <w:color w:val="0067B1"/>
          <w:kern w:val="22"/>
        </w:rPr>
        <w:t xml:space="preserve">   </w:t>
      </w:r>
      <w:r w:rsidRPr="00570A4A">
        <w:rPr>
          <w:rFonts w:ascii="Arial" w:hAnsi="Arial" w:cs="Arial"/>
          <w:kern w:val="22"/>
        </w:rPr>
        <w:t>The individual directors and officers could find themselves without coverage for issues that would be covered by a traditional D&amp;O policy were it not for a specific exclusion (e.g., pollution or ERISA claims) i</w:t>
      </w:r>
      <w:r>
        <w:rPr>
          <w:rFonts w:ascii="Arial" w:hAnsi="Arial" w:cs="Arial"/>
          <w:kern w:val="22"/>
        </w:rPr>
        <w:t xml:space="preserve">n situations where </w:t>
      </w:r>
      <w:r w:rsidRPr="00570A4A">
        <w:rPr>
          <w:rFonts w:ascii="Arial" w:hAnsi="Arial" w:cs="Arial"/>
          <w:kern w:val="22"/>
        </w:rPr>
        <w:t>the company cannot indemnify them</w:t>
      </w:r>
      <w:r>
        <w:rPr>
          <w:rFonts w:ascii="Arial" w:hAnsi="Arial" w:cs="Arial"/>
          <w:kern w:val="22"/>
        </w:rPr>
        <w:t>.</w:t>
      </w:r>
    </w:p>
    <w:tbl>
      <w:tblPr>
        <w:tblpPr w:leftFromText="180" w:rightFromText="180" w:vertAnchor="text" w:horzAnchor="margin" w:tblpY="1081"/>
        <w:tblW w:w="9653" w:type="dxa"/>
        <w:tblBorders>
          <w:top w:val="threeDEmboss" w:sz="18" w:space="0" w:color="auto"/>
          <w:left w:val="threeDEmboss" w:sz="18" w:space="0" w:color="auto"/>
          <w:bottom w:val="threeDEngrave" w:sz="18" w:space="0" w:color="auto"/>
          <w:right w:val="threeDEngrave" w:sz="18" w:space="0" w:color="auto"/>
        </w:tblBorders>
        <w:tblLayout w:type="fixed"/>
        <w:tblCellMar>
          <w:left w:w="0" w:type="dxa"/>
          <w:right w:w="0" w:type="dxa"/>
        </w:tblCellMar>
        <w:tblLook w:val="0000" w:firstRow="0" w:lastRow="0" w:firstColumn="0" w:lastColumn="0" w:noHBand="0" w:noVBand="0"/>
      </w:tblPr>
      <w:tblGrid>
        <w:gridCol w:w="9653"/>
      </w:tblGrid>
      <w:tr w:rsidR="00F5399C" w:rsidRPr="007044EA" w14:paraId="1A6281E6" w14:textId="77777777" w:rsidTr="00602FD5">
        <w:trPr>
          <w:trHeight w:val="2853"/>
        </w:trPr>
        <w:tc>
          <w:tcPr>
            <w:tcW w:w="5000" w:type="pct"/>
            <w:shd w:val="clear" w:color="auto" w:fill="auto"/>
            <w:tcMar>
              <w:top w:w="173" w:type="dxa"/>
              <w:left w:w="288" w:type="dxa"/>
              <w:bottom w:w="0" w:type="dxa"/>
              <w:right w:w="288" w:type="dxa"/>
            </w:tcMar>
          </w:tcPr>
          <w:p w14:paraId="6416434E" w14:textId="77777777" w:rsidR="00F5399C" w:rsidRPr="002A6903" w:rsidRDefault="00F5399C" w:rsidP="00602FD5">
            <w:pPr>
              <w:spacing w:before="60" w:afterLines="60" w:after="144"/>
              <w:jc w:val="both"/>
              <w:rPr>
                <w:rFonts w:ascii="Arial" w:hAnsi="Arial" w:cs="Arial"/>
                <w:sz w:val="20"/>
                <w:szCs w:val="20"/>
              </w:rPr>
            </w:pPr>
            <w:r w:rsidRPr="00A01159">
              <w:rPr>
                <w:rFonts w:ascii="Arial" w:hAnsi="Arial" w:cs="Arial"/>
                <w:b/>
                <w:noProof/>
                <w:color w:val="0067B1"/>
                <w:sz w:val="20"/>
                <w:szCs w:val="20"/>
              </w:rPr>
              <w:t>THE D&amp;O POLICY IN BANKRUPTCY</w:t>
            </w:r>
            <w:r w:rsidRPr="00A01159">
              <w:rPr>
                <w:rFonts w:ascii="Arial" w:hAnsi="Arial" w:cs="Arial"/>
                <w:noProof/>
                <w:color w:val="0067B1"/>
              </w:rPr>
              <w:t xml:space="preserve"> </w:t>
            </w:r>
            <w:r w:rsidRPr="002A6903">
              <w:rPr>
                <w:rFonts w:ascii="Arial" w:hAnsi="Arial" w:cs="Arial"/>
                <w:noProof/>
                <w:sz w:val="20"/>
                <w:szCs w:val="20"/>
              </w:rPr>
              <w:t xml:space="preserve">Given the </w:t>
            </w:r>
            <w:r w:rsidRPr="002A6903">
              <w:rPr>
                <w:rFonts w:ascii="Arial" w:hAnsi="Arial" w:cs="Arial"/>
                <w:sz w:val="20"/>
                <w:szCs w:val="20"/>
              </w:rPr>
              <w:t>publicity surrounding high-profile “corporate meltdowns</w:t>
            </w:r>
            <w:r>
              <w:rPr>
                <w:rFonts w:ascii="Arial" w:hAnsi="Arial" w:cs="Arial"/>
                <w:sz w:val="20"/>
                <w:szCs w:val="20"/>
              </w:rPr>
              <w:t>,”</w:t>
            </w:r>
            <w:r w:rsidRPr="002A6903">
              <w:rPr>
                <w:rFonts w:ascii="Arial" w:hAnsi="Arial" w:cs="Arial"/>
                <w:sz w:val="20"/>
                <w:szCs w:val="20"/>
              </w:rPr>
              <w:t xml:space="preserve"> the subject of the D&amp;O policy in bankruptcy has received much attention. Due to the presence of entity coverage for securities c</w:t>
            </w:r>
            <w:r>
              <w:rPr>
                <w:rFonts w:ascii="Arial" w:hAnsi="Arial" w:cs="Arial"/>
                <w:sz w:val="20"/>
                <w:szCs w:val="20"/>
              </w:rPr>
              <w:t>laims under Insuring Agreement C</w:t>
            </w:r>
            <w:r w:rsidRPr="002A6903">
              <w:rPr>
                <w:rFonts w:ascii="Arial" w:hAnsi="Arial" w:cs="Arial"/>
                <w:sz w:val="20"/>
                <w:szCs w:val="20"/>
              </w:rPr>
              <w:t xml:space="preserve">, some courts have deemed the D&amp;O Policy an asset of the bankruptcy estate while others have not. </w:t>
            </w:r>
          </w:p>
          <w:p w14:paraId="4520E79E" w14:textId="77777777" w:rsidR="00F5399C" w:rsidRPr="00E26A44" w:rsidRDefault="00F5399C" w:rsidP="00602FD5">
            <w:pPr>
              <w:spacing w:before="60" w:afterLines="60" w:after="144"/>
              <w:jc w:val="both"/>
              <w:rPr>
                <w:rFonts w:ascii="Arial" w:hAnsi="Arial" w:cs="Arial"/>
              </w:rPr>
            </w:pPr>
            <w:r>
              <w:rPr>
                <w:rFonts w:ascii="Arial" w:hAnsi="Arial" w:cs="Arial"/>
                <w:noProof/>
                <w:kern w:val="22"/>
              </w:rPr>
              <w:drawing>
                <wp:anchor distT="0" distB="0" distL="114300" distR="114300" simplePos="0" relativeHeight="251711488" behindDoc="1" locked="0" layoutInCell="1" allowOverlap="1" wp14:anchorId="0ECB6F4D" wp14:editId="2D7985CF">
                  <wp:simplePos x="0" y="0"/>
                  <wp:positionH relativeFrom="margin">
                    <wp:posOffset>-95250</wp:posOffset>
                  </wp:positionH>
                  <wp:positionV relativeFrom="margin">
                    <wp:posOffset>266700</wp:posOffset>
                  </wp:positionV>
                  <wp:extent cx="1014730" cy="888365"/>
                  <wp:effectExtent l="0" t="0" r="0" b="6985"/>
                  <wp:wrapTight wrapText="bothSides">
                    <wp:wrapPolygon edited="0">
                      <wp:start x="0" y="0"/>
                      <wp:lineTo x="0" y="21307"/>
                      <wp:lineTo x="21086" y="21307"/>
                      <wp:lineTo x="21086" y="0"/>
                      <wp:lineTo x="0" y="0"/>
                    </wp:wrapPolygon>
                  </wp:wrapTight>
                  <wp:docPr id="9" name="Picture 9" descr="M:\RT ICONS\RT Logos 2\NEGATIVE TRENDS_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RT ICONS\RT Logos 2\NEGATIVE TRENDS_rt.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14730" cy="8883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0"/>
                <w:szCs w:val="20"/>
              </w:rPr>
              <w:t>For the individual directors and officer</w:t>
            </w:r>
            <w:r w:rsidRPr="002A6903">
              <w:rPr>
                <w:rFonts w:ascii="Arial" w:hAnsi="Arial" w:cs="Arial"/>
                <w:sz w:val="20"/>
                <w:szCs w:val="20"/>
              </w:rPr>
              <w:t>s, the ramifications of the court’s decision in this regard are enormous. If the policy is considered an asset of the bankrupt estate, the court may “freeze” the proceeds of the policy. The stay will likely prohibit payment of defense costs and this can expose the directors and officers to significant personal liability, for while claims against the company are stayed during the pendency of the bankruptcy, the directors and officers are not similarly protected</w:t>
            </w:r>
            <w:r>
              <w:rPr>
                <w:rFonts w:ascii="Arial" w:hAnsi="Arial" w:cs="Arial"/>
                <w:sz w:val="20"/>
                <w:szCs w:val="20"/>
              </w:rPr>
              <w:t>.</w:t>
            </w:r>
          </w:p>
        </w:tc>
      </w:tr>
    </w:tbl>
    <w:p w14:paraId="501E24CD" w14:textId="77777777" w:rsidR="00F5399C" w:rsidRPr="00570A4A" w:rsidRDefault="00F5399C" w:rsidP="00F5399C">
      <w:pPr>
        <w:spacing w:line="360" w:lineRule="auto"/>
        <w:jc w:val="both"/>
        <w:rPr>
          <w:rFonts w:ascii="Arial" w:hAnsi="Arial" w:cs="Arial"/>
          <w:kern w:val="22"/>
        </w:rPr>
      </w:pPr>
      <w:r w:rsidRPr="00A01159">
        <w:rPr>
          <w:rStyle w:val="OBISSubhead2Char"/>
          <w:rFonts w:eastAsiaTheme="minorHAnsi"/>
          <w:b/>
          <w:color w:val="0067B1"/>
        </w:rPr>
        <w:t>Staggered Settlements</w:t>
      </w:r>
      <w:r w:rsidRPr="00A01159">
        <w:rPr>
          <w:rFonts w:ascii="Arial" w:hAnsi="Arial" w:cs="Arial"/>
          <w:color w:val="0067B1"/>
          <w:kern w:val="22"/>
        </w:rPr>
        <w:t xml:space="preserve">   </w:t>
      </w:r>
      <w:r w:rsidRPr="00570A4A">
        <w:rPr>
          <w:rFonts w:ascii="Arial" w:hAnsi="Arial" w:cs="Arial"/>
          <w:kern w:val="22"/>
        </w:rPr>
        <w:t xml:space="preserve">If </w:t>
      </w:r>
      <w:r>
        <w:rPr>
          <w:rFonts w:ascii="Arial" w:hAnsi="Arial" w:cs="Arial"/>
          <w:kern w:val="22"/>
        </w:rPr>
        <w:t>the corporate entity, or a</w:t>
      </w:r>
      <w:r w:rsidRPr="00570A4A">
        <w:rPr>
          <w:rFonts w:ascii="Arial" w:hAnsi="Arial" w:cs="Arial"/>
          <w:kern w:val="22"/>
        </w:rPr>
        <w:t xml:space="preserve"> group of defendant directors or officers settles, they erode</w:t>
      </w:r>
      <w:r>
        <w:rPr>
          <w:rFonts w:ascii="Arial" w:hAnsi="Arial" w:cs="Arial"/>
          <w:kern w:val="22"/>
        </w:rPr>
        <w:t xml:space="preserve"> - </w:t>
      </w:r>
      <w:r w:rsidRPr="00570A4A">
        <w:rPr>
          <w:rFonts w:ascii="Arial" w:hAnsi="Arial" w:cs="Arial"/>
          <w:kern w:val="22"/>
        </w:rPr>
        <w:t>and could exhaust</w:t>
      </w:r>
      <w:r>
        <w:rPr>
          <w:rFonts w:ascii="Arial" w:hAnsi="Arial" w:cs="Arial"/>
          <w:kern w:val="22"/>
        </w:rPr>
        <w:t xml:space="preserve"> - </w:t>
      </w:r>
      <w:r w:rsidRPr="00570A4A">
        <w:rPr>
          <w:rFonts w:ascii="Arial" w:hAnsi="Arial" w:cs="Arial"/>
          <w:kern w:val="22"/>
        </w:rPr>
        <w:t>the limits available f</w:t>
      </w:r>
      <w:r>
        <w:rPr>
          <w:rFonts w:ascii="Arial" w:hAnsi="Arial" w:cs="Arial"/>
          <w:kern w:val="22"/>
        </w:rPr>
        <w:t>or the non-settling defendants.</w:t>
      </w:r>
    </w:p>
    <w:p w14:paraId="2F76BAEB" w14:textId="77777777" w:rsidR="00F5399C" w:rsidRPr="00F5399C" w:rsidRDefault="00F5399C" w:rsidP="00F5399C">
      <w:pPr>
        <w:rPr>
          <w:rFonts w:ascii="Arial" w:eastAsia="Times New Roman" w:hAnsi="Arial" w:cs="Times New Roman"/>
          <w:b/>
          <w:smallCaps/>
          <w:kern w:val="22"/>
          <w:sz w:val="24"/>
          <w:szCs w:val="24"/>
        </w:rPr>
      </w:pPr>
      <w:r>
        <w:br w:type="page"/>
      </w:r>
    </w:p>
    <w:p w14:paraId="78ED992B" w14:textId="77777777" w:rsidR="00F5399C" w:rsidRPr="00A01159" w:rsidRDefault="00F5399C" w:rsidP="00F5399C">
      <w:pPr>
        <w:pStyle w:val="OBISSubhead1"/>
        <w:rPr>
          <w:color w:val="0067B1"/>
        </w:rPr>
      </w:pPr>
      <w:r w:rsidRPr="00A01159">
        <w:rPr>
          <w:color w:val="0067B1"/>
        </w:rPr>
        <w:lastRenderedPageBreak/>
        <w:t>The Benefits of A-Side “Difference in Conditions” (DIC) Policies</w:t>
      </w:r>
    </w:p>
    <w:p w14:paraId="4E19F19E" w14:textId="77777777" w:rsidR="00F5399C" w:rsidRPr="00DA395B" w:rsidRDefault="00F5399C" w:rsidP="00F5399C">
      <w:pPr>
        <w:pStyle w:val="OBISBodyCopy"/>
      </w:pPr>
      <w:r w:rsidRPr="00DA395B">
        <w:t>A</w:t>
      </w:r>
      <w:r>
        <w:t>ugmenting the traditional A-B-C program with a</w:t>
      </w:r>
      <w:r w:rsidRPr="00DA395B">
        <w:t xml:space="preserve"> separate A-Side “Difference in Conditions</w:t>
      </w:r>
      <w:r>
        <w:t>”</w:t>
      </w:r>
      <w:r w:rsidRPr="00DA395B">
        <w:t xml:space="preserve"> (DIC) Policy </w:t>
      </w:r>
      <w:r>
        <w:t>is beneficial for a number of reasons</w:t>
      </w:r>
      <w:r w:rsidRPr="00DA395B">
        <w:t>:</w:t>
      </w:r>
    </w:p>
    <w:p w14:paraId="545722EC" w14:textId="77777777" w:rsidR="00F5399C" w:rsidRPr="00993F1B" w:rsidRDefault="00F5399C" w:rsidP="00B20509">
      <w:pPr>
        <w:numPr>
          <w:ilvl w:val="0"/>
          <w:numId w:val="7"/>
        </w:numPr>
        <w:spacing w:after="120" w:line="360" w:lineRule="auto"/>
        <w:jc w:val="both"/>
        <w:rPr>
          <w:rFonts w:ascii="Arial" w:hAnsi="Arial" w:cs="Arial"/>
          <w:kern w:val="22"/>
        </w:rPr>
      </w:pPr>
      <w:r w:rsidRPr="00993F1B">
        <w:rPr>
          <w:rFonts w:ascii="Arial" w:hAnsi="Arial" w:cs="Arial"/>
          <w:kern w:val="22"/>
        </w:rPr>
        <w:t>Only the individual directors and office</w:t>
      </w:r>
      <w:r>
        <w:rPr>
          <w:rFonts w:ascii="Arial" w:hAnsi="Arial" w:cs="Arial"/>
          <w:kern w:val="22"/>
        </w:rPr>
        <w:t>r</w:t>
      </w:r>
      <w:r w:rsidRPr="00993F1B">
        <w:rPr>
          <w:rFonts w:ascii="Arial" w:hAnsi="Arial" w:cs="Arial"/>
          <w:kern w:val="22"/>
        </w:rPr>
        <w:t xml:space="preserve">s are covered, therefore, the bankruptcy court cannot argue that the policy is the </w:t>
      </w:r>
      <w:r>
        <w:rPr>
          <w:rFonts w:ascii="Arial" w:hAnsi="Arial" w:cs="Arial"/>
          <w:kern w:val="22"/>
        </w:rPr>
        <w:t xml:space="preserve">property of the </w:t>
      </w:r>
      <w:r w:rsidRPr="00993F1B">
        <w:rPr>
          <w:rFonts w:ascii="Arial" w:hAnsi="Arial" w:cs="Arial"/>
          <w:kern w:val="22"/>
        </w:rPr>
        <w:t>debtor</w:t>
      </w:r>
      <w:r>
        <w:rPr>
          <w:rFonts w:ascii="Arial" w:hAnsi="Arial" w:cs="Arial"/>
          <w:kern w:val="22"/>
        </w:rPr>
        <w:t xml:space="preserve"> entity</w:t>
      </w:r>
    </w:p>
    <w:p w14:paraId="2DE3A07C" w14:textId="77777777" w:rsidR="00F5399C" w:rsidRPr="00993F1B" w:rsidRDefault="00F5399C" w:rsidP="00B20509">
      <w:pPr>
        <w:numPr>
          <w:ilvl w:val="0"/>
          <w:numId w:val="7"/>
        </w:numPr>
        <w:spacing w:after="120" w:line="360" w:lineRule="auto"/>
        <w:jc w:val="both"/>
        <w:rPr>
          <w:rFonts w:ascii="Arial" w:hAnsi="Arial" w:cs="Arial"/>
          <w:kern w:val="22"/>
        </w:rPr>
      </w:pPr>
      <w:r>
        <w:rPr>
          <w:rFonts w:ascii="Arial" w:hAnsi="Arial" w:cs="Arial"/>
          <w:kern w:val="22"/>
        </w:rPr>
        <w:t xml:space="preserve">An </w:t>
      </w:r>
      <w:r w:rsidRPr="00993F1B">
        <w:rPr>
          <w:rFonts w:ascii="Arial" w:hAnsi="Arial" w:cs="Arial"/>
          <w:kern w:val="22"/>
        </w:rPr>
        <w:t xml:space="preserve">A-Side policy will state that </w:t>
      </w:r>
      <w:r>
        <w:rPr>
          <w:rFonts w:ascii="Arial" w:hAnsi="Arial" w:cs="Arial"/>
          <w:kern w:val="22"/>
        </w:rPr>
        <w:t>it can</w:t>
      </w:r>
      <w:r w:rsidRPr="00993F1B">
        <w:rPr>
          <w:rFonts w:ascii="Arial" w:hAnsi="Arial" w:cs="Arial"/>
          <w:kern w:val="22"/>
        </w:rPr>
        <w:t>not be rescinded under any circumstances</w:t>
      </w:r>
    </w:p>
    <w:p w14:paraId="10908C57" w14:textId="77777777" w:rsidR="00F5399C" w:rsidRPr="00F571BB" w:rsidRDefault="00F5399C" w:rsidP="00B20509">
      <w:pPr>
        <w:numPr>
          <w:ilvl w:val="0"/>
          <w:numId w:val="7"/>
        </w:numPr>
        <w:spacing w:after="120" w:line="360" w:lineRule="auto"/>
        <w:jc w:val="both"/>
        <w:rPr>
          <w:rFonts w:ascii="Arial" w:hAnsi="Arial" w:cs="Arial"/>
          <w:kern w:val="22"/>
        </w:rPr>
      </w:pPr>
      <w:r w:rsidRPr="00993F1B">
        <w:rPr>
          <w:rFonts w:ascii="Arial" w:hAnsi="Arial" w:cs="Arial"/>
          <w:kern w:val="22"/>
        </w:rPr>
        <w:t>A</w:t>
      </w:r>
      <w:r>
        <w:rPr>
          <w:rFonts w:ascii="Arial" w:hAnsi="Arial" w:cs="Arial"/>
          <w:kern w:val="22"/>
        </w:rPr>
        <w:t>n A-Side policy should</w:t>
      </w:r>
      <w:r w:rsidRPr="00993F1B">
        <w:rPr>
          <w:rFonts w:ascii="Arial" w:hAnsi="Arial" w:cs="Arial"/>
          <w:kern w:val="22"/>
        </w:rPr>
        <w:t xml:space="preserve"> be very broad</w:t>
      </w:r>
      <w:r>
        <w:rPr>
          <w:rFonts w:ascii="Arial" w:hAnsi="Arial" w:cs="Arial"/>
          <w:kern w:val="22"/>
        </w:rPr>
        <w:t xml:space="preserve">, </w:t>
      </w:r>
      <w:r w:rsidRPr="00993F1B">
        <w:rPr>
          <w:rFonts w:ascii="Arial" w:hAnsi="Arial" w:cs="Arial"/>
          <w:kern w:val="22"/>
        </w:rPr>
        <w:t>contain very few exclusions (i.e.</w:t>
      </w:r>
      <w:r>
        <w:rPr>
          <w:rFonts w:ascii="Arial" w:hAnsi="Arial" w:cs="Arial"/>
          <w:kern w:val="22"/>
        </w:rPr>
        <w:t>,</w:t>
      </w:r>
      <w:r w:rsidRPr="00993F1B">
        <w:rPr>
          <w:rFonts w:ascii="Arial" w:hAnsi="Arial" w:cs="Arial"/>
          <w:kern w:val="22"/>
        </w:rPr>
        <w:t xml:space="preserve"> no ERISA</w:t>
      </w:r>
      <w:r w:rsidR="00AA1129">
        <w:rPr>
          <w:rFonts w:ascii="Arial" w:hAnsi="Arial" w:cs="Arial"/>
          <w:kern w:val="22"/>
        </w:rPr>
        <w:t>, bodily injury or p</w:t>
      </w:r>
      <w:r w:rsidRPr="00993F1B">
        <w:rPr>
          <w:rFonts w:ascii="Arial" w:hAnsi="Arial" w:cs="Arial"/>
          <w:kern w:val="22"/>
        </w:rPr>
        <w:t xml:space="preserve">ollution exclusions, and a limited </w:t>
      </w:r>
      <w:r>
        <w:rPr>
          <w:rFonts w:ascii="Arial" w:hAnsi="Arial" w:cs="Arial"/>
          <w:kern w:val="22"/>
        </w:rPr>
        <w:t xml:space="preserve">or deleted </w:t>
      </w:r>
      <w:r w:rsidRPr="00993F1B">
        <w:rPr>
          <w:rFonts w:ascii="Arial" w:hAnsi="Arial" w:cs="Arial"/>
          <w:kern w:val="22"/>
        </w:rPr>
        <w:t xml:space="preserve">Insured versus Insured </w:t>
      </w:r>
      <w:r w:rsidRPr="00F571BB">
        <w:rPr>
          <w:rFonts w:ascii="Arial" w:hAnsi="Arial" w:cs="Arial"/>
          <w:kern w:val="22"/>
        </w:rPr>
        <w:t>exclusion)</w:t>
      </w:r>
      <w:r w:rsidRPr="00F571BB">
        <w:t xml:space="preserve"> </w:t>
      </w:r>
      <w:r w:rsidRPr="00F571BB">
        <w:rPr>
          <w:rFonts w:ascii="Arial" w:hAnsi="Arial" w:cs="Arial"/>
          <w:kern w:val="22"/>
        </w:rPr>
        <w:t>and will drop down in key situations when other coverage is unavailable</w:t>
      </w:r>
    </w:p>
    <w:p w14:paraId="1464B089" w14:textId="77777777" w:rsidR="00F5399C" w:rsidRDefault="00F5399C" w:rsidP="00B20509">
      <w:pPr>
        <w:numPr>
          <w:ilvl w:val="0"/>
          <w:numId w:val="7"/>
        </w:numPr>
        <w:spacing w:after="120" w:line="360" w:lineRule="auto"/>
        <w:jc w:val="both"/>
        <w:rPr>
          <w:rFonts w:ascii="Arial" w:hAnsi="Arial" w:cs="Arial"/>
          <w:kern w:val="22"/>
        </w:rPr>
      </w:pPr>
      <w:r w:rsidRPr="00993F1B">
        <w:rPr>
          <w:rFonts w:ascii="Arial" w:hAnsi="Arial" w:cs="Arial"/>
          <w:kern w:val="22"/>
        </w:rPr>
        <w:t>Since the A-</w:t>
      </w:r>
      <w:r>
        <w:rPr>
          <w:rFonts w:ascii="Arial" w:hAnsi="Arial" w:cs="Arial"/>
          <w:kern w:val="22"/>
        </w:rPr>
        <w:t>S</w:t>
      </w:r>
      <w:r w:rsidRPr="00993F1B">
        <w:rPr>
          <w:rFonts w:ascii="Arial" w:hAnsi="Arial" w:cs="Arial"/>
          <w:kern w:val="22"/>
        </w:rPr>
        <w:t xml:space="preserve">ide form covers only the individual directors and officers for their non-indemnifiable loss, the policy is not </w:t>
      </w:r>
      <w:r>
        <w:rPr>
          <w:rFonts w:ascii="Arial" w:hAnsi="Arial" w:cs="Arial"/>
          <w:kern w:val="22"/>
        </w:rPr>
        <w:t>diluted</w:t>
      </w:r>
      <w:r w:rsidRPr="00993F1B">
        <w:rPr>
          <w:rFonts w:ascii="Arial" w:hAnsi="Arial" w:cs="Arial"/>
          <w:kern w:val="22"/>
        </w:rPr>
        <w:t xml:space="preserve"> by payments on behalf of </w:t>
      </w:r>
      <w:r>
        <w:rPr>
          <w:rFonts w:ascii="Arial" w:hAnsi="Arial" w:cs="Arial"/>
          <w:kern w:val="22"/>
        </w:rPr>
        <w:t>other insureds</w:t>
      </w:r>
    </w:p>
    <w:p w14:paraId="75D543D2" w14:textId="77777777" w:rsidR="00F5399C" w:rsidRPr="00993F1B" w:rsidRDefault="00F5399C" w:rsidP="00B20509">
      <w:pPr>
        <w:numPr>
          <w:ilvl w:val="0"/>
          <w:numId w:val="7"/>
        </w:numPr>
        <w:spacing w:after="120" w:line="360" w:lineRule="auto"/>
        <w:jc w:val="both"/>
        <w:rPr>
          <w:rFonts w:ascii="Arial" w:hAnsi="Arial" w:cs="Arial"/>
          <w:kern w:val="22"/>
        </w:rPr>
      </w:pPr>
      <w:r>
        <w:rPr>
          <w:rFonts w:ascii="Arial" w:hAnsi="Arial" w:cs="Arial"/>
          <w:kern w:val="22"/>
        </w:rPr>
        <w:t>The coverage provided by the latest generation A-Side forms is more favorable to directors and officers than ever before</w:t>
      </w:r>
    </w:p>
    <w:p w14:paraId="1197B725" w14:textId="77777777" w:rsidR="00F5399C" w:rsidRDefault="00F5399C" w:rsidP="00F5399C">
      <w:pPr>
        <w:pStyle w:val="OBISBodyCopy"/>
      </w:pPr>
      <w:r w:rsidRPr="00DA395B">
        <w:rPr>
          <w:rFonts w:cs="Arial"/>
          <w:szCs w:val="22"/>
        </w:rPr>
        <w:t xml:space="preserve">Thus, with the </w:t>
      </w:r>
      <w:r>
        <w:rPr>
          <w:rFonts w:cs="Arial"/>
          <w:szCs w:val="22"/>
        </w:rPr>
        <w:t>ever-changing challenges of the</w:t>
      </w:r>
      <w:r w:rsidRPr="00DA395B">
        <w:rPr>
          <w:rFonts w:cs="Arial"/>
          <w:szCs w:val="22"/>
        </w:rPr>
        <w:t xml:space="preserve"> economic environment and the increased </w:t>
      </w:r>
      <w:r>
        <w:rPr>
          <w:rFonts w:cs="Arial"/>
          <w:szCs w:val="22"/>
        </w:rPr>
        <w:t>frequency of enormous D&amp;O settlements</w:t>
      </w:r>
      <w:r w:rsidRPr="00DA395B">
        <w:rPr>
          <w:rFonts w:cs="Arial"/>
          <w:szCs w:val="22"/>
        </w:rPr>
        <w:t xml:space="preserve">, </w:t>
      </w:r>
      <w:r w:rsidRPr="00DA395B">
        <w:t xml:space="preserve">companies are </w:t>
      </w:r>
      <w:r>
        <w:t>enthusiastically adopting</w:t>
      </w:r>
      <w:r w:rsidRPr="00DA395B">
        <w:t xml:space="preserve"> dedicated A</w:t>
      </w:r>
      <w:r w:rsidRPr="00DA395B">
        <w:noBreakHyphen/>
        <w:t>Side D</w:t>
      </w:r>
      <w:r>
        <w:t>IC</w:t>
      </w:r>
      <w:r w:rsidRPr="00DA395B">
        <w:t xml:space="preserve"> policies that sit excess of the trad</w:t>
      </w:r>
      <w:r>
        <w:t xml:space="preserve">itional D&amp;O policy or program.   </w:t>
      </w:r>
    </w:p>
    <w:p w14:paraId="0459B0A1" w14:textId="77777777" w:rsidR="00666C79" w:rsidRDefault="00666C79" w:rsidP="00F5399C">
      <w:pPr>
        <w:pStyle w:val="OBISBodyCopy"/>
      </w:pPr>
      <w:r>
        <w:rPr>
          <w:noProof/>
        </w:rPr>
        <w:drawing>
          <wp:inline distT="0" distB="0" distL="0" distR="0" wp14:anchorId="2A0F2FD1" wp14:editId="23AA21B2">
            <wp:extent cx="5664200" cy="2990850"/>
            <wp:effectExtent l="0" t="0" r="0" b="0"/>
            <wp:docPr id="15" name="Picture 15" descr="C:\Users\ajezerski\AppData\Local\Microsoft\Windows\INetCache\Content.Word\Graphic 2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jezerski\AppData\Local\Microsoft\Windows\INetCache\Content.Word\Graphic 2v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64200" cy="2990850"/>
                    </a:xfrm>
                    <a:prstGeom prst="rect">
                      <a:avLst/>
                    </a:prstGeom>
                    <a:noFill/>
                    <a:ln>
                      <a:noFill/>
                    </a:ln>
                  </pic:spPr>
                </pic:pic>
              </a:graphicData>
            </a:graphic>
          </wp:inline>
        </w:drawing>
      </w:r>
    </w:p>
    <w:p w14:paraId="7FD9CE13" w14:textId="77777777" w:rsidR="00AA1129" w:rsidRPr="00B55311" w:rsidRDefault="00F5399C" w:rsidP="00AA1129">
      <w:pPr>
        <w:pStyle w:val="OBISSubhead2"/>
        <w:outlineLvl w:val="0"/>
        <w:rPr>
          <w:rFonts w:cs="Arial"/>
        </w:rPr>
      </w:pPr>
      <w:r>
        <w:rPr>
          <w:rFonts w:cs="Arial"/>
        </w:rPr>
        <w:br w:type="page"/>
      </w:r>
    </w:p>
    <w:p w14:paraId="61C3BAF1" w14:textId="77777777" w:rsidR="00A23807" w:rsidRPr="00A23807" w:rsidRDefault="00A23807" w:rsidP="00A23807">
      <w:pPr>
        <w:pStyle w:val="OBISChapterTitle"/>
        <w:rPr>
          <w:bCs/>
          <w:iCs w:val="0"/>
          <w:color w:val="0067B1"/>
          <w:kern w:val="22"/>
        </w:rPr>
      </w:pPr>
      <w:r>
        <w:rPr>
          <w:bCs/>
          <w:iCs w:val="0"/>
          <w:color w:val="0067B1"/>
          <w:kern w:val="22"/>
        </w:rPr>
        <w:lastRenderedPageBreak/>
        <w:t>III. Key Issues Summary</w:t>
      </w:r>
    </w:p>
    <w:p w14:paraId="2EB32E90" w14:textId="77777777" w:rsidR="00804491" w:rsidRDefault="00804491" w:rsidP="00804491">
      <w:pPr>
        <w:spacing w:line="360" w:lineRule="auto"/>
        <w:jc w:val="both"/>
        <w:rPr>
          <w:rFonts w:ascii="Arial" w:hAnsi="Arial" w:cs="Arial"/>
          <w:color w:val="0067B1"/>
        </w:rPr>
      </w:pPr>
      <w:r>
        <w:rPr>
          <w:rFonts w:ascii="Arial" w:hAnsi="Arial" w:cs="Arial"/>
          <w:color w:val="0067B1"/>
        </w:rPr>
        <w:t>The D&amp;O marketplace for publicly traded companies is stabilizing</w:t>
      </w:r>
    </w:p>
    <w:p w14:paraId="2B0E23C7" w14:textId="77777777" w:rsidR="00804491" w:rsidRDefault="00804491" w:rsidP="00804491">
      <w:pPr>
        <w:pStyle w:val="ListParagraph"/>
        <w:numPr>
          <w:ilvl w:val="0"/>
          <w:numId w:val="31"/>
        </w:numPr>
        <w:spacing w:line="360" w:lineRule="auto"/>
        <w:jc w:val="both"/>
        <w:rPr>
          <w:rFonts w:ascii="Arial" w:eastAsia="Times New Roman" w:hAnsi="Arial" w:cs="Arial"/>
        </w:rPr>
      </w:pPr>
      <w:r>
        <w:rPr>
          <w:rFonts w:ascii="Arial" w:eastAsia="Times New Roman" w:hAnsi="Arial" w:cs="Arial"/>
        </w:rPr>
        <w:t xml:space="preserve">As a result of the premium and retention increases that the public company D&amp;O marketplace had demanded for the past three years, insurers’ profitability has begun to improve and the D&amp;O market is beginning to soften.  </w:t>
      </w:r>
    </w:p>
    <w:p w14:paraId="587F5E7C" w14:textId="77777777" w:rsidR="00804491" w:rsidRDefault="00804491" w:rsidP="00804491">
      <w:pPr>
        <w:pStyle w:val="ListParagraph"/>
        <w:numPr>
          <w:ilvl w:val="0"/>
          <w:numId w:val="31"/>
        </w:numPr>
        <w:spacing w:line="360" w:lineRule="auto"/>
        <w:jc w:val="both"/>
        <w:rPr>
          <w:rFonts w:ascii="Arial" w:eastAsia="Times New Roman" w:hAnsi="Arial" w:cs="Arial"/>
        </w:rPr>
      </w:pPr>
      <w:r>
        <w:rPr>
          <w:rFonts w:ascii="Arial" w:eastAsia="Times New Roman" w:hAnsi="Arial" w:cs="Arial"/>
        </w:rPr>
        <w:t xml:space="preserve">Absent any material negative developments in the risk, carriers are seeking much smaller premium increases on primary placements, and in a growing number of instances, are agreeing to decreases. </w:t>
      </w:r>
    </w:p>
    <w:p w14:paraId="2958A90B" w14:textId="77777777" w:rsidR="00804491" w:rsidRDefault="00804491" w:rsidP="00804491">
      <w:pPr>
        <w:pStyle w:val="ListParagraph"/>
        <w:numPr>
          <w:ilvl w:val="0"/>
          <w:numId w:val="31"/>
        </w:numPr>
        <w:spacing w:line="360" w:lineRule="auto"/>
        <w:jc w:val="both"/>
        <w:rPr>
          <w:rFonts w:ascii="Arial" w:eastAsia="Times New Roman" w:hAnsi="Arial" w:cs="Arial"/>
        </w:rPr>
      </w:pPr>
      <w:r>
        <w:rPr>
          <w:rFonts w:ascii="Arial" w:eastAsia="Times New Roman" w:hAnsi="Arial" w:cs="Arial"/>
        </w:rPr>
        <w:t>At this point, there is no market consensus on the decreases which range from small to quite large – depending on the insured’s risk profile and the expiring premium level.</w:t>
      </w:r>
    </w:p>
    <w:p w14:paraId="4959D759" w14:textId="77777777" w:rsidR="00804491" w:rsidRDefault="00804491" w:rsidP="00804491">
      <w:pPr>
        <w:pStyle w:val="ListParagraph"/>
        <w:numPr>
          <w:ilvl w:val="0"/>
          <w:numId w:val="31"/>
        </w:numPr>
        <w:spacing w:line="360" w:lineRule="auto"/>
        <w:jc w:val="both"/>
        <w:rPr>
          <w:rFonts w:ascii="Arial" w:hAnsi="Arial" w:cs="Arial"/>
        </w:rPr>
      </w:pPr>
      <w:r>
        <w:rPr>
          <w:rFonts w:ascii="Arial" w:hAnsi="Arial" w:cs="Arial"/>
        </w:rPr>
        <w:t>Primary carriers also appear to be comfortable with their current limit capacity and coverage terms.  We are generally not seeing the insurers further restrict coverage or limit capacity in the current renewal cycle.</w:t>
      </w:r>
    </w:p>
    <w:p w14:paraId="16A74EB2" w14:textId="77777777" w:rsidR="00804491" w:rsidRDefault="00804491" w:rsidP="00804491">
      <w:pPr>
        <w:pStyle w:val="ListParagraph"/>
        <w:numPr>
          <w:ilvl w:val="0"/>
          <w:numId w:val="31"/>
        </w:numPr>
        <w:spacing w:line="360" w:lineRule="auto"/>
        <w:jc w:val="both"/>
        <w:rPr>
          <w:rFonts w:ascii="Arial" w:hAnsi="Arial" w:cs="Arial"/>
        </w:rPr>
      </w:pPr>
      <w:r>
        <w:rPr>
          <w:rFonts w:ascii="Arial" w:hAnsi="Arial" w:cs="Arial"/>
        </w:rPr>
        <w:t>Excess insurers’ premiums are also moderating.  Compared to the past several years when excess insurers were pricing their layers at rates equivalent to 85% or more of the layer directly underneath them, excess rates are now dropping into the mid-70s and lower in some instances.</w:t>
      </w:r>
    </w:p>
    <w:p w14:paraId="2B82C294" w14:textId="77777777" w:rsidR="00804491" w:rsidRDefault="00804491" w:rsidP="00804491">
      <w:pPr>
        <w:pStyle w:val="ListParagraph"/>
        <w:numPr>
          <w:ilvl w:val="0"/>
          <w:numId w:val="31"/>
        </w:numPr>
        <w:spacing w:line="360" w:lineRule="auto"/>
        <w:jc w:val="both"/>
        <w:rPr>
          <w:rFonts w:ascii="Arial" w:hAnsi="Arial" w:cs="Arial"/>
        </w:rPr>
      </w:pPr>
      <w:r>
        <w:rPr>
          <w:rFonts w:ascii="Arial" w:hAnsi="Arial" w:cs="Arial"/>
        </w:rPr>
        <w:t>The marked improvement in excess pricing is mainly attributable to the influx of new excess insurers into the marketplace.  Most of the new capacity is still not targeting primary placements, which has resulted in less competitive pressure on primary layers.</w:t>
      </w:r>
    </w:p>
    <w:p w14:paraId="526F7F48" w14:textId="77777777" w:rsidR="00804491" w:rsidRDefault="00804491" w:rsidP="00804491">
      <w:pPr>
        <w:pStyle w:val="ListParagraph"/>
        <w:numPr>
          <w:ilvl w:val="0"/>
          <w:numId w:val="31"/>
        </w:numPr>
        <w:spacing w:line="360" w:lineRule="auto"/>
        <w:jc w:val="both"/>
        <w:rPr>
          <w:rFonts w:ascii="Arial" w:hAnsi="Arial" w:cs="Arial"/>
        </w:rPr>
      </w:pPr>
      <w:r>
        <w:rPr>
          <w:rFonts w:ascii="Arial" w:hAnsi="Arial" w:cs="Arial"/>
        </w:rPr>
        <w:t>Accounts that have experienced significant growth or stock volatility, claims, or other material increases in risk profile may still see significant increases in premium and/or retentions.</w:t>
      </w:r>
    </w:p>
    <w:p w14:paraId="1A72CCFE" w14:textId="77777777" w:rsidR="00804491" w:rsidRDefault="00804491" w:rsidP="00804491">
      <w:pPr>
        <w:pStyle w:val="ListParagraph"/>
        <w:numPr>
          <w:ilvl w:val="0"/>
          <w:numId w:val="31"/>
        </w:numPr>
        <w:spacing w:line="360" w:lineRule="auto"/>
        <w:jc w:val="both"/>
        <w:rPr>
          <w:rFonts w:ascii="Arial" w:hAnsi="Arial" w:cs="Arial"/>
        </w:rPr>
      </w:pPr>
      <w:r>
        <w:rPr>
          <w:rFonts w:ascii="Arial" w:hAnsi="Arial" w:cs="Arial"/>
        </w:rPr>
        <w:t>The increased risk factors from the Cyan decision and the COVID-19 pandemic have receded meaningfully and are not factoring into current renewals.</w:t>
      </w:r>
    </w:p>
    <w:p w14:paraId="412EEBF6" w14:textId="77777777" w:rsidR="00804491" w:rsidRDefault="00804491" w:rsidP="00804491">
      <w:pPr>
        <w:pStyle w:val="ListParagraph"/>
        <w:numPr>
          <w:ilvl w:val="0"/>
          <w:numId w:val="31"/>
        </w:numPr>
        <w:spacing w:line="360" w:lineRule="auto"/>
        <w:jc w:val="both"/>
        <w:rPr>
          <w:rFonts w:ascii="Arial" w:hAnsi="Arial" w:cs="Arial"/>
        </w:rPr>
      </w:pPr>
      <w:r>
        <w:rPr>
          <w:rFonts w:ascii="Arial" w:hAnsi="Arial" w:cs="Arial"/>
        </w:rPr>
        <w:t>The frequency of shareholder class action litigation has also decreased over the past several years, but securities related regulatory activity is on the rise (as discussed further below).</w:t>
      </w:r>
    </w:p>
    <w:p w14:paraId="401F2558" w14:textId="77777777" w:rsidR="00804491" w:rsidRDefault="00804491" w:rsidP="00804491">
      <w:pPr>
        <w:numPr>
          <w:ilvl w:val="0"/>
          <w:numId w:val="32"/>
        </w:numPr>
        <w:spacing w:line="360" w:lineRule="auto"/>
        <w:contextualSpacing/>
        <w:jc w:val="both"/>
        <w:rPr>
          <w:rFonts w:ascii="Arial" w:hAnsi="Arial" w:cs="Arial"/>
        </w:rPr>
      </w:pPr>
      <w:r>
        <w:rPr>
          <w:rFonts w:ascii="Arial" w:hAnsi="Arial" w:cs="Arial"/>
        </w:rPr>
        <w:br w:type="page"/>
      </w:r>
    </w:p>
    <w:p w14:paraId="05E866CE" w14:textId="77777777" w:rsidR="00804491" w:rsidRDefault="00804491" w:rsidP="00804491">
      <w:pPr>
        <w:spacing w:line="360" w:lineRule="auto"/>
        <w:jc w:val="both"/>
        <w:rPr>
          <w:rFonts w:ascii="Arial" w:hAnsi="Arial" w:cs="Arial"/>
          <w:color w:val="0058A4"/>
        </w:rPr>
      </w:pPr>
      <w:r>
        <w:rPr>
          <w:rFonts w:ascii="Arial" w:hAnsi="Arial" w:cs="Arial"/>
          <w:color w:val="0058A4"/>
        </w:rPr>
        <w:lastRenderedPageBreak/>
        <w:t>Pre and Post-Cyan Quarterly Federal Section 11 and State 1933 Act Filings 2016 – 2021</w:t>
      </w:r>
    </w:p>
    <w:p w14:paraId="3FBCAB67" w14:textId="2BEB50E7" w:rsidR="00804491" w:rsidRDefault="00804491" w:rsidP="00804491">
      <w:pPr>
        <w:spacing w:line="360" w:lineRule="auto"/>
        <w:jc w:val="both"/>
        <w:rPr>
          <w:rFonts w:ascii="Arial" w:hAnsi="Arial" w:cs="Arial"/>
          <w:color w:val="0067B1"/>
        </w:rPr>
      </w:pPr>
      <w:r>
        <w:rPr>
          <w:noProof/>
        </w:rPr>
        <w:drawing>
          <wp:inline distT="0" distB="0" distL="0" distR="0" wp14:anchorId="614F9E7B" wp14:editId="1368860D">
            <wp:extent cx="5943600" cy="28587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58770"/>
                    </a:xfrm>
                    <a:prstGeom prst="rect">
                      <a:avLst/>
                    </a:prstGeom>
                    <a:noFill/>
                    <a:ln>
                      <a:noFill/>
                    </a:ln>
                  </pic:spPr>
                </pic:pic>
              </a:graphicData>
            </a:graphic>
          </wp:inline>
        </w:drawing>
      </w:r>
    </w:p>
    <w:p w14:paraId="44085B98" w14:textId="77777777" w:rsidR="00804491" w:rsidRDefault="00804491" w:rsidP="00804491">
      <w:pPr>
        <w:jc w:val="center"/>
        <w:rPr>
          <w:rFonts w:ascii="CIDFont+F3" w:hAnsi="CIDFont+F3" w:cs="CIDFont+F3"/>
          <w:i/>
          <w:iCs/>
          <w:sz w:val="16"/>
          <w:szCs w:val="16"/>
        </w:rPr>
      </w:pPr>
      <w:r>
        <w:rPr>
          <w:rFonts w:ascii="CIDFont+F3" w:hAnsi="CIDFont+F3" w:cs="CIDFont+F3"/>
          <w:i/>
          <w:iCs/>
          <w:sz w:val="16"/>
          <w:szCs w:val="16"/>
        </w:rPr>
        <w:t>Source: Cornerstone Research and Stanford Law School Securities Class Action Clearinghouse; Bloomberg Law; ISS’ SCAS</w:t>
      </w:r>
    </w:p>
    <w:p w14:paraId="0FAEB382" w14:textId="77777777" w:rsidR="00804491" w:rsidRDefault="00804491" w:rsidP="00804491">
      <w:pPr>
        <w:spacing w:line="360" w:lineRule="auto"/>
        <w:jc w:val="both"/>
        <w:rPr>
          <w:rFonts w:ascii="Arial" w:hAnsi="Arial" w:cs="Arial"/>
          <w:color w:val="0067B1"/>
        </w:rPr>
      </w:pPr>
      <w:r>
        <w:rPr>
          <w:rFonts w:ascii="Arial" w:hAnsi="Arial" w:cs="Arial"/>
          <w:color w:val="0067B1"/>
        </w:rPr>
        <w:t xml:space="preserve">A Brief History of State Court Jurisdiction over IPO Suits </w:t>
      </w:r>
    </w:p>
    <w:p w14:paraId="3C293B2C" w14:textId="15D09D6F" w:rsidR="00804491" w:rsidRDefault="00804491" w:rsidP="00804491">
      <w:pPr>
        <w:spacing w:line="360" w:lineRule="auto"/>
        <w:jc w:val="both"/>
        <w:rPr>
          <w:rFonts w:ascii="Arial" w:hAnsi="Arial" w:cs="Arial"/>
          <w:color w:val="0067B1"/>
        </w:rPr>
      </w:pPr>
      <w:r>
        <w:rPr>
          <w:noProof/>
        </w:rPr>
        <w:drawing>
          <wp:inline distT="0" distB="0" distL="0" distR="0" wp14:anchorId="467FC9F2" wp14:editId="257BB4B7">
            <wp:extent cx="6174740" cy="4144645"/>
            <wp:effectExtent l="0" t="0" r="16510" b="27305"/>
            <wp:docPr id="67" name="Diagram 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r>
        <w:rPr>
          <w:rFonts w:ascii="Arial" w:hAnsi="Arial" w:cs="Arial"/>
          <w:color w:val="0067B1"/>
        </w:rPr>
        <w:br w:type="page"/>
      </w:r>
    </w:p>
    <w:p w14:paraId="14CFE2A0" w14:textId="77777777" w:rsidR="00804491" w:rsidRDefault="00804491" w:rsidP="00804491">
      <w:pPr>
        <w:spacing w:line="360" w:lineRule="auto"/>
        <w:jc w:val="both"/>
        <w:rPr>
          <w:rFonts w:ascii="Arial" w:hAnsi="Arial" w:cs="Arial"/>
          <w:color w:val="0058A4"/>
        </w:rPr>
      </w:pPr>
      <w:r>
        <w:rPr>
          <w:rFonts w:ascii="Arial" w:hAnsi="Arial" w:cs="Arial"/>
          <w:color w:val="0058A4"/>
        </w:rPr>
        <w:lastRenderedPageBreak/>
        <w:t>D&amp;O Insurers are returning to profitability</w:t>
      </w:r>
    </w:p>
    <w:p w14:paraId="0635CD39" w14:textId="77777777" w:rsidR="00804491" w:rsidRDefault="00804491" w:rsidP="00804491">
      <w:pPr>
        <w:pStyle w:val="ListParagraph"/>
        <w:numPr>
          <w:ilvl w:val="0"/>
          <w:numId w:val="33"/>
        </w:numPr>
        <w:spacing w:line="360" w:lineRule="auto"/>
        <w:jc w:val="both"/>
        <w:rPr>
          <w:rFonts w:ascii="Arial" w:hAnsi="Arial" w:cs="Arial"/>
        </w:rPr>
      </w:pPr>
      <w:r>
        <w:rPr>
          <w:rFonts w:ascii="Arial" w:hAnsi="Arial" w:cs="Arial"/>
        </w:rPr>
        <w:t>Taken as a whole, at the end of 2021, the top D&amp;O insurers’ underwriting results moved into a profitable position.  The average loss and defense ratio for the top US D&amp;O insurers finished 2021 at 66.1%. This, coupled with an average expense ratio of approximately 30%, places the combined ratio at approximately 96%.</w:t>
      </w:r>
    </w:p>
    <w:p w14:paraId="590EC6EB" w14:textId="77777777" w:rsidR="00804491" w:rsidRDefault="00804491" w:rsidP="00804491">
      <w:pPr>
        <w:pStyle w:val="ListParagraph"/>
        <w:numPr>
          <w:ilvl w:val="0"/>
          <w:numId w:val="33"/>
        </w:numPr>
        <w:spacing w:line="360" w:lineRule="auto"/>
        <w:jc w:val="both"/>
        <w:rPr>
          <w:rFonts w:ascii="Arial" w:hAnsi="Arial" w:cs="Arial"/>
        </w:rPr>
      </w:pPr>
      <w:r>
        <w:rPr>
          <w:rFonts w:ascii="Arial" w:hAnsi="Arial" w:cs="Arial"/>
        </w:rPr>
        <w:t xml:space="preserve">This means that these insurers are making an underwriting profit as of the end 2021. </w:t>
      </w:r>
    </w:p>
    <w:p w14:paraId="26F1FC97" w14:textId="77777777" w:rsidR="00804491" w:rsidRDefault="00804491" w:rsidP="00804491">
      <w:pPr>
        <w:pStyle w:val="ListParagraph"/>
        <w:numPr>
          <w:ilvl w:val="0"/>
          <w:numId w:val="33"/>
        </w:numPr>
        <w:spacing w:line="360" w:lineRule="auto"/>
        <w:rPr>
          <w:rFonts w:ascii="Arial" w:hAnsi="Arial" w:cs="Arial"/>
        </w:rPr>
      </w:pPr>
      <w:r>
        <w:rPr>
          <w:rFonts w:ascii="Arial" w:hAnsi="Arial" w:cs="Arial"/>
        </w:rPr>
        <w:t>This is good news as it should lead to additional competition between insurers and result in premium decreases.</w:t>
      </w:r>
    </w:p>
    <w:p w14:paraId="2C73F0D1" w14:textId="77777777" w:rsidR="00804491" w:rsidRDefault="00804491" w:rsidP="00804491">
      <w:pPr>
        <w:pStyle w:val="ListParagraph"/>
        <w:numPr>
          <w:ilvl w:val="0"/>
          <w:numId w:val="33"/>
        </w:numPr>
        <w:spacing w:line="360" w:lineRule="auto"/>
        <w:rPr>
          <w:rFonts w:ascii="Arial" w:hAnsi="Arial" w:cs="Arial"/>
        </w:rPr>
      </w:pPr>
      <w:r>
        <w:rPr>
          <w:rFonts w:ascii="Arial" w:hAnsi="Arial" w:cs="Arial"/>
        </w:rPr>
        <w:t>The pandemic-induced backlog in the courts may be favorably impacting these results, and the loss ratios may once again deteriorate as cases move through the system.</w:t>
      </w:r>
    </w:p>
    <w:p w14:paraId="76EA5219" w14:textId="77777777" w:rsidR="00804491" w:rsidRDefault="00804491" w:rsidP="00804491">
      <w:pPr>
        <w:spacing w:line="360" w:lineRule="auto"/>
        <w:rPr>
          <w:rFonts w:ascii="Arial" w:hAnsi="Arial" w:cs="Arial"/>
        </w:rPr>
      </w:pPr>
    </w:p>
    <w:p w14:paraId="165C7090" w14:textId="77777777" w:rsidR="00804491" w:rsidRDefault="00804491" w:rsidP="00804491">
      <w:pPr>
        <w:kinsoku w:val="0"/>
        <w:overflowPunct w:val="0"/>
        <w:autoSpaceDE w:val="0"/>
        <w:autoSpaceDN w:val="0"/>
        <w:adjustRightInd w:val="0"/>
        <w:spacing w:after="0"/>
        <w:ind w:left="360"/>
        <w:rPr>
          <w:rFonts w:ascii="Arial" w:hAnsi="Arial" w:cs="Arial"/>
          <w:b/>
          <w:bCs/>
          <w:color w:val="0070C0"/>
        </w:rPr>
      </w:pPr>
      <w:r>
        <w:rPr>
          <w:rFonts w:ascii="Arial" w:hAnsi="Arial" w:cs="Arial"/>
          <w:b/>
          <w:bCs/>
          <w:color w:val="0070C0"/>
        </w:rPr>
        <w:t>2021 D&amp;O Insurer Rankings and Loss Ratio Performance</w:t>
      </w:r>
    </w:p>
    <w:p w14:paraId="7356F1F1" w14:textId="77777777" w:rsidR="00804491" w:rsidRDefault="00804491" w:rsidP="00804491">
      <w:pPr>
        <w:kinsoku w:val="0"/>
        <w:overflowPunct w:val="0"/>
        <w:autoSpaceDE w:val="0"/>
        <w:autoSpaceDN w:val="0"/>
        <w:adjustRightInd w:val="0"/>
        <w:spacing w:after="0"/>
        <w:ind w:left="360"/>
        <w:rPr>
          <w:rFonts w:ascii="Arial" w:hAnsi="Arial" w:cs="Arial"/>
          <w:b/>
          <w:bCs/>
          <w:color w:val="0070C0"/>
          <w:sz w:val="16"/>
          <w:szCs w:val="16"/>
        </w:rPr>
      </w:pPr>
    </w:p>
    <w:tbl>
      <w:tblPr>
        <w:tblW w:w="9135" w:type="dxa"/>
        <w:tblInd w:w="231" w:type="dxa"/>
        <w:tblLayout w:type="fixed"/>
        <w:tblCellMar>
          <w:left w:w="0" w:type="dxa"/>
          <w:right w:w="0" w:type="dxa"/>
        </w:tblCellMar>
        <w:tblLook w:val="04A0" w:firstRow="1" w:lastRow="0" w:firstColumn="1" w:lastColumn="0" w:noHBand="0" w:noVBand="1"/>
      </w:tblPr>
      <w:tblGrid>
        <w:gridCol w:w="2224"/>
        <w:gridCol w:w="1416"/>
        <w:gridCol w:w="1299"/>
        <w:gridCol w:w="360"/>
        <w:gridCol w:w="579"/>
        <w:gridCol w:w="669"/>
        <w:gridCol w:w="581"/>
        <w:gridCol w:w="669"/>
        <w:gridCol w:w="669"/>
        <w:gridCol w:w="669"/>
      </w:tblGrid>
      <w:tr w:rsidR="00804491" w14:paraId="41BE415B" w14:textId="77777777" w:rsidTr="00804491">
        <w:trPr>
          <w:trHeight w:val="472"/>
        </w:trPr>
        <w:tc>
          <w:tcPr>
            <w:tcW w:w="2222" w:type="dxa"/>
            <w:tcBorders>
              <w:top w:val="single" w:sz="12" w:space="0" w:color="auto"/>
              <w:left w:val="nil"/>
              <w:bottom w:val="single" w:sz="8" w:space="0" w:color="000000"/>
              <w:right w:val="nil"/>
            </w:tcBorders>
          </w:tcPr>
          <w:p w14:paraId="698C9C24" w14:textId="77777777" w:rsidR="00804491" w:rsidRDefault="00804491">
            <w:pPr>
              <w:kinsoku w:val="0"/>
              <w:overflowPunct w:val="0"/>
              <w:autoSpaceDE w:val="0"/>
              <w:autoSpaceDN w:val="0"/>
              <w:adjustRightInd w:val="0"/>
              <w:spacing w:before="6" w:after="0" w:line="240" w:lineRule="auto"/>
              <w:rPr>
                <w:rFonts w:ascii="Arial" w:hAnsi="Arial" w:cs="Arial"/>
                <w:b/>
                <w:bCs/>
                <w:sz w:val="16"/>
                <w:szCs w:val="16"/>
              </w:rPr>
            </w:pPr>
          </w:p>
          <w:p w14:paraId="524EF901" w14:textId="77777777" w:rsidR="00804491" w:rsidRDefault="00804491">
            <w:pPr>
              <w:kinsoku w:val="0"/>
              <w:overflowPunct w:val="0"/>
              <w:autoSpaceDE w:val="0"/>
              <w:autoSpaceDN w:val="0"/>
              <w:adjustRightInd w:val="0"/>
              <w:spacing w:after="0" w:line="240" w:lineRule="auto"/>
              <w:ind w:left="43"/>
              <w:rPr>
                <w:rFonts w:ascii="Arial" w:hAnsi="Arial" w:cs="Arial"/>
                <w:b/>
                <w:bCs/>
                <w:sz w:val="16"/>
                <w:szCs w:val="16"/>
              </w:rPr>
            </w:pPr>
            <w:r>
              <w:rPr>
                <w:rFonts w:ascii="Arial" w:hAnsi="Arial" w:cs="Arial"/>
                <w:b/>
                <w:bCs/>
                <w:sz w:val="16"/>
                <w:szCs w:val="16"/>
              </w:rPr>
              <w:t>Company</w:t>
            </w:r>
            <w:r>
              <w:rPr>
                <w:rFonts w:ascii="Arial" w:hAnsi="Arial" w:cs="Arial"/>
                <w:b/>
                <w:bCs/>
                <w:spacing w:val="-7"/>
                <w:sz w:val="16"/>
                <w:szCs w:val="16"/>
              </w:rPr>
              <w:t xml:space="preserve"> </w:t>
            </w:r>
            <w:r>
              <w:rPr>
                <w:rFonts w:ascii="Arial" w:hAnsi="Arial" w:cs="Arial"/>
                <w:b/>
                <w:bCs/>
                <w:sz w:val="16"/>
                <w:szCs w:val="16"/>
              </w:rPr>
              <w:t>Name</w:t>
            </w:r>
          </w:p>
        </w:tc>
        <w:tc>
          <w:tcPr>
            <w:tcW w:w="1414" w:type="dxa"/>
            <w:tcBorders>
              <w:top w:val="single" w:sz="12" w:space="0" w:color="auto"/>
              <w:left w:val="nil"/>
              <w:bottom w:val="single" w:sz="8" w:space="0" w:color="000000"/>
              <w:right w:val="nil"/>
            </w:tcBorders>
            <w:hideMark/>
          </w:tcPr>
          <w:p w14:paraId="3AB372BB" w14:textId="77777777" w:rsidR="00804491" w:rsidRDefault="00804491">
            <w:pPr>
              <w:kinsoku w:val="0"/>
              <w:overflowPunct w:val="0"/>
              <w:autoSpaceDE w:val="0"/>
              <w:autoSpaceDN w:val="0"/>
              <w:adjustRightInd w:val="0"/>
              <w:spacing w:after="0" w:line="240" w:lineRule="auto"/>
              <w:ind w:right="84"/>
              <w:jc w:val="right"/>
              <w:rPr>
                <w:rFonts w:ascii="Arial" w:hAnsi="Arial" w:cs="Arial"/>
                <w:b/>
                <w:bCs/>
                <w:sz w:val="16"/>
                <w:szCs w:val="16"/>
              </w:rPr>
            </w:pPr>
            <w:r>
              <w:rPr>
                <w:rFonts w:ascii="Arial" w:hAnsi="Arial" w:cs="Arial"/>
                <w:b/>
                <w:bCs/>
                <w:sz w:val="16"/>
                <w:szCs w:val="16"/>
              </w:rPr>
              <w:t>$ Written  Premium (millions)</w:t>
            </w:r>
          </w:p>
        </w:tc>
        <w:tc>
          <w:tcPr>
            <w:tcW w:w="1297" w:type="dxa"/>
            <w:tcBorders>
              <w:top w:val="single" w:sz="12" w:space="0" w:color="auto"/>
              <w:left w:val="nil"/>
              <w:bottom w:val="single" w:sz="8" w:space="0" w:color="000000"/>
              <w:right w:val="nil"/>
            </w:tcBorders>
            <w:hideMark/>
          </w:tcPr>
          <w:p w14:paraId="114541D5" w14:textId="77777777" w:rsidR="00804491" w:rsidRDefault="00804491">
            <w:pPr>
              <w:kinsoku w:val="0"/>
              <w:overflowPunct w:val="0"/>
              <w:autoSpaceDE w:val="0"/>
              <w:autoSpaceDN w:val="0"/>
              <w:adjustRightInd w:val="0"/>
              <w:spacing w:before="25" w:after="0"/>
              <w:ind w:left="122" w:right="4" w:hanging="17"/>
              <w:rPr>
                <w:rFonts w:ascii="Arial" w:hAnsi="Arial" w:cs="Arial"/>
                <w:b/>
                <w:bCs/>
                <w:sz w:val="16"/>
                <w:szCs w:val="16"/>
              </w:rPr>
            </w:pPr>
            <w:r>
              <w:rPr>
                <w:rFonts w:ascii="Arial" w:hAnsi="Arial" w:cs="Arial"/>
                <w:b/>
                <w:bCs/>
                <w:sz w:val="16"/>
                <w:szCs w:val="16"/>
              </w:rPr>
              <w:t>% premium growth vs</w:t>
            </w:r>
            <w:r>
              <w:rPr>
                <w:rFonts w:ascii="Arial" w:hAnsi="Arial" w:cs="Arial"/>
                <w:b/>
                <w:bCs/>
                <w:spacing w:val="-10"/>
                <w:sz w:val="16"/>
                <w:szCs w:val="16"/>
              </w:rPr>
              <w:t xml:space="preserve"> </w:t>
            </w:r>
            <w:r>
              <w:rPr>
                <w:rFonts w:ascii="Arial" w:hAnsi="Arial" w:cs="Arial"/>
                <w:b/>
                <w:bCs/>
                <w:sz w:val="16"/>
                <w:szCs w:val="16"/>
              </w:rPr>
              <w:t>2020</w:t>
            </w:r>
          </w:p>
        </w:tc>
        <w:tc>
          <w:tcPr>
            <w:tcW w:w="360" w:type="dxa"/>
            <w:tcBorders>
              <w:top w:val="single" w:sz="12" w:space="0" w:color="auto"/>
              <w:left w:val="nil"/>
              <w:bottom w:val="single" w:sz="8" w:space="0" w:color="000000"/>
              <w:right w:val="nil"/>
            </w:tcBorders>
          </w:tcPr>
          <w:p w14:paraId="28FB5050" w14:textId="77777777" w:rsidR="00804491" w:rsidRDefault="00804491">
            <w:pPr>
              <w:kinsoku w:val="0"/>
              <w:overflowPunct w:val="0"/>
              <w:autoSpaceDE w:val="0"/>
              <w:autoSpaceDN w:val="0"/>
              <w:adjustRightInd w:val="0"/>
              <w:spacing w:after="0" w:line="240" w:lineRule="auto"/>
              <w:rPr>
                <w:rFonts w:ascii="Times New Roman" w:hAnsi="Times New Roman" w:cs="Times New Roman"/>
                <w:sz w:val="16"/>
                <w:szCs w:val="16"/>
              </w:rPr>
            </w:pPr>
          </w:p>
        </w:tc>
        <w:tc>
          <w:tcPr>
            <w:tcW w:w="579" w:type="dxa"/>
            <w:tcBorders>
              <w:top w:val="single" w:sz="12" w:space="0" w:color="auto"/>
              <w:left w:val="nil"/>
              <w:bottom w:val="single" w:sz="8" w:space="0" w:color="000000"/>
              <w:right w:val="nil"/>
            </w:tcBorders>
          </w:tcPr>
          <w:p w14:paraId="4C44CEED" w14:textId="77777777" w:rsidR="00804491" w:rsidRDefault="00804491">
            <w:pPr>
              <w:kinsoku w:val="0"/>
              <w:overflowPunct w:val="0"/>
              <w:autoSpaceDE w:val="0"/>
              <w:autoSpaceDN w:val="0"/>
              <w:adjustRightInd w:val="0"/>
              <w:spacing w:before="6" w:after="0" w:line="240" w:lineRule="auto"/>
              <w:rPr>
                <w:rFonts w:ascii="Arial" w:hAnsi="Arial" w:cs="Arial"/>
                <w:b/>
                <w:bCs/>
                <w:sz w:val="16"/>
                <w:szCs w:val="16"/>
              </w:rPr>
            </w:pPr>
          </w:p>
          <w:p w14:paraId="06C326FA" w14:textId="77777777" w:rsidR="00804491" w:rsidRDefault="00804491">
            <w:pPr>
              <w:kinsoku w:val="0"/>
              <w:overflowPunct w:val="0"/>
              <w:autoSpaceDE w:val="0"/>
              <w:autoSpaceDN w:val="0"/>
              <w:adjustRightInd w:val="0"/>
              <w:spacing w:before="6" w:after="0" w:line="240" w:lineRule="auto"/>
              <w:rPr>
                <w:rFonts w:ascii="Arial" w:hAnsi="Arial" w:cs="Arial"/>
                <w:b/>
                <w:bCs/>
                <w:sz w:val="16"/>
                <w:szCs w:val="16"/>
              </w:rPr>
            </w:pPr>
            <w:r>
              <w:rPr>
                <w:rFonts w:ascii="Arial" w:hAnsi="Arial" w:cs="Arial"/>
                <w:b/>
                <w:bCs/>
                <w:sz w:val="16"/>
                <w:szCs w:val="16"/>
              </w:rPr>
              <w:t>2021</w:t>
            </w:r>
          </w:p>
        </w:tc>
        <w:tc>
          <w:tcPr>
            <w:tcW w:w="669" w:type="dxa"/>
            <w:tcBorders>
              <w:top w:val="single" w:sz="12" w:space="0" w:color="auto"/>
              <w:left w:val="nil"/>
              <w:bottom w:val="single" w:sz="8" w:space="0" w:color="000000"/>
              <w:right w:val="nil"/>
            </w:tcBorders>
          </w:tcPr>
          <w:p w14:paraId="07BB063D" w14:textId="77777777" w:rsidR="00804491" w:rsidRDefault="00804491">
            <w:pPr>
              <w:kinsoku w:val="0"/>
              <w:overflowPunct w:val="0"/>
              <w:autoSpaceDE w:val="0"/>
              <w:autoSpaceDN w:val="0"/>
              <w:adjustRightInd w:val="0"/>
              <w:spacing w:before="6" w:after="0" w:line="240" w:lineRule="auto"/>
              <w:rPr>
                <w:rFonts w:ascii="Arial" w:hAnsi="Arial" w:cs="Arial"/>
                <w:b/>
                <w:bCs/>
                <w:sz w:val="16"/>
                <w:szCs w:val="16"/>
              </w:rPr>
            </w:pPr>
          </w:p>
          <w:p w14:paraId="2CEAF53A" w14:textId="77777777" w:rsidR="00804491" w:rsidRDefault="00804491">
            <w:pPr>
              <w:kinsoku w:val="0"/>
              <w:overflowPunct w:val="0"/>
              <w:autoSpaceDE w:val="0"/>
              <w:autoSpaceDN w:val="0"/>
              <w:adjustRightInd w:val="0"/>
              <w:spacing w:before="6" w:after="0" w:line="240" w:lineRule="auto"/>
              <w:rPr>
                <w:rFonts w:ascii="Arial" w:hAnsi="Arial" w:cs="Arial"/>
                <w:b/>
                <w:bCs/>
                <w:sz w:val="16"/>
                <w:szCs w:val="16"/>
              </w:rPr>
            </w:pPr>
            <w:r>
              <w:rPr>
                <w:rFonts w:ascii="Arial" w:hAnsi="Arial" w:cs="Arial"/>
                <w:b/>
                <w:bCs/>
                <w:sz w:val="16"/>
                <w:szCs w:val="16"/>
              </w:rPr>
              <w:t>2020</w:t>
            </w:r>
          </w:p>
        </w:tc>
        <w:tc>
          <w:tcPr>
            <w:tcW w:w="581" w:type="dxa"/>
            <w:tcBorders>
              <w:top w:val="single" w:sz="12" w:space="0" w:color="auto"/>
              <w:left w:val="nil"/>
              <w:bottom w:val="single" w:sz="8" w:space="0" w:color="000000"/>
              <w:right w:val="nil"/>
            </w:tcBorders>
          </w:tcPr>
          <w:p w14:paraId="4CCE8C35" w14:textId="77777777" w:rsidR="00804491" w:rsidRDefault="00804491">
            <w:pPr>
              <w:kinsoku w:val="0"/>
              <w:overflowPunct w:val="0"/>
              <w:autoSpaceDE w:val="0"/>
              <w:autoSpaceDN w:val="0"/>
              <w:adjustRightInd w:val="0"/>
              <w:spacing w:before="6" w:after="0" w:line="240" w:lineRule="auto"/>
              <w:rPr>
                <w:rFonts w:ascii="Arial" w:hAnsi="Arial" w:cs="Arial"/>
                <w:b/>
                <w:bCs/>
                <w:sz w:val="16"/>
                <w:szCs w:val="16"/>
              </w:rPr>
            </w:pPr>
          </w:p>
          <w:p w14:paraId="2AE5BACD" w14:textId="77777777" w:rsidR="00804491" w:rsidRDefault="00804491">
            <w:pPr>
              <w:kinsoku w:val="0"/>
              <w:overflowPunct w:val="0"/>
              <w:autoSpaceDE w:val="0"/>
              <w:autoSpaceDN w:val="0"/>
              <w:adjustRightInd w:val="0"/>
              <w:spacing w:before="6" w:after="0" w:line="240" w:lineRule="auto"/>
              <w:rPr>
                <w:rFonts w:ascii="Arial" w:hAnsi="Arial" w:cs="Arial"/>
                <w:b/>
                <w:bCs/>
                <w:sz w:val="16"/>
                <w:szCs w:val="16"/>
              </w:rPr>
            </w:pPr>
            <w:r>
              <w:rPr>
                <w:rFonts w:ascii="Arial" w:hAnsi="Arial" w:cs="Arial"/>
                <w:b/>
                <w:bCs/>
                <w:sz w:val="16"/>
                <w:szCs w:val="16"/>
              </w:rPr>
              <w:t>2019</w:t>
            </w:r>
          </w:p>
        </w:tc>
        <w:tc>
          <w:tcPr>
            <w:tcW w:w="669" w:type="dxa"/>
            <w:tcBorders>
              <w:top w:val="single" w:sz="12" w:space="0" w:color="auto"/>
              <w:left w:val="nil"/>
              <w:bottom w:val="single" w:sz="8" w:space="0" w:color="000000"/>
              <w:right w:val="nil"/>
            </w:tcBorders>
          </w:tcPr>
          <w:p w14:paraId="4A3C1361" w14:textId="77777777" w:rsidR="00804491" w:rsidRDefault="00804491">
            <w:pPr>
              <w:kinsoku w:val="0"/>
              <w:overflowPunct w:val="0"/>
              <w:autoSpaceDE w:val="0"/>
              <w:autoSpaceDN w:val="0"/>
              <w:adjustRightInd w:val="0"/>
              <w:spacing w:before="6" w:after="0" w:line="240" w:lineRule="auto"/>
              <w:rPr>
                <w:rFonts w:ascii="Arial" w:hAnsi="Arial" w:cs="Arial"/>
                <w:b/>
                <w:bCs/>
                <w:sz w:val="16"/>
                <w:szCs w:val="16"/>
              </w:rPr>
            </w:pPr>
          </w:p>
          <w:p w14:paraId="7DC03FF5" w14:textId="77777777" w:rsidR="00804491" w:rsidRDefault="00804491">
            <w:pPr>
              <w:kinsoku w:val="0"/>
              <w:overflowPunct w:val="0"/>
              <w:autoSpaceDE w:val="0"/>
              <w:autoSpaceDN w:val="0"/>
              <w:adjustRightInd w:val="0"/>
              <w:spacing w:before="6" w:after="0" w:line="240" w:lineRule="auto"/>
              <w:rPr>
                <w:rFonts w:ascii="Arial" w:hAnsi="Arial" w:cs="Arial"/>
                <w:b/>
                <w:bCs/>
                <w:sz w:val="16"/>
                <w:szCs w:val="16"/>
              </w:rPr>
            </w:pPr>
            <w:r>
              <w:rPr>
                <w:rFonts w:ascii="Arial" w:hAnsi="Arial" w:cs="Arial"/>
                <w:b/>
                <w:bCs/>
                <w:sz w:val="16"/>
                <w:szCs w:val="16"/>
              </w:rPr>
              <w:t>2018</w:t>
            </w:r>
          </w:p>
        </w:tc>
        <w:tc>
          <w:tcPr>
            <w:tcW w:w="669" w:type="dxa"/>
            <w:tcBorders>
              <w:top w:val="single" w:sz="12" w:space="0" w:color="auto"/>
              <w:left w:val="nil"/>
              <w:bottom w:val="single" w:sz="8" w:space="0" w:color="000000"/>
              <w:right w:val="nil"/>
            </w:tcBorders>
          </w:tcPr>
          <w:p w14:paraId="5362A465" w14:textId="77777777" w:rsidR="00804491" w:rsidRDefault="00804491">
            <w:pPr>
              <w:kinsoku w:val="0"/>
              <w:overflowPunct w:val="0"/>
              <w:autoSpaceDE w:val="0"/>
              <w:autoSpaceDN w:val="0"/>
              <w:adjustRightInd w:val="0"/>
              <w:spacing w:before="6" w:after="0" w:line="240" w:lineRule="auto"/>
              <w:rPr>
                <w:rFonts w:ascii="Arial" w:hAnsi="Arial" w:cs="Arial"/>
                <w:b/>
                <w:bCs/>
                <w:sz w:val="16"/>
                <w:szCs w:val="16"/>
              </w:rPr>
            </w:pPr>
          </w:p>
          <w:p w14:paraId="0A49A36A" w14:textId="77777777" w:rsidR="00804491" w:rsidRDefault="00804491">
            <w:pPr>
              <w:kinsoku w:val="0"/>
              <w:overflowPunct w:val="0"/>
              <w:autoSpaceDE w:val="0"/>
              <w:autoSpaceDN w:val="0"/>
              <w:adjustRightInd w:val="0"/>
              <w:spacing w:before="6" w:after="0" w:line="240" w:lineRule="auto"/>
              <w:rPr>
                <w:rFonts w:ascii="Arial" w:hAnsi="Arial" w:cs="Arial"/>
                <w:b/>
                <w:bCs/>
                <w:sz w:val="16"/>
                <w:szCs w:val="16"/>
              </w:rPr>
            </w:pPr>
            <w:r>
              <w:rPr>
                <w:rFonts w:ascii="Arial" w:hAnsi="Arial" w:cs="Arial"/>
                <w:b/>
                <w:bCs/>
                <w:sz w:val="16"/>
                <w:szCs w:val="16"/>
              </w:rPr>
              <w:t>2017</w:t>
            </w:r>
          </w:p>
        </w:tc>
        <w:tc>
          <w:tcPr>
            <w:tcW w:w="669" w:type="dxa"/>
            <w:tcBorders>
              <w:top w:val="single" w:sz="12" w:space="0" w:color="auto"/>
              <w:left w:val="nil"/>
              <w:bottom w:val="single" w:sz="8" w:space="0" w:color="000000"/>
              <w:right w:val="nil"/>
            </w:tcBorders>
          </w:tcPr>
          <w:p w14:paraId="460EE27D" w14:textId="77777777" w:rsidR="00804491" w:rsidRDefault="00804491">
            <w:pPr>
              <w:kinsoku w:val="0"/>
              <w:overflowPunct w:val="0"/>
              <w:autoSpaceDE w:val="0"/>
              <w:autoSpaceDN w:val="0"/>
              <w:adjustRightInd w:val="0"/>
              <w:spacing w:before="6" w:after="0" w:line="240" w:lineRule="auto"/>
              <w:rPr>
                <w:rFonts w:ascii="Arial" w:hAnsi="Arial" w:cs="Arial"/>
                <w:b/>
                <w:bCs/>
                <w:sz w:val="16"/>
                <w:szCs w:val="16"/>
              </w:rPr>
            </w:pPr>
          </w:p>
          <w:p w14:paraId="4413AC1A" w14:textId="77777777" w:rsidR="00804491" w:rsidRDefault="00804491">
            <w:pPr>
              <w:kinsoku w:val="0"/>
              <w:overflowPunct w:val="0"/>
              <w:autoSpaceDE w:val="0"/>
              <w:autoSpaceDN w:val="0"/>
              <w:adjustRightInd w:val="0"/>
              <w:spacing w:after="0" w:line="240" w:lineRule="auto"/>
              <w:ind w:right="173"/>
              <w:jc w:val="right"/>
              <w:rPr>
                <w:rFonts w:ascii="Arial" w:hAnsi="Arial" w:cs="Arial"/>
                <w:b/>
                <w:bCs/>
                <w:sz w:val="16"/>
                <w:szCs w:val="16"/>
              </w:rPr>
            </w:pPr>
            <w:r>
              <w:rPr>
                <w:rFonts w:ascii="Arial" w:hAnsi="Arial" w:cs="Arial"/>
                <w:b/>
                <w:bCs/>
                <w:sz w:val="16"/>
                <w:szCs w:val="16"/>
              </w:rPr>
              <w:t>2016</w:t>
            </w:r>
          </w:p>
        </w:tc>
      </w:tr>
      <w:tr w:rsidR="00804491" w14:paraId="5DA33115" w14:textId="77777777" w:rsidTr="00804491">
        <w:trPr>
          <w:trHeight w:val="246"/>
        </w:trPr>
        <w:tc>
          <w:tcPr>
            <w:tcW w:w="2222" w:type="dxa"/>
            <w:tcBorders>
              <w:top w:val="single" w:sz="8" w:space="0" w:color="000000"/>
              <w:left w:val="nil"/>
              <w:bottom w:val="nil"/>
              <w:right w:val="nil"/>
            </w:tcBorders>
            <w:shd w:val="clear" w:color="auto" w:fill="C6D9F1" w:themeFill="text2" w:themeFillTint="33"/>
            <w:hideMark/>
          </w:tcPr>
          <w:p w14:paraId="3ADE06B7" w14:textId="77777777" w:rsidR="00804491" w:rsidRDefault="00804491">
            <w:pPr>
              <w:kinsoku w:val="0"/>
              <w:overflowPunct w:val="0"/>
              <w:autoSpaceDE w:val="0"/>
              <w:autoSpaceDN w:val="0"/>
              <w:adjustRightInd w:val="0"/>
              <w:spacing w:before="22" w:after="0" w:line="240" w:lineRule="auto"/>
              <w:ind w:left="43"/>
              <w:rPr>
                <w:rFonts w:ascii="Arial" w:hAnsi="Arial" w:cs="Arial"/>
                <w:sz w:val="16"/>
                <w:szCs w:val="16"/>
              </w:rPr>
            </w:pPr>
            <w:r>
              <w:rPr>
                <w:rFonts w:ascii="Arial" w:hAnsi="Arial" w:cs="Arial"/>
                <w:sz w:val="16"/>
                <w:szCs w:val="16"/>
              </w:rPr>
              <w:t>AXA XL</w:t>
            </w:r>
          </w:p>
        </w:tc>
        <w:tc>
          <w:tcPr>
            <w:tcW w:w="1414" w:type="dxa"/>
            <w:tcBorders>
              <w:top w:val="single" w:sz="8" w:space="0" w:color="000000"/>
              <w:left w:val="nil"/>
              <w:bottom w:val="nil"/>
              <w:right w:val="nil"/>
            </w:tcBorders>
            <w:shd w:val="clear" w:color="auto" w:fill="C6D9F1" w:themeFill="text2" w:themeFillTint="33"/>
            <w:hideMark/>
          </w:tcPr>
          <w:p w14:paraId="72B47F55" w14:textId="77777777" w:rsidR="00804491" w:rsidRDefault="00804491">
            <w:pPr>
              <w:kinsoku w:val="0"/>
              <w:overflowPunct w:val="0"/>
              <w:autoSpaceDE w:val="0"/>
              <w:autoSpaceDN w:val="0"/>
              <w:adjustRightInd w:val="0"/>
              <w:spacing w:before="22" w:after="0" w:line="240" w:lineRule="auto"/>
              <w:ind w:right="89"/>
              <w:jc w:val="right"/>
              <w:rPr>
                <w:rFonts w:ascii="Arial" w:hAnsi="Arial" w:cs="Arial"/>
                <w:sz w:val="16"/>
                <w:szCs w:val="16"/>
              </w:rPr>
            </w:pPr>
            <w:r>
              <w:rPr>
                <w:rFonts w:ascii="Arial" w:hAnsi="Arial" w:cs="Arial"/>
                <w:sz w:val="16"/>
                <w:szCs w:val="16"/>
              </w:rPr>
              <w:t>2,284</w:t>
            </w:r>
          </w:p>
        </w:tc>
        <w:tc>
          <w:tcPr>
            <w:tcW w:w="1297" w:type="dxa"/>
            <w:tcBorders>
              <w:top w:val="single" w:sz="8" w:space="0" w:color="000000"/>
              <w:left w:val="nil"/>
              <w:bottom w:val="nil"/>
              <w:right w:val="nil"/>
            </w:tcBorders>
            <w:shd w:val="clear" w:color="auto" w:fill="C6D9F1" w:themeFill="text2" w:themeFillTint="33"/>
            <w:hideMark/>
          </w:tcPr>
          <w:p w14:paraId="1185CC74" w14:textId="77777777" w:rsidR="00804491" w:rsidRDefault="00804491">
            <w:pPr>
              <w:kinsoku w:val="0"/>
              <w:overflowPunct w:val="0"/>
              <w:autoSpaceDE w:val="0"/>
              <w:autoSpaceDN w:val="0"/>
              <w:adjustRightInd w:val="0"/>
              <w:spacing w:before="22" w:after="0" w:line="240" w:lineRule="auto"/>
              <w:ind w:right="24"/>
              <w:jc w:val="right"/>
              <w:rPr>
                <w:rFonts w:ascii="Arial" w:hAnsi="Arial" w:cs="Arial"/>
                <w:sz w:val="16"/>
                <w:szCs w:val="16"/>
              </w:rPr>
            </w:pPr>
            <w:r>
              <w:rPr>
                <w:rFonts w:ascii="Arial" w:hAnsi="Arial" w:cs="Arial"/>
                <w:sz w:val="16"/>
                <w:szCs w:val="16"/>
              </w:rPr>
              <w:t>57.2</w:t>
            </w:r>
          </w:p>
        </w:tc>
        <w:tc>
          <w:tcPr>
            <w:tcW w:w="360" w:type="dxa"/>
            <w:tcBorders>
              <w:top w:val="single" w:sz="8" w:space="0" w:color="000000"/>
              <w:left w:val="nil"/>
              <w:bottom w:val="nil"/>
              <w:right w:val="nil"/>
            </w:tcBorders>
            <w:shd w:val="clear" w:color="auto" w:fill="C6D9F1" w:themeFill="text2" w:themeFillTint="33"/>
          </w:tcPr>
          <w:p w14:paraId="55013942" w14:textId="77777777" w:rsidR="00804491" w:rsidRDefault="00804491">
            <w:pPr>
              <w:kinsoku w:val="0"/>
              <w:overflowPunct w:val="0"/>
              <w:autoSpaceDE w:val="0"/>
              <w:autoSpaceDN w:val="0"/>
              <w:adjustRightInd w:val="0"/>
              <w:spacing w:after="0" w:line="240" w:lineRule="auto"/>
              <w:rPr>
                <w:rFonts w:ascii="Times New Roman" w:hAnsi="Times New Roman" w:cs="Times New Roman"/>
                <w:sz w:val="16"/>
                <w:szCs w:val="16"/>
              </w:rPr>
            </w:pPr>
          </w:p>
        </w:tc>
        <w:tc>
          <w:tcPr>
            <w:tcW w:w="579" w:type="dxa"/>
            <w:tcBorders>
              <w:top w:val="single" w:sz="8" w:space="0" w:color="000000"/>
              <w:left w:val="nil"/>
              <w:bottom w:val="nil"/>
              <w:right w:val="nil"/>
            </w:tcBorders>
            <w:shd w:val="clear" w:color="auto" w:fill="C6D9F1" w:themeFill="text2" w:themeFillTint="33"/>
            <w:hideMark/>
          </w:tcPr>
          <w:p w14:paraId="2AFE7EE1" w14:textId="77777777" w:rsidR="00804491" w:rsidRDefault="00804491">
            <w:pPr>
              <w:kinsoku w:val="0"/>
              <w:overflowPunct w:val="0"/>
              <w:autoSpaceDE w:val="0"/>
              <w:autoSpaceDN w:val="0"/>
              <w:adjustRightInd w:val="0"/>
              <w:spacing w:before="22" w:after="0" w:line="240" w:lineRule="auto"/>
              <w:ind w:right="178"/>
              <w:jc w:val="right"/>
              <w:rPr>
                <w:rFonts w:ascii="Arial" w:hAnsi="Arial" w:cs="Arial"/>
                <w:sz w:val="16"/>
                <w:szCs w:val="16"/>
              </w:rPr>
            </w:pPr>
            <w:r>
              <w:rPr>
                <w:rFonts w:ascii="Arial" w:hAnsi="Arial" w:cs="Arial"/>
                <w:color w:val="00B050"/>
                <w:sz w:val="16"/>
                <w:szCs w:val="16"/>
              </w:rPr>
              <w:t>57.6</w:t>
            </w:r>
          </w:p>
        </w:tc>
        <w:tc>
          <w:tcPr>
            <w:tcW w:w="669" w:type="dxa"/>
            <w:tcBorders>
              <w:top w:val="single" w:sz="8" w:space="0" w:color="000000"/>
              <w:left w:val="nil"/>
              <w:bottom w:val="nil"/>
              <w:right w:val="nil"/>
            </w:tcBorders>
            <w:shd w:val="clear" w:color="auto" w:fill="C6D9F1" w:themeFill="text2" w:themeFillTint="33"/>
            <w:hideMark/>
          </w:tcPr>
          <w:p w14:paraId="005658C8" w14:textId="77777777" w:rsidR="00804491" w:rsidRDefault="00804491">
            <w:pPr>
              <w:kinsoku w:val="0"/>
              <w:overflowPunct w:val="0"/>
              <w:autoSpaceDE w:val="0"/>
              <w:autoSpaceDN w:val="0"/>
              <w:adjustRightInd w:val="0"/>
              <w:spacing w:before="22" w:after="0" w:line="240" w:lineRule="auto"/>
              <w:ind w:right="178"/>
              <w:jc w:val="right"/>
              <w:rPr>
                <w:rFonts w:ascii="Arial" w:hAnsi="Arial" w:cs="Arial"/>
                <w:sz w:val="16"/>
                <w:szCs w:val="16"/>
              </w:rPr>
            </w:pPr>
            <w:r>
              <w:rPr>
                <w:rFonts w:ascii="Arial" w:hAnsi="Arial" w:cs="Arial"/>
                <w:sz w:val="16"/>
                <w:szCs w:val="16"/>
              </w:rPr>
              <w:t>67.5</w:t>
            </w:r>
          </w:p>
        </w:tc>
        <w:tc>
          <w:tcPr>
            <w:tcW w:w="581" w:type="dxa"/>
            <w:tcBorders>
              <w:top w:val="single" w:sz="8" w:space="0" w:color="000000"/>
              <w:left w:val="nil"/>
              <w:bottom w:val="nil"/>
              <w:right w:val="nil"/>
            </w:tcBorders>
            <w:shd w:val="clear" w:color="auto" w:fill="C6D9F1" w:themeFill="text2" w:themeFillTint="33"/>
            <w:hideMark/>
          </w:tcPr>
          <w:p w14:paraId="0B98985F" w14:textId="77777777" w:rsidR="00804491" w:rsidRDefault="00804491">
            <w:pPr>
              <w:kinsoku w:val="0"/>
              <w:overflowPunct w:val="0"/>
              <w:autoSpaceDE w:val="0"/>
              <w:autoSpaceDN w:val="0"/>
              <w:adjustRightInd w:val="0"/>
              <w:spacing w:before="22" w:after="0" w:line="240" w:lineRule="auto"/>
              <w:ind w:right="178"/>
              <w:jc w:val="right"/>
              <w:rPr>
                <w:rFonts w:ascii="Arial" w:hAnsi="Arial" w:cs="Arial"/>
                <w:sz w:val="16"/>
                <w:szCs w:val="16"/>
              </w:rPr>
            </w:pPr>
            <w:r>
              <w:rPr>
                <w:rFonts w:ascii="Arial" w:hAnsi="Arial" w:cs="Arial"/>
                <w:sz w:val="16"/>
                <w:szCs w:val="16"/>
              </w:rPr>
              <w:t>71.6</w:t>
            </w:r>
          </w:p>
        </w:tc>
        <w:tc>
          <w:tcPr>
            <w:tcW w:w="669" w:type="dxa"/>
            <w:tcBorders>
              <w:top w:val="single" w:sz="8" w:space="0" w:color="000000"/>
              <w:left w:val="nil"/>
              <w:bottom w:val="nil"/>
              <w:right w:val="nil"/>
            </w:tcBorders>
            <w:shd w:val="clear" w:color="auto" w:fill="C6D9F1" w:themeFill="text2" w:themeFillTint="33"/>
            <w:hideMark/>
          </w:tcPr>
          <w:p w14:paraId="781A3253" w14:textId="77777777" w:rsidR="00804491" w:rsidRDefault="00804491">
            <w:pPr>
              <w:kinsoku w:val="0"/>
              <w:overflowPunct w:val="0"/>
              <w:autoSpaceDE w:val="0"/>
              <w:autoSpaceDN w:val="0"/>
              <w:adjustRightInd w:val="0"/>
              <w:spacing w:before="22" w:after="0" w:line="240" w:lineRule="auto"/>
              <w:ind w:right="178"/>
              <w:jc w:val="right"/>
              <w:rPr>
                <w:rFonts w:ascii="Arial" w:hAnsi="Arial" w:cs="Arial"/>
                <w:sz w:val="16"/>
                <w:szCs w:val="16"/>
              </w:rPr>
            </w:pPr>
            <w:r>
              <w:rPr>
                <w:rFonts w:ascii="Arial" w:hAnsi="Arial" w:cs="Arial"/>
                <w:sz w:val="16"/>
                <w:szCs w:val="16"/>
              </w:rPr>
              <w:t>75.7</w:t>
            </w:r>
          </w:p>
        </w:tc>
        <w:tc>
          <w:tcPr>
            <w:tcW w:w="669" w:type="dxa"/>
            <w:tcBorders>
              <w:top w:val="single" w:sz="8" w:space="0" w:color="000000"/>
              <w:left w:val="nil"/>
              <w:bottom w:val="nil"/>
              <w:right w:val="nil"/>
            </w:tcBorders>
            <w:shd w:val="clear" w:color="auto" w:fill="C6D9F1" w:themeFill="text2" w:themeFillTint="33"/>
            <w:hideMark/>
          </w:tcPr>
          <w:p w14:paraId="2009A31D" w14:textId="77777777" w:rsidR="00804491" w:rsidRDefault="00804491">
            <w:pPr>
              <w:kinsoku w:val="0"/>
              <w:overflowPunct w:val="0"/>
              <w:autoSpaceDE w:val="0"/>
              <w:autoSpaceDN w:val="0"/>
              <w:adjustRightInd w:val="0"/>
              <w:spacing w:before="22" w:after="0" w:line="240" w:lineRule="auto"/>
              <w:ind w:right="178"/>
              <w:jc w:val="right"/>
              <w:rPr>
                <w:rFonts w:ascii="Arial" w:hAnsi="Arial" w:cs="Arial"/>
                <w:sz w:val="16"/>
                <w:szCs w:val="16"/>
              </w:rPr>
            </w:pPr>
            <w:r>
              <w:rPr>
                <w:rFonts w:ascii="Arial" w:hAnsi="Arial" w:cs="Arial"/>
                <w:sz w:val="16"/>
                <w:szCs w:val="16"/>
              </w:rPr>
              <w:t>61.2</w:t>
            </w:r>
          </w:p>
        </w:tc>
        <w:tc>
          <w:tcPr>
            <w:tcW w:w="669" w:type="dxa"/>
            <w:tcBorders>
              <w:top w:val="single" w:sz="8" w:space="0" w:color="000000"/>
              <w:left w:val="nil"/>
              <w:bottom w:val="nil"/>
              <w:right w:val="nil"/>
            </w:tcBorders>
            <w:shd w:val="clear" w:color="auto" w:fill="C6D9F1" w:themeFill="text2" w:themeFillTint="33"/>
            <w:hideMark/>
          </w:tcPr>
          <w:p w14:paraId="2CC35BBD" w14:textId="77777777" w:rsidR="00804491" w:rsidRDefault="00804491">
            <w:pPr>
              <w:kinsoku w:val="0"/>
              <w:overflowPunct w:val="0"/>
              <w:autoSpaceDE w:val="0"/>
              <w:autoSpaceDN w:val="0"/>
              <w:adjustRightInd w:val="0"/>
              <w:spacing w:before="22" w:after="0" w:line="240" w:lineRule="auto"/>
              <w:ind w:right="178"/>
              <w:jc w:val="right"/>
              <w:rPr>
                <w:rFonts w:ascii="Arial" w:hAnsi="Arial" w:cs="Arial"/>
                <w:sz w:val="16"/>
                <w:szCs w:val="16"/>
              </w:rPr>
            </w:pPr>
            <w:r>
              <w:rPr>
                <w:rFonts w:ascii="Arial" w:hAnsi="Arial" w:cs="Arial"/>
                <w:sz w:val="16"/>
                <w:szCs w:val="16"/>
              </w:rPr>
              <w:t>59.2</w:t>
            </w:r>
          </w:p>
        </w:tc>
      </w:tr>
      <w:tr w:rsidR="00804491" w14:paraId="64771140" w14:textId="77777777" w:rsidTr="00804491">
        <w:trPr>
          <w:trHeight w:val="251"/>
        </w:trPr>
        <w:tc>
          <w:tcPr>
            <w:tcW w:w="2222" w:type="dxa"/>
            <w:tcBorders>
              <w:top w:val="nil"/>
              <w:left w:val="nil"/>
              <w:bottom w:val="nil"/>
              <w:right w:val="nil"/>
            </w:tcBorders>
            <w:hideMark/>
          </w:tcPr>
          <w:p w14:paraId="589EE126" w14:textId="77777777" w:rsidR="00804491" w:rsidRDefault="00804491">
            <w:pPr>
              <w:kinsoku w:val="0"/>
              <w:overflowPunct w:val="0"/>
              <w:autoSpaceDE w:val="0"/>
              <w:autoSpaceDN w:val="0"/>
              <w:adjustRightInd w:val="0"/>
              <w:spacing w:before="30" w:after="0" w:line="240" w:lineRule="auto"/>
              <w:ind w:left="43"/>
              <w:rPr>
                <w:rFonts w:ascii="Arial" w:hAnsi="Arial" w:cs="Arial"/>
                <w:sz w:val="16"/>
                <w:szCs w:val="16"/>
              </w:rPr>
            </w:pPr>
            <w:r>
              <w:rPr>
                <w:rFonts w:ascii="Arial" w:hAnsi="Arial" w:cs="Arial"/>
                <w:sz w:val="16"/>
                <w:szCs w:val="16"/>
              </w:rPr>
              <w:t>Chubb</w:t>
            </w:r>
          </w:p>
        </w:tc>
        <w:tc>
          <w:tcPr>
            <w:tcW w:w="1414" w:type="dxa"/>
            <w:tcBorders>
              <w:top w:val="nil"/>
              <w:left w:val="nil"/>
              <w:bottom w:val="nil"/>
              <w:right w:val="nil"/>
            </w:tcBorders>
            <w:hideMark/>
          </w:tcPr>
          <w:p w14:paraId="62304592" w14:textId="77777777" w:rsidR="00804491" w:rsidRDefault="00804491">
            <w:pPr>
              <w:kinsoku w:val="0"/>
              <w:overflowPunct w:val="0"/>
              <w:autoSpaceDE w:val="0"/>
              <w:autoSpaceDN w:val="0"/>
              <w:adjustRightInd w:val="0"/>
              <w:spacing w:before="30" w:after="0" w:line="240" w:lineRule="auto"/>
              <w:ind w:right="89"/>
              <w:jc w:val="right"/>
              <w:rPr>
                <w:rFonts w:ascii="Arial" w:hAnsi="Arial" w:cs="Arial"/>
                <w:sz w:val="16"/>
                <w:szCs w:val="16"/>
              </w:rPr>
            </w:pPr>
            <w:r>
              <w:rPr>
                <w:rFonts w:ascii="Arial" w:hAnsi="Arial" w:cs="Arial"/>
                <w:sz w:val="16"/>
                <w:szCs w:val="16"/>
              </w:rPr>
              <w:t>1,357</w:t>
            </w:r>
          </w:p>
        </w:tc>
        <w:tc>
          <w:tcPr>
            <w:tcW w:w="1297" w:type="dxa"/>
            <w:tcBorders>
              <w:top w:val="nil"/>
              <w:left w:val="nil"/>
              <w:bottom w:val="nil"/>
              <w:right w:val="nil"/>
            </w:tcBorders>
            <w:hideMark/>
          </w:tcPr>
          <w:p w14:paraId="70E9D8EA" w14:textId="77777777" w:rsidR="00804491" w:rsidRDefault="00804491">
            <w:pPr>
              <w:kinsoku w:val="0"/>
              <w:overflowPunct w:val="0"/>
              <w:autoSpaceDE w:val="0"/>
              <w:autoSpaceDN w:val="0"/>
              <w:adjustRightInd w:val="0"/>
              <w:spacing w:before="30" w:after="0" w:line="240" w:lineRule="auto"/>
              <w:ind w:right="25"/>
              <w:jc w:val="right"/>
              <w:rPr>
                <w:rFonts w:ascii="Arial" w:hAnsi="Arial" w:cs="Arial"/>
                <w:sz w:val="16"/>
                <w:szCs w:val="16"/>
              </w:rPr>
            </w:pPr>
            <w:r>
              <w:rPr>
                <w:rFonts w:ascii="Arial" w:hAnsi="Arial" w:cs="Arial"/>
                <w:sz w:val="16"/>
                <w:szCs w:val="16"/>
              </w:rPr>
              <w:t>24.8</w:t>
            </w:r>
          </w:p>
        </w:tc>
        <w:tc>
          <w:tcPr>
            <w:tcW w:w="360" w:type="dxa"/>
            <w:tcBorders>
              <w:top w:val="nil"/>
              <w:left w:val="nil"/>
              <w:bottom w:val="nil"/>
              <w:right w:val="nil"/>
            </w:tcBorders>
          </w:tcPr>
          <w:p w14:paraId="563371E8" w14:textId="77777777" w:rsidR="00804491" w:rsidRDefault="00804491">
            <w:pPr>
              <w:kinsoku w:val="0"/>
              <w:overflowPunct w:val="0"/>
              <w:autoSpaceDE w:val="0"/>
              <w:autoSpaceDN w:val="0"/>
              <w:adjustRightInd w:val="0"/>
              <w:spacing w:after="0" w:line="240" w:lineRule="auto"/>
              <w:rPr>
                <w:rFonts w:ascii="Times New Roman" w:hAnsi="Times New Roman" w:cs="Times New Roman"/>
                <w:sz w:val="16"/>
                <w:szCs w:val="16"/>
              </w:rPr>
            </w:pPr>
          </w:p>
        </w:tc>
        <w:tc>
          <w:tcPr>
            <w:tcW w:w="579" w:type="dxa"/>
            <w:tcBorders>
              <w:top w:val="nil"/>
              <w:left w:val="nil"/>
              <w:bottom w:val="nil"/>
              <w:right w:val="nil"/>
            </w:tcBorders>
            <w:hideMark/>
          </w:tcPr>
          <w:p w14:paraId="0EA5B683" w14:textId="77777777" w:rsidR="00804491" w:rsidRDefault="00804491">
            <w:pPr>
              <w:kinsoku w:val="0"/>
              <w:overflowPunct w:val="0"/>
              <w:autoSpaceDE w:val="0"/>
              <w:autoSpaceDN w:val="0"/>
              <w:adjustRightInd w:val="0"/>
              <w:spacing w:before="30" w:after="0" w:line="240" w:lineRule="auto"/>
              <w:ind w:right="178"/>
              <w:jc w:val="right"/>
              <w:rPr>
                <w:rFonts w:ascii="Arial" w:hAnsi="Arial" w:cs="Arial"/>
                <w:sz w:val="16"/>
                <w:szCs w:val="16"/>
              </w:rPr>
            </w:pPr>
            <w:r>
              <w:rPr>
                <w:rFonts w:ascii="Arial" w:hAnsi="Arial" w:cs="Arial"/>
                <w:color w:val="00B050"/>
                <w:sz w:val="16"/>
                <w:szCs w:val="16"/>
              </w:rPr>
              <w:t>48.5</w:t>
            </w:r>
          </w:p>
        </w:tc>
        <w:tc>
          <w:tcPr>
            <w:tcW w:w="669" w:type="dxa"/>
            <w:tcBorders>
              <w:top w:val="nil"/>
              <w:left w:val="nil"/>
              <w:bottom w:val="nil"/>
              <w:right w:val="nil"/>
            </w:tcBorders>
            <w:hideMark/>
          </w:tcPr>
          <w:p w14:paraId="06578248" w14:textId="77777777" w:rsidR="00804491" w:rsidRDefault="00804491">
            <w:pPr>
              <w:kinsoku w:val="0"/>
              <w:overflowPunct w:val="0"/>
              <w:autoSpaceDE w:val="0"/>
              <w:autoSpaceDN w:val="0"/>
              <w:adjustRightInd w:val="0"/>
              <w:spacing w:before="30" w:after="0" w:line="240" w:lineRule="auto"/>
              <w:ind w:right="178"/>
              <w:jc w:val="right"/>
              <w:rPr>
                <w:rFonts w:ascii="Arial" w:hAnsi="Arial" w:cs="Arial"/>
                <w:sz w:val="16"/>
                <w:szCs w:val="16"/>
              </w:rPr>
            </w:pPr>
            <w:r>
              <w:rPr>
                <w:rFonts w:ascii="Arial" w:hAnsi="Arial" w:cs="Arial"/>
                <w:sz w:val="16"/>
                <w:szCs w:val="16"/>
              </w:rPr>
              <w:t>88.5</w:t>
            </w:r>
          </w:p>
        </w:tc>
        <w:tc>
          <w:tcPr>
            <w:tcW w:w="581" w:type="dxa"/>
            <w:tcBorders>
              <w:top w:val="nil"/>
              <w:left w:val="nil"/>
              <w:bottom w:val="nil"/>
              <w:right w:val="nil"/>
            </w:tcBorders>
            <w:hideMark/>
          </w:tcPr>
          <w:p w14:paraId="662DAA98" w14:textId="77777777" w:rsidR="00804491" w:rsidRDefault="00804491">
            <w:pPr>
              <w:kinsoku w:val="0"/>
              <w:overflowPunct w:val="0"/>
              <w:autoSpaceDE w:val="0"/>
              <w:autoSpaceDN w:val="0"/>
              <w:adjustRightInd w:val="0"/>
              <w:spacing w:before="30" w:after="0" w:line="240" w:lineRule="auto"/>
              <w:ind w:right="178"/>
              <w:jc w:val="right"/>
              <w:rPr>
                <w:rFonts w:ascii="Arial" w:hAnsi="Arial" w:cs="Arial"/>
                <w:sz w:val="16"/>
                <w:szCs w:val="16"/>
              </w:rPr>
            </w:pPr>
            <w:r>
              <w:rPr>
                <w:rFonts w:ascii="Arial" w:hAnsi="Arial" w:cs="Arial"/>
                <w:sz w:val="16"/>
                <w:szCs w:val="16"/>
              </w:rPr>
              <w:t>67.0</w:t>
            </w:r>
          </w:p>
        </w:tc>
        <w:tc>
          <w:tcPr>
            <w:tcW w:w="669" w:type="dxa"/>
            <w:tcBorders>
              <w:top w:val="nil"/>
              <w:left w:val="nil"/>
              <w:bottom w:val="nil"/>
              <w:right w:val="nil"/>
            </w:tcBorders>
            <w:hideMark/>
          </w:tcPr>
          <w:p w14:paraId="00F66A08" w14:textId="77777777" w:rsidR="00804491" w:rsidRDefault="00804491">
            <w:pPr>
              <w:kinsoku w:val="0"/>
              <w:overflowPunct w:val="0"/>
              <w:autoSpaceDE w:val="0"/>
              <w:autoSpaceDN w:val="0"/>
              <w:adjustRightInd w:val="0"/>
              <w:spacing w:before="30" w:after="0" w:line="240" w:lineRule="auto"/>
              <w:ind w:right="178"/>
              <w:jc w:val="right"/>
              <w:rPr>
                <w:rFonts w:ascii="Arial" w:hAnsi="Arial" w:cs="Arial"/>
                <w:sz w:val="16"/>
                <w:szCs w:val="16"/>
              </w:rPr>
            </w:pPr>
            <w:r>
              <w:rPr>
                <w:rFonts w:ascii="Arial" w:hAnsi="Arial" w:cs="Arial"/>
                <w:sz w:val="16"/>
                <w:szCs w:val="16"/>
              </w:rPr>
              <w:t>57.5</w:t>
            </w:r>
          </w:p>
        </w:tc>
        <w:tc>
          <w:tcPr>
            <w:tcW w:w="669" w:type="dxa"/>
            <w:tcBorders>
              <w:top w:val="nil"/>
              <w:left w:val="nil"/>
              <w:bottom w:val="nil"/>
              <w:right w:val="nil"/>
            </w:tcBorders>
            <w:hideMark/>
          </w:tcPr>
          <w:p w14:paraId="084E5C19" w14:textId="77777777" w:rsidR="00804491" w:rsidRDefault="00804491">
            <w:pPr>
              <w:kinsoku w:val="0"/>
              <w:overflowPunct w:val="0"/>
              <w:autoSpaceDE w:val="0"/>
              <w:autoSpaceDN w:val="0"/>
              <w:adjustRightInd w:val="0"/>
              <w:spacing w:before="30" w:after="0" w:line="240" w:lineRule="auto"/>
              <w:ind w:right="178"/>
              <w:jc w:val="right"/>
              <w:rPr>
                <w:rFonts w:ascii="Arial" w:hAnsi="Arial" w:cs="Arial"/>
                <w:sz w:val="16"/>
                <w:szCs w:val="16"/>
              </w:rPr>
            </w:pPr>
            <w:r>
              <w:rPr>
                <w:rFonts w:ascii="Arial" w:hAnsi="Arial" w:cs="Arial"/>
                <w:sz w:val="16"/>
                <w:szCs w:val="16"/>
              </w:rPr>
              <w:t>65.4</w:t>
            </w:r>
          </w:p>
        </w:tc>
        <w:tc>
          <w:tcPr>
            <w:tcW w:w="669" w:type="dxa"/>
            <w:tcBorders>
              <w:top w:val="nil"/>
              <w:left w:val="nil"/>
              <w:bottom w:val="nil"/>
              <w:right w:val="nil"/>
            </w:tcBorders>
            <w:hideMark/>
          </w:tcPr>
          <w:p w14:paraId="412FDE7C" w14:textId="77777777" w:rsidR="00804491" w:rsidRDefault="00804491">
            <w:pPr>
              <w:kinsoku w:val="0"/>
              <w:overflowPunct w:val="0"/>
              <w:autoSpaceDE w:val="0"/>
              <w:autoSpaceDN w:val="0"/>
              <w:adjustRightInd w:val="0"/>
              <w:spacing w:before="30" w:after="0" w:line="240" w:lineRule="auto"/>
              <w:ind w:right="178"/>
              <w:jc w:val="right"/>
              <w:rPr>
                <w:rFonts w:ascii="Arial" w:hAnsi="Arial" w:cs="Arial"/>
                <w:sz w:val="16"/>
                <w:szCs w:val="16"/>
              </w:rPr>
            </w:pPr>
            <w:r>
              <w:rPr>
                <w:rFonts w:ascii="Arial" w:hAnsi="Arial" w:cs="Arial"/>
                <w:sz w:val="16"/>
                <w:szCs w:val="16"/>
              </w:rPr>
              <w:t>54.5</w:t>
            </w:r>
          </w:p>
        </w:tc>
      </w:tr>
      <w:tr w:rsidR="00804491" w14:paraId="2405FD25" w14:textId="77777777" w:rsidTr="00804491">
        <w:trPr>
          <w:trHeight w:val="256"/>
        </w:trPr>
        <w:tc>
          <w:tcPr>
            <w:tcW w:w="2222" w:type="dxa"/>
            <w:tcBorders>
              <w:top w:val="nil"/>
              <w:left w:val="nil"/>
              <w:bottom w:val="nil"/>
              <w:right w:val="nil"/>
            </w:tcBorders>
            <w:shd w:val="clear" w:color="auto" w:fill="C6D9F1" w:themeFill="text2" w:themeFillTint="33"/>
            <w:hideMark/>
          </w:tcPr>
          <w:p w14:paraId="46DDB072" w14:textId="77777777" w:rsidR="00804491" w:rsidRDefault="00804491">
            <w:pPr>
              <w:kinsoku w:val="0"/>
              <w:overflowPunct w:val="0"/>
              <w:autoSpaceDE w:val="0"/>
              <w:autoSpaceDN w:val="0"/>
              <w:adjustRightInd w:val="0"/>
              <w:spacing w:before="32" w:after="0" w:line="240" w:lineRule="auto"/>
              <w:ind w:left="43"/>
              <w:rPr>
                <w:rFonts w:ascii="Arial" w:hAnsi="Arial" w:cs="Arial"/>
                <w:sz w:val="16"/>
                <w:szCs w:val="16"/>
              </w:rPr>
            </w:pPr>
            <w:r>
              <w:rPr>
                <w:rFonts w:ascii="Arial" w:hAnsi="Arial" w:cs="Arial"/>
                <w:sz w:val="16"/>
                <w:szCs w:val="16"/>
              </w:rPr>
              <w:t>American</w:t>
            </w:r>
            <w:r>
              <w:rPr>
                <w:rFonts w:ascii="Arial" w:hAnsi="Arial" w:cs="Arial"/>
                <w:spacing w:val="-1"/>
                <w:sz w:val="16"/>
                <w:szCs w:val="16"/>
              </w:rPr>
              <w:t xml:space="preserve"> </w:t>
            </w:r>
            <w:r>
              <w:rPr>
                <w:rFonts w:ascii="Arial" w:hAnsi="Arial" w:cs="Arial"/>
                <w:sz w:val="16"/>
                <w:szCs w:val="16"/>
              </w:rPr>
              <w:t>International</w:t>
            </w:r>
            <w:r>
              <w:rPr>
                <w:rFonts w:ascii="Arial" w:hAnsi="Arial" w:cs="Arial"/>
                <w:spacing w:val="1"/>
                <w:sz w:val="16"/>
                <w:szCs w:val="16"/>
              </w:rPr>
              <w:t xml:space="preserve"> </w:t>
            </w:r>
            <w:r>
              <w:rPr>
                <w:rFonts w:ascii="Arial" w:hAnsi="Arial" w:cs="Arial"/>
                <w:sz w:val="16"/>
                <w:szCs w:val="16"/>
              </w:rPr>
              <w:t>Group</w:t>
            </w:r>
          </w:p>
        </w:tc>
        <w:tc>
          <w:tcPr>
            <w:tcW w:w="1414" w:type="dxa"/>
            <w:tcBorders>
              <w:top w:val="nil"/>
              <w:left w:val="nil"/>
              <w:bottom w:val="nil"/>
              <w:right w:val="nil"/>
            </w:tcBorders>
            <w:shd w:val="clear" w:color="auto" w:fill="C6D9F1" w:themeFill="text2" w:themeFillTint="33"/>
            <w:hideMark/>
          </w:tcPr>
          <w:p w14:paraId="41C6EA58" w14:textId="77777777" w:rsidR="00804491" w:rsidRDefault="00804491">
            <w:pPr>
              <w:kinsoku w:val="0"/>
              <w:overflowPunct w:val="0"/>
              <w:autoSpaceDE w:val="0"/>
              <w:autoSpaceDN w:val="0"/>
              <w:adjustRightInd w:val="0"/>
              <w:spacing w:before="32" w:after="0" w:line="240" w:lineRule="auto"/>
              <w:ind w:right="89"/>
              <w:jc w:val="right"/>
              <w:rPr>
                <w:rFonts w:ascii="Arial" w:hAnsi="Arial" w:cs="Arial"/>
                <w:sz w:val="16"/>
                <w:szCs w:val="16"/>
              </w:rPr>
            </w:pPr>
            <w:r>
              <w:rPr>
                <w:rFonts w:ascii="Arial" w:hAnsi="Arial" w:cs="Arial"/>
                <w:sz w:val="16"/>
                <w:szCs w:val="16"/>
              </w:rPr>
              <w:t>1,208</w:t>
            </w:r>
          </w:p>
        </w:tc>
        <w:tc>
          <w:tcPr>
            <w:tcW w:w="1297" w:type="dxa"/>
            <w:tcBorders>
              <w:top w:val="nil"/>
              <w:left w:val="nil"/>
              <w:bottom w:val="nil"/>
              <w:right w:val="nil"/>
            </w:tcBorders>
            <w:shd w:val="clear" w:color="auto" w:fill="C6D9F1" w:themeFill="text2" w:themeFillTint="33"/>
            <w:hideMark/>
          </w:tcPr>
          <w:p w14:paraId="0718FF26" w14:textId="77777777" w:rsidR="00804491" w:rsidRDefault="00804491">
            <w:pPr>
              <w:kinsoku w:val="0"/>
              <w:overflowPunct w:val="0"/>
              <w:autoSpaceDE w:val="0"/>
              <w:autoSpaceDN w:val="0"/>
              <w:adjustRightInd w:val="0"/>
              <w:spacing w:before="32" w:after="0" w:line="240" w:lineRule="auto"/>
              <w:ind w:right="25"/>
              <w:jc w:val="right"/>
              <w:rPr>
                <w:rFonts w:ascii="Arial" w:hAnsi="Arial" w:cs="Arial"/>
                <w:sz w:val="16"/>
                <w:szCs w:val="16"/>
              </w:rPr>
            </w:pPr>
            <w:r>
              <w:rPr>
                <w:rFonts w:ascii="Arial" w:hAnsi="Arial" w:cs="Arial"/>
                <w:sz w:val="16"/>
                <w:szCs w:val="16"/>
              </w:rPr>
              <w:t>23.1</w:t>
            </w:r>
          </w:p>
        </w:tc>
        <w:tc>
          <w:tcPr>
            <w:tcW w:w="360" w:type="dxa"/>
            <w:tcBorders>
              <w:top w:val="nil"/>
              <w:left w:val="nil"/>
              <w:bottom w:val="nil"/>
              <w:right w:val="nil"/>
            </w:tcBorders>
            <w:shd w:val="clear" w:color="auto" w:fill="C6D9F1" w:themeFill="text2" w:themeFillTint="33"/>
          </w:tcPr>
          <w:p w14:paraId="65010BBA" w14:textId="77777777" w:rsidR="00804491" w:rsidRDefault="00804491">
            <w:pPr>
              <w:kinsoku w:val="0"/>
              <w:overflowPunct w:val="0"/>
              <w:autoSpaceDE w:val="0"/>
              <w:autoSpaceDN w:val="0"/>
              <w:adjustRightInd w:val="0"/>
              <w:spacing w:after="0" w:line="240" w:lineRule="auto"/>
              <w:rPr>
                <w:rFonts w:ascii="Times New Roman" w:hAnsi="Times New Roman" w:cs="Times New Roman"/>
                <w:sz w:val="16"/>
                <w:szCs w:val="16"/>
              </w:rPr>
            </w:pPr>
          </w:p>
        </w:tc>
        <w:tc>
          <w:tcPr>
            <w:tcW w:w="579" w:type="dxa"/>
            <w:tcBorders>
              <w:top w:val="nil"/>
              <w:left w:val="nil"/>
              <w:bottom w:val="nil"/>
              <w:right w:val="nil"/>
            </w:tcBorders>
            <w:shd w:val="clear" w:color="auto" w:fill="C6D9F1" w:themeFill="text2" w:themeFillTint="33"/>
            <w:hideMark/>
          </w:tcPr>
          <w:p w14:paraId="742BBDE0"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color w:val="00B050"/>
                <w:sz w:val="16"/>
                <w:szCs w:val="16"/>
              </w:rPr>
              <w:t>62.8</w:t>
            </w:r>
          </w:p>
        </w:tc>
        <w:tc>
          <w:tcPr>
            <w:tcW w:w="669" w:type="dxa"/>
            <w:tcBorders>
              <w:top w:val="nil"/>
              <w:left w:val="nil"/>
              <w:bottom w:val="nil"/>
              <w:right w:val="nil"/>
            </w:tcBorders>
            <w:shd w:val="clear" w:color="auto" w:fill="C6D9F1" w:themeFill="text2" w:themeFillTint="33"/>
            <w:hideMark/>
          </w:tcPr>
          <w:p w14:paraId="4D203C60"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sz w:val="16"/>
                <w:szCs w:val="16"/>
              </w:rPr>
              <w:t>73.8</w:t>
            </w:r>
          </w:p>
        </w:tc>
        <w:tc>
          <w:tcPr>
            <w:tcW w:w="581" w:type="dxa"/>
            <w:tcBorders>
              <w:top w:val="nil"/>
              <w:left w:val="nil"/>
              <w:bottom w:val="nil"/>
              <w:right w:val="nil"/>
            </w:tcBorders>
            <w:shd w:val="clear" w:color="auto" w:fill="C6D9F1" w:themeFill="text2" w:themeFillTint="33"/>
            <w:hideMark/>
          </w:tcPr>
          <w:p w14:paraId="68B90E68"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sz w:val="16"/>
                <w:szCs w:val="16"/>
              </w:rPr>
              <w:t>86.8</w:t>
            </w:r>
          </w:p>
        </w:tc>
        <w:tc>
          <w:tcPr>
            <w:tcW w:w="669" w:type="dxa"/>
            <w:tcBorders>
              <w:top w:val="nil"/>
              <w:left w:val="nil"/>
              <w:bottom w:val="nil"/>
              <w:right w:val="nil"/>
            </w:tcBorders>
            <w:shd w:val="clear" w:color="auto" w:fill="C6D9F1" w:themeFill="text2" w:themeFillTint="33"/>
            <w:hideMark/>
          </w:tcPr>
          <w:p w14:paraId="1E6A9C53"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sz w:val="16"/>
                <w:szCs w:val="16"/>
              </w:rPr>
              <w:t>96.7</w:t>
            </w:r>
          </w:p>
        </w:tc>
        <w:tc>
          <w:tcPr>
            <w:tcW w:w="669" w:type="dxa"/>
            <w:tcBorders>
              <w:top w:val="nil"/>
              <w:left w:val="nil"/>
              <w:bottom w:val="nil"/>
              <w:right w:val="nil"/>
            </w:tcBorders>
            <w:shd w:val="clear" w:color="auto" w:fill="C6D9F1" w:themeFill="text2" w:themeFillTint="33"/>
            <w:hideMark/>
          </w:tcPr>
          <w:p w14:paraId="7AFBEF3F"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sz w:val="16"/>
                <w:szCs w:val="16"/>
              </w:rPr>
              <w:t>112.8</w:t>
            </w:r>
          </w:p>
        </w:tc>
        <w:tc>
          <w:tcPr>
            <w:tcW w:w="669" w:type="dxa"/>
            <w:tcBorders>
              <w:top w:val="nil"/>
              <w:left w:val="nil"/>
              <w:bottom w:val="nil"/>
              <w:right w:val="nil"/>
            </w:tcBorders>
            <w:shd w:val="clear" w:color="auto" w:fill="C6D9F1" w:themeFill="text2" w:themeFillTint="33"/>
            <w:hideMark/>
          </w:tcPr>
          <w:p w14:paraId="2E162E96"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sz w:val="16"/>
                <w:szCs w:val="16"/>
              </w:rPr>
              <w:t>93.1</w:t>
            </w:r>
          </w:p>
        </w:tc>
      </w:tr>
      <w:tr w:rsidR="00804491" w14:paraId="0395D7B1" w14:textId="77777777" w:rsidTr="00804491">
        <w:trPr>
          <w:trHeight w:val="251"/>
        </w:trPr>
        <w:tc>
          <w:tcPr>
            <w:tcW w:w="2222" w:type="dxa"/>
            <w:tcBorders>
              <w:top w:val="nil"/>
              <w:left w:val="nil"/>
              <w:bottom w:val="nil"/>
              <w:right w:val="nil"/>
            </w:tcBorders>
            <w:hideMark/>
          </w:tcPr>
          <w:p w14:paraId="14CD4751" w14:textId="77777777" w:rsidR="00804491" w:rsidRDefault="00804491">
            <w:pPr>
              <w:kinsoku w:val="0"/>
              <w:overflowPunct w:val="0"/>
              <w:autoSpaceDE w:val="0"/>
              <w:autoSpaceDN w:val="0"/>
              <w:adjustRightInd w:val="0"/>
              <w:spacing w:before="30" w:after="0" w:line="240" w:lineRule="auto"/>
              <w:ind w:left="43"/>
              <w:rPr>
                <w:rFonts w:ascii="Arial" w:hAnsi="Arial" w:cs="Arial"/>
                <w:sz w:val="16"/>
                <w:szCs w:val="16"/>
              </w:rPr>
            </w:pPr>
            <w:r>
              <w:rPr>
                <w:rFonts w:ascii="Arial" w:hAnsi="Arial" w:cs="Arial"/>
                <w:sz w:val="16"/>
                <w:szCs w:val="16"/>
              </w:rPr>
              <w:t>Tokio</w:t>
            </w:r>
            <w:r>
              <w:rPr>
                <w:rFonts w:ascii="Arial" w:hAnsi="Arial" w:cs="Arial"/>
                <w:spacing w:val="-1"/>
                <w:sz w:val="16"/>
                <w:szCs w:val="16"/>
              </w:rPr>
              <w:t xml:space="preserve"> </w:t>
            </w:r>
            <w:r>
              <w:rPr>
                <w:rFonts w:ascii="Arial" w:hAnsi="Arial" w:cs="Arial"/>
                <w:sz w:val="16"/>
                <w:szCs w:val="16"/>
              </w:rPr>
              <w:t xml:space="preserve">Marine </w:t>
            </w:r>
            <w:r>
              <w:rPr>
                <w:rFonts w:ascii="Arial" w:hAnsi="Arial" w:cs="Arial"/>
                <w:spacing w:val="1"/>
                <w:sz w:val="16"/>
                <w:szCs w:val="16"/>
              </w:rPr>
              <w:t>(HCC)</w:t>
            </w:r>
          </w:p>
        </w:tc>
        <w:tc>
          <w:tcPr>
            <w:tcW w:w="1414" w:type="dxa"/>
            <w:tcBorders>
              <w:top w:val="nil"/>
              <w:left w:val="nil"/>
              <w:bottom w:val="nil"/>
              <w:right w:val="nil"/>
            </w:tcBorders>
            <w:hideMark/>
          </w:tcPr>
          <w:p w14:paraId="22359DDC" w14:textId="77777777" w:rsidR="00804491" w:rsidRDefault="00804491">
            <w:pPr>
              <w:kinsoku w:val="0"/>
              <w:overflowPunct w:val="0"/>
              <w:autoSpaceDE w:val="0"/>
              <w:autoSpaceDN w:val="0"/>
              <w:adjustRightInd w:val="0"/>
              <w:spacing w:before="30" w:after="0" w:line="240" w:lineRule="auto"/>
              <w:ind w:right="89"/>
              <w:jc w:val="right"/>
              <w:rPr>
                <w:rFonts w:ascii="Arial" w:hAnsi="Arial" w:cs="Arial"/>
                <w:sz w:val="16"/>
                <w:szCs w:val="16"/>
              </w:rPr>
            </w:pPr>
            <w:r>
              <w:rPr>
                <w:rFonts w:ascii="Arial" w:hAnsi="Arial" w:cs="Arial"/>
                <w:sz w:val="16"/>
                <w:szCs w:val="16"/>
              </w:rPr>
              <w:t>971</w:t>
            </w:r>
          </w:p>
        </w:tc>
        <w:tc>
          <w:tcPr>
            <w:tcW w:w="1297" w:type="dxa"/>
            <w:tcBorders>
              <w:top w:val="nil"/>
              <w:left w:val="nil"/>
              <w:bottom w:val="nil"/>
              <w:right w:val="nil"/>
            </w:tcBorders>
            <w:hideMark/>
          </w:tcPr>
          <w:p w14:paraId="7DF5B392" w14:textId="77777777" w:rsidR="00804491" w:rsidRDefault="00804491">
            <w:pPr>
              <w:kinsoku w:val="0"/>
              <w:overflowPunct w:val="0"/>
              <w:autoSpaceDE w:val="0"/>
              <w:autoSpaceDN w:val="0"/>
              <w:adjustRightInd w:val="0"/>
              <w:spacing w:before="30" w:after="0" w:line="240" w:lineRule="auto"/>
              <w:ind w:right="25"/>
              <w:jc w:val="right"/>
              <w:rPr>
                <w:rFonts w:ascii="Arial" w:hAnsi="Arial" w:cs="Arial"/>
                <w:sz w:val="16"/>
                <w:szCs w:val="16"/>
              </w:rPr>
            </w:pPr>
            <w:r>
              <w:rPr>
                <w:rFonts w:ascii="Arial" w:hAnsi="Arial" w:cs="Arial"/>
                <w:sz w:val="16"/>
                <w:szCs w:val="16"/>
              </w:rPr>
              <w:t>28.8</w:t>
            </w:r>
          </w:p>
        </w:tc>
        <w:tc>
          <w:tcPr>
            <w:tcW w:w="360" w:type="dxa"/>
            <w:tcBorders>
              <w:top w:val="nil"/>
              <w:left w:val="nil"/>
              <w:bottom w:val="nil"/>
              <w:right w:val="nil"/>
            </w:tcBorders>
          </w:tcPr>
          <w:p w14:paraId="55F6E026" w14:textId="77777777" w:rsidR="00804491" w:rsidRDefault="00804491">
            <w:pPr>
              <w:kinsoku w:val="0"/>
              <w:overflowPunct w:val="0"/>
              <w:autoSpaceDE w:val="0"/>
              <w:autoSpaceDN w:val="0"/>
              <w:adjustRightInd w:val="0"/>
              <w:spacing w:after="0" w:line="240" w:lineRule="auto"/>
              <w:rPr>
                <w:rFonts w:ascii="Times New Roman" w:hAnsi="Times New Roman" w:cs="Times New Roman"/>
                <w:sz w:val="16"/>
                <w:szCs w:val="16"/>
              </w:rPr>
            </w:pPr>
          </w:p>
        </w:tc>
        <w:tc>
          <w:tcPr>
            <w:tcW w:w="579" w:type="dxa"/>
            <w:tcBorders>
              <w:top w:val="nil"/>
              <w:left w:val="nil"/>
              <w:bottom w:val="nil"/>
              <w:right w:val="nil"/>
            </w:tcBorders>
            <w:hideMark/>
          </w:tcPr>
          <w:p w14:paraId="7B01F23C" w14:textId="77777777" w:rsidR="00804491" w:rsidRDefault="00804491">
            <w:pPr>
              <w:kinsoku w:val="0"/>
              <w:overflowPunct w:val="0"/>
              <w:autoSpaceDE w:val="0"/>
              <w:autoSpaceDN w:val="0"/>
              <w:adjustRightInd w:val="0"/>
              <w:spacing w:before="30" w:after="0" w:line="240" w:lineRule="auto"/>
              <w:ind w:right="178"/>
              <w:jc w:val="right"/>
              <w:rPr>
                <w:rFonts w:ascii="Arial" w:hAnsi="Arial" w:cs="Arial"/>
                <w:sz w:val="16"/>
                <w:szCs w:val="16"/>
              </w:rPr>
            </w:pPr>
            <w:r>
              <w:rPr>
                <w:rFonts w:ascii="Arial" w:hAnsi="Arial" w:cs="Arial"/>
                <w:color w:val="FF0000"/>
                <w:sz w:val="16"/>
                <w:szCs w:val="16"/>
              </w:rPr>
              <w:t>70.3</w:t>
            </w:r>
          </w:p>
        </w:tc>
        <w:tc>
          <w:tcPr>
            <w:tcW w:w="669" w:type="dxa"/>
            <w:tcBorders>
              <w:top w:val="nil"/>
              <w:left w:val="nil"/>
              <w:bottom w:val="nil"/>
              <w:right w:val="nil"/>
            </w:tcBorders>
            <w:hideMark/>
          </w:tcPr>
          <w:p w14:paraId="14B6DF3C" w14:textId="77777777" w:rsidR="00804491" w:rsidRDefault="00804491">
            <w:pPr>
              <w:kinsoku w:val="0"/>
              <w:overflowPunct w:val="0"/>
              <w:autoSpaceDE w:val="0"/>
              <w:autoSpaceDN w:val="0"/>
              <w:adjustRightInd w:val="0"/>
              <w:spacing w:before="30" w:after="0" w:line="240" w:lineRule="auto"/>
              <w:ind w:right="178"/>
              <w:jc w:val="right"/>
              <w:rPr>
                <w:rFonts w:ascii="Arial" w:hAnsi="Arial" w:cs="Arial"/>
                <w:sz w:val="16"/>
                <w:szCs w:val="16"/>
              </w:rPr>
            </w:pPr>
            <w:r>
              <w:rPr>
                <w:rFonts w:ascii="Arial" w:hAnsi="Arial" w:cs="Arial"/>
                <w:sz w:val="16"/>
                <w:szCs w:val="16"/>
              </w:rPr>
              <w:t>66.0</w:t>
            </w:r>
          </w:p>
        </w:tc>
        <w:tc>
          <w:tcPr>
            <w:tcW w:w="581" w:type="dxa"/>
            <w:tcBorders>
              <w:top w:val="nil"/>
              <w:left w:val="nil"/>
              <w:bottom w:val="nil"/>
              <w:right w:val="nil"/>
            </w:tcBorders>
            <w:hideMark/>
          </w:tcPr>
          <w:p w14:paraId="469EC8F4" w14:textId="77777777" w:rsidR="00804491" w:rsidRDefault="00804491">
            <w:pPr>
              <w:kinsoku w:val="0"/>
              <w:overflowPunct w:val="0"/>
              <w:autoSpaceDE w:val="0"/>
              <w:autoSpaceDN w:val="0"/>
              <w:adjustRightInd w:val="0"/>
              <w:spacing w:before="30" w:after="0" w:line="240" w:lineRule="auto"/>
              <w:ind w:right="178"/>
              <w:jc w:val="right"/>
              <w:rPr>
                <w:rFonts w:ascii="Arial" w:hAnsi="Arial" w:cs="Arial"/>
                <w:sz w:val="16"/>
                <w:szCs w:val="16"/>
              </w:rPr>
            </w:pPr>
            <w:r>
              <w:rPr>
                <w:rFonts w:ascii="Arial" w:hAnsi="Arial" w:cs="Arial"/>
                <w:sz w:val="16"/>
                <w:szCs w:val="16"/>
              </w:rPr>
              <w:t>59.3</w:t>
            </w:r>
          </w:p>
        </w:tc>
        <w:tc>
          <w:tcPr>
            <w:tcW w:w="669" w:type="dxa"/>
            <w:tcBorders>
              <w:top w:val="nil"/>
              <w:left w:val="nil"/>
              <w:bottom w:val="nil"/>
              <w:right w:val="nil"/>
            </w:tcBorders>
            <w:hideMark/>
          </w:tcPr>
          <w:p w14:paraId="54900F68" w14:textId="77777777" w:rsidR="00804491" w:rsidRDefault="00804491">
            <w:pPr>
              <w:kinsoku w:val="0"/>
              <w:overflowPunct w:val="0"/>
              <w:autoSpaceDE w:val="0"/>
              <w:autoSpaceDN w:val="0"/>
              <w:adjustRightInd w:val="0"/>
              <w:spacing w:before="30" w:after="0" w:line="240" w:lineRule="auto"/>
              <w:ind w:right="178"/>
              <w:jc w:val="right"/>
              <w:rPr>
                <w:rFonts w:ascii="Arial" w:hAnsi="Arial" w:cs="Arial"/>
                <w:sz w:val="16"/>
                <w:szCs w:val="16"/>
              </w:rPr>
            </w:pPr>
            <w:r>
              <w:rPr>
                <w:rFonts w:ascii="Arial" w:hAnsi="Arial" w:cs="Arial"/>
                <w:sz w:val="16"/>
                <w:szCs w:val="16"/>
              </w:rPr>
              <w:t>58.0</w:t>
            </w:r>
          </w:p>
        </w:tc>
        <w:tc>
          <w:tcPr>
            <w:tcW w:w="669" w:type="dxa"/>
            <w:tcBorders>
              <w:top w:val="nil"/>
              <w:left w:val="nil"/>
              <w:bottom w:val="nil"/>
              <w:right w:val="nil"/>
            </w:tcBorders>
            <w:hideMark/>
          </w:tcPr>
          <w:p w14:paraId="35ABEFA9" w14:textId="77777777" w:rsidR="00804491" w:rsidRDefault="00804491">
            <w:pPr>
              <w:kinsoku w:val="0"/>
              <w:overflowPunct w:val="0"/>
              <w:autoSpaceDE w:val="0"/>
              <w:autoSpaceDN w:val="0"/>
              <w:adjustRightInd w:val="0"/>
              <w:spacing w:before="30" w:after="0" w:line="240" w:lineRule="auto"/>
              <w:ind w:right="178"/>
              <w:jc w:val="right"/>
              <w:rPr>
                <w:rFonts w:ascii="Arial" w:hAnsi="Arial" w:cs="Arial"/>
                <w:sz w:val="16"/>
                <w:szCs w:val="16"/>
              </w:rPr>
            </w:pPr>
            <w:r>
              <w:rPr>
                <w:rFonts w:ascii="Arial" w:hAnsi="Arial" w:cs="Arial"/>
                <w:sz w:val="16"/>
                <w:szCs w:val="16"/>
              </w:rPr>
              <w:t>54.5</w:t>
            </w:r>
          </w:p>
        </w:tc>
        <w:tc>
          <w:tcPr>
            <w:tcW w:w="669" w:type="dxa"/>
            <w:tcBorders>
              <w:top w:val="nil"/>
              <w:left w:val="nil"/>
              <w:bottom w:val="nil"/>
              <w:right w:val="nil"/>
            </w:tcBorders>
            <w:hideMark/>
          </w:tcPr>
          <w:p w14:paraId="2015E8EF" w14:textId="77777777" w:rsidR="00804491" w:rsidRDefault="00804491">
            <w:pPr>
              <w:kinsoku w:val="0"/>
              <w:overflowPunct w:val="0"/>
              <w:autoSpaceDE w:val="0"/>
              <w:autoSpaceDN w:val="0"/>
              <w:adjustRightInd w:val="0"/>
              <w:spacing w:before="30" w:after="0" w:line="240" w:lineRule="auto"/>
              <w:ind w:right="178"/>
              <w:jc w:val="right"/>
              <w:rPr>
                <w:rFonts w:ascii="Arial" w:hAnsi="Arial" w:cs="Arial"/>
                <w:sz w:val="16"/>
                <w:szCs w:val="16"/>
              </w:rPr>
            </w:pPr>
            <w:r>
              <w:rPr>
                <w:rFonts w:ascii="Arial" w:hAnsi="Arial" w:cs="Arial"/>
                <w:sz w:val="16"/>
                <w:szCs w:val="16"/>
              </w:rPr>
              <w:t>57.0</w:t>
            </w:r>
          </w:p>
        </w:tc>
      </w:tr>
      <w:tr w:rsidR="00804491" w14:paraId="12E4F399" w14:textId="77777777" w:rsidTr="00804491">
        <w:trPr>
          <w:trHeight w:val="256"/>
        </w:trPr>
        <w:tc>
          <w:tcPr>
            <w:tcW w:w="2222" w:type="dxa"/>
            <w:tcBorders>
              <w:top w:val="nil"/>
              <w:left w:val="nil"/>
              <w:bottom w:val="nil"/>
              <w:right w:val="nil"/>
            </w:tcBorders>
            <w:shd w:val="clear" w:color="auto" w:fill="C6D9F1" w:themeFill="text2" w:themeFillTint="33"/>
            <w:hideMark/>
          </w:tcPr>
          <w:p w14:paraId="268063FD" w14:textId="77777777" w:rsidR="00804491" w:rsidRDefault="00804491">
            <w:pPr>
              <w:kinsoku w:val="0"/>
              <w:overflowPunct w:val="0"/>
              <w:autoSpaceDE w:val="0"/>
              <w:autoSpaceDN w:val="0"/>
              <w:adjustRightInd w:val="0"/>
              <w:spacing w:before="32" w:after="0" w:line="240" w:lineRule="auto"/>
              <w:ind w:left="42"/>
              <w:rPr>
                <w:rFonts w:ascii="Arial" w:hAnsi="Arial" w:cs="Arial"/>
                <w:sz w:val="16"/>
                <w:szCs w:val="16"/>
              </w:rPr>
            </w:pPr>
            <w:r>
              <w:rPr>
                <w:rFonts w:ascii="Arial" w:hAnsi="Arial" w:cs="Arial"/>
                <w:sz w:val="16"/>
                <w:szCs w:val="16"/>
              </w:rPr>
              <w:t>Fairfax</w:t>
            </w:r>
            <w:r>
              <w:rPr>
                <w:rFonts w:ascii="Arial" w:hAnsi="Arial" w:cs="Arial"/>
                <w:spacing w:val="-4"/>
                <w:sz w:val="16"/>
                <w:szCs w:val="16"/>
              </w:rPr>
              <w:t xml:space="preserve"> </w:t>
            </w:r>
            <w:r>
              <w:rPr>
                <w:rFonts w:ascii="Arial" w:hAnsi="Arial" w:cs="Arial"/>
                <w:sz w:val="16"/>
                <w:szCs w:val="16"/>
              </w:rPr>
              <w:t>Financial</w:t>
            </w:r>
          </w:p>
        </w:tc>
        <w:tc>
          <w:tcPr>
            <w:tcW w:w="1414" w:type="dxa"/>
            <w:tcBorders>
              <w:top w:val="nil"/>
              <w:left w:val="nil"/>
              <w:bottom w:val="nil"/>
              <w:right w:val="nil"/>
            </w:tcBorders>
            <w:shd w:val="clear" w:color="auto" w:fill="C6D9F1" w:themeFill="text2" w:themeFillTint="33"/>
            <w:hideMark/>
          </w:tcPr>
          <w:p w14:paraId="2688ADB7" w14:textId="77777777" w:rsidR="00804491" w:rsidRDefault="00804491">
            <w:pPr>
              <w:kinsoku w:val="0"/>
              <w:overflowPunct w:val="0"/>
              <w:autoSpaceDE w:val="0"/>
              <w:autoSpaceDN w:val="0"/>
              <w:adjustRightInd w:val="0"/>
              <w:spacing w:before="32" w:after="0" w:line="240" w:lineRule="auto"/>
              <w:ind w:right="90"/>
              <w:jc w:val="right"/>
              <w:rPr>
                <w:rFonts w:ascii="Arial" w:hAnsi="Arial" w:cs="Arial"/>
                <w:sz w:val="16"/>
                <w:szCs w:val="16"/>
              </w:rPr>
            </w:pPr>
            <w:r>
              <w:rPr>
                <w:rFonts w:ascii="Arial" w:hAnsi="Arial" w:cs="Arial"/>
                <w:sz w:val="16"/>
                <w:szCs w:val="16"/>
              </w:rPr>
              <w:t>862</w:t>
            </w:r>
          </w:p>
        </w:tc>
        <w:tc>
          <w:tcPr>
            <w:tcW w:w="1297" w:type="dxa"/>
            <w:tcBorders>
              <w:top w:val="nil"/>
              <w:left w:val="nil"/>
              <w:bottom w:val="nil"/>
              <w:right w:val="nil"/>
            </w:tcBorders>
            <w:shd w:val="clear" w:color="auto" w:fill="C6D9F1" w:themeFill="text2" w:themeFillTint="33"/>
            <w:hideMark/>
          </w:tcPr>
          <w:p w14:paraId="647CFFEC" w14:textId="77777777" w:rsidR="00804491" w:rsidRDefault="00804491">
            <w:pPr>
              <w:kinsoku w:val="0"/>
              <w:overflowPunct w:val="0"/>
              <w:autoSpaceDE w:val="0"/>
              <w:autoSpaceDN w:val="0"/>
              <w:adjustRightInd w:val="0"/>
              <w:spacing w:before="32" w:after="0" w:line="240" w:lineRule="auto"/>
              <w:ind w:right="25"/>
              <w:jc w:val="right"/>
              <w:rPr>
                <w:rFonts w:ascii="Arial" w:hAnsi="Arial" w:cs="Arial"/>
                <w:sz w:val="16"/>
                <w:szCs w:val="16"/>
              </w:rPr>
            </w:pPr>
            <w:r>
              <w:rPr>
                <w:rFonts w:ascii="Arial" w:hAnsi="Arial" w:cs="Arial"/>
                <w:sz w:val="16"/>
                <w:szCs w:val="16"/>
              </w:rPr>
              <w:t>67.3</w:t>
            </w:r>
          </w:p>
        </w:tc>
        <w:tc>
          <w:tcPr>
            <w:tcW w:w="360" w:type="dxa"/>
            <w:tcBorders>
              <w:top w:val="nil"/>
              <w:left w:val="nil"/>
              <w:bottom w:val="nil"/>
              <w:right w:val="nil"/>
            </w:tcBorders>
            <w:shd w:val="clear" w:color="auto" w:fill="C6D9F1" w:themeFill="text2" w:themeFillTint="33"/>
          </w:tcPr>
          <w:p w14:paraId="2A72F4A6" w14:textId="77777777" w:rsidR="00804491" w:rsidRDefault="00804491">
            <w:pPr>
              <w:kinsoku w:val="0"/>
              <w:overflowPunct w:val="0"/>
              <w:autoSpaceDE w:val="0"/>
              <w:autoSpaceDN w:val="0"/>
              <w:adjustRightInd w:val="0"/>
              <w:spacing w:after="0" w:line="240" w:lineRule="auto"/>
              <w:rPr>
                <w:rFonts w:ascii="Times New Roman" w:hAnsi="Times New Roman" w:cs="Times New Roman"/>
                <w:sz w:val="16"/>
                <w:szCs w:val="16"/>
              </w:rPr>
            </w:pPr>
          </w:p>
        </w:tc>
        <w:tc>
          <w:tcPr>
            <w:tcW w:w="579" w:type="dxa"/>
            <w:tcBorders>
              <w:top w:val="nil"/>
              <w:left w:val="nil"/>
              <w:bottom w:val="nil"/>
              <w:right w:val="nil"/>
            </w:tcBorders>
            <w:shd w:val="clear" w:color="auto" w:fill="C6D9F1" w:themeFill="text2" w:themeFillTint="33"/>
            <w:hideMark/>
          </w:tcPr>
          <w:p w14:paraId="17205E12"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color w:val="FF0000"/>
                <w:sz w:val="16"/>
                <w:szCs w:val="16"/>
              </w:rPr>
              <w:t>57.3</w:t>
            </w:r>
          </w:p>
        </w:tc>
        <w:tc>
          <w:tcPr>
            <w:tcW w:w="669" w:type="dxa"/>
            <w:tcBorders>
              <w:top w:val="nil"/>
              <w:left w:val="nil"/>
              <w:bottom w:val="nil"/>
              <w:right w:val="nil"/>
            </w:tcBorders>
            <w:shd w:val="clear" w:color="auto" w:fill="C6D9F1" w:themeFill="text2" w:themeFillTint="33"/>
            <w:hideMark/>
          </w:tcPr>
          <w:p w14:paraId="4FC5A33E"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sz w:val="16"/>
                <w:szCs w:val="16"/>
              </w:rPr>
              <w:t>56.9</w:t>
            </w:r>
          </w:p>
        </w:tc>
        <w:tc>
          <w:tcPr>
            <w:tcW w:w="581" w:type="dxa"/>
            <w:tcBorders>
              <w:top w:val="nil"/>
              <w:left w:val="nil"/>
              <w:bottom w:val="nil"/>
              <w:right w:val="nil"/>
            </w:tcBorders>
            <w:shd w:val="clear" w:color="auto" w:fill="C6D9F1" w:themeFill="text2" w:themeFillTint="33"/>
            <w:hideMark/>
          </w:tcPr>
          <w:p w14:paraId="6C145F08"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sz w:val="16"/>
                <w:szCs w:val="16"/>
              </w:rPr>
              <w:t>63.0</w:t>
            </w:r>
          </w:p>
        </w:tc>
        <w:tc>
          <w:tcPr>
            <w:tcW w:w="669" w:type="dxa"/>
            <w:tcBorders>
              <w:top w:val="nil"/>
              <w:left w:val="nil"/>
              <w:bottom w:val="nil"/>
              <w:right w:val="nil"/>
            </w:tcBorders>
            <w:shd w:val="clear" w:color="auto" w:fill="C6D9F1" w:themeFill="text2" w:themeFillTint="33"/>
            <w:hideMark/>
          </w:tcPr>
          <w:p w14:paraId="648EAA1E"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sz w:val="16"/>
                <w:szCs w:val="16"/>
              </w:rPr>
              <w:t>71.5</w:t>
            </w:r>
          </w:p>
        </w:tc>
        <w:tc>
          <w:tcPr>
            <w:tcW w:w="669" w:type="dxa"/>
            <w:tcBorders>
              <w:top w:val="nil"/>
              <w:left w:val="nil"/>
              <w:bottom w:val="nil"/>
              <w:right w:val="nil"/>
            </w:tcBorders>
            <w:shd w:val="clear" w:color="auto" w:fill="C6D9F1" w:themeFill="text2" w:themeFillTint="33"/>
            <w:hideMark/>
          </w:tcPr>
          <w:p w14:paraId="5021369C"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sz w:val="16"/>
                <w:szCs w:val="16"/>
              </w:rPr>
              <w:t>63.2</w:t>
            </w:r>
          </w:p>
        </w:tc>
        <w:tc>
          <w:tcPr>
            <w:tcW w:w="669" w:type="dxa"/>
            <w:tcBorders>
              <w:top w:val="nil"/>
              <w:left w:val="nil"/>
              <w:bottom w:val="nil"/>
              <w:right w:val="nil"/>
            </w:tcBorders>
            <w:shd w:val="clear" w:color="auto" w:fill="C6D9F1" w:themeFill="text2" w:themeFillTint="33"/>
            <w:hideMark/>
          </w:tcPr>
          <w:p w14:paraId="2538E63A"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sz w:val="16"/>
                <w:szCs w:val="16"/>
              </w:rPr>
              <w:t>58.4</w:t>
            </w:r>
          </w:p>
        </w:tc>
      </w:tr>
      <w:tr w:rsidR="00804491" w14:paraId="4E4C0ABF" w14:textId="77777777" w:rsidTr="00804491">
        <w:trPr>
          <w:trHeight w:val="256"/>
        </w:trPr>
        <w:tc>
          <w:tcPr>
            <w:tcW w:w="2222" w:type="dxa"/>
            <w:tcBorders>
              <w:top w:val="nil"/>
              <w:left w:val="nil"/>
              <w:bottom w:val="nil"/>
              <w:right w:val="nil"/>
            </w:tcBorders>
            <w:hideMark/>
          </w:tcPr>
          <w:p w14:paraId="7461F4B8" w14:textId="77777777" w:rsidR="00804491" w:rsidRDefault="00804491">
            <w:pPr>
              <w:kinsoku w:val="0"/>
              <w:overflowPunct w:val="0"/>
              <w:autoSpaceDE w:val="0"/>
              <w:autoSpaceDN w:val="0"/>
              <w:adjustRightInd w:val="0"/>
              <w:spacing w:before="32" w:after="0" w:line="240" w:lineRule="auto"/>
              <w:ind w:left="42"/>
              <w:rPr>
                <w:rFonts w:ascii="Arial" w:hAnsi="Arial" w:cs="Arial"/>
                <w:sz w:val="16"/>
                <w:szCs w:val="16"/>
              </w:rPr>
            </w:pPr>
            <w:r>
              <w:rPr>
                <w:rFonts w:ascii="Arial" w:hAnsi="Arial" w:cs="Arial"/>
                <w:sz w:val="16"/>
                <w:szCs w:val="16"/>
              </w:rPr>
              <w:t>Berkshire</w:t>
            </w:r>
            <w:r>
              <w:rPr>
                <w:rFonts w:ascii="Arial" w:hAnsi="Arial" w:cs="Arial"/>
                <w:spacing w:val="-2"/>
                <w:sz w:val="16"/>
                <w:szCs w:val="16"/>
              </w:rPr>
              <w:t xml:space="preserve"> </w:t>
            </w:r>
            <w:r>
              <w:rPr>
                <w:rFonts w:ascii="Arial" w:hAnsi="Arial" w:cs="Arial"/>
                <w:sz w:val="16"/>
                <w:szCs w:val="16"/>
              </w:rPr>
              <w:t>Hathaway</w:t>
            </w:r>
          </w:p>
        </w:tc>
        <w:tc>
          <w:tcPr>
            <w:tcW w:w="1414" w:type="dxa"/>
            <w:tcBorders>
              <w:top w:val="nil"/>
              <w:left w:val="nil"/>
              <w:bottom w:val="nil"/>
              <w:right w:val="nil"/>
            </w:tcBorders>
            <w:hideMark/>
          </w:tcPr>
          <w:p w14:paraId="6CF62343" w14:textId="77777777" w:rsidR="00804491" w:rsidRDefault="00804491">
            <w:pPr>
              <w:kinsoku w:val="0"/>
              <w:overflowPunct w:val="0"/>
              <w:autoSpaceDE w:val="0"/>
              <w:autoSpaceDN w:val="0"/>
              <w:adjustRightInd w:val="0"/>
              <w:spacing w:before="32" w:after="0" w:line="240" w:lineRule="auto"/>
              <w:ind w:right="90"/>
              <w:jc w:val="right"/>
              <w:rPr>
                <w:rFonts w:ascii="Arial" w:hAnsi="Arial" w:cs="Arial"/>
                <w:sz w:val="16"/>
                <w:szCs w:val="16"/>
              </w:rPr>
            </w:pPr>
            <w:r>
              <w:rPr>
                <w:rFonts w:ascii="Arial" w:hAnsi="Arial" w:cs="Arial"/>
                <w:sz w:val="16"/>
                <w:szCs w:val="16"/>
              </w:rPr>
              <w:t>606</w:t>
            </w:r>
          </w:p>
        </w:tc>
        <w:tc>
          <w:tcPr>
            <w:tcW w:w="1297" w:type="dxa"/>
            <w:tcBorders>
              <w:top w:val="nil"/>
              <w:left w:val="nil"/>
              <w:bottom w:val="nil"/>
              <w:right w:val="nil"/>
            </w:tcBorders>
            <w:hideMark/>
          </w:tcPr>
          <w:p w14:paraId="39B3BB40" w14:textId="77777777" w:rsidR="00804491" w:rsidRDefault="00804491">
            <w:pPr>
              <w:kinsoku w:val="0"/>
              <w:overflowPunct w:val="0"/>
              <w:autoSpaceDE w:val="0"/>
              <w:autoSpaceDN w:val="0"/>
              <w:adjustRightInd w:val="0"/>
              <w:spacing w:before="32" w:after="0" w:line="240" w:lineRule="auto"/>
              <w:ind w:right="26"/>
              <w:jc w:val="right"/>
              <w:rPr>
                <w:rFonts w:ascii="Arial" w:hAnsi="Arial" w:cs="Arial"/>
                <w:sz w:val="16"/>
                <w:szCs w:val="16"/>
              </w:rPr>
            </w:pPr>
            <w:r>
              <w:rPr>
                <w:rFonts w:ascii="Arial" w:hAnsi="Arial" w:cs="Arial"/>
                <w:sz w:val="16"/>
                <w:szCs w:val="16"/>
              </w:rPr>
              <w:t>47.6</w:t>
            </w:r>
          </w:p>
        </w:tc>
        <w:tc>
          <w:tcPr>
            <w:tcW w:w="360" w:type="dxa"/>
            <w:tcBorders>
              <w:top w:val="nil"/>
              <w:left w:val="nil"/>
              <w:bottom w:val="nil"/>
              <w:right w:val="nil"/>
            </w:tcBorders>
          </w:tcPr>
          <w:p w14:paraId="3F234E1B" w14:textId="77777777" w:rsidR="00804491" w:rsidRDefault="00804491">
            <w:pPr>
              <w:kinsoku w:val="0"/>
              <w:overflowPunct w:val="0"/>
              <w:autoSpaceDE w:val="0"/>
              <w:autoSpaceDN w:val="0"/>
              <w:adjustRightInd w:val="0"/>
              <w:spacing w:after="0" w:line="240" w:lineRule="auto"/>
              <w:rPr>
                <w:rFonts w:ascii="Times New Roman" w:hAnsi="Times New Roman" w:cs="Times New Roman"/>
                <w:sz w:val="16"/>
                <w:szCs w:val="16"/>
              </w:rPr>
            </w:pPr>
          </w:p>
        </w:tc>
        <w:tc>
          <w:tcPr>
            <w:tcW w:w="579" w:type="dxa"/>
            <w:tcBorders>
              <w:top w:val="nil"/>
              <w:left w:val="nil"/>
              <w:bottom w:val="nil"/>
              <w:right w:val="nil"/>
            </w:tcBorders>
            <w:hideMark/>
          </w:tcPr>
          <w:p w14:paraId="48784311" w14:textId="77777777" w:rsidR="00804491" w:rsidRDefault="00804491">
            <w:pPr>
              <w:kinsoku w:val="0"/>
              <w:overflowPunct w:val="0"/>
              <w:autoSpaceDE w:val="0"/>
              <w:autoSpaceDN w:val="0"/>
              <w:adjustRightInd w:val="0"/>
              <w:spacing w:before="32" w:after="0" w:line="240" w:lineRule="auto"/>
              <w:ind w:right="179"/>
              <w:jc w:val="right"/>
              <w:rPr>
                <w:rFonts w:ascii="Arial" w:hAnsi="Arial" w:cs="Arial"/>
                <w:sz w:val="16"/>
                <w:szCs w:val="16"/>
              </w:rPr>
            </w:pPr>
            <w:r>
              <w:rPr>
                <w:rFonts w:ascii="Arial" w:hAnsi="Arial" w:cs="Arial"/>
                <w:color w:val="00B050"/>
                <w:sz w:val="16"/>
                <w:szCs w:val="16"/>
              </w:rPr>
              <w:t>70.2</w:t>
            </w:r>
          </w:p>
        </w:tc>
        <w:tc>
          <w:tcPr>
            <w:tcW w:w="669" w:type="dxa"/>
            <w:tcBorders>
              <w:top w:val="nil"/>
              <w:left w:val="nil"/>
              <w:bottom w:val="nil"/>
              <w:right w:val="nil"/>
            </w:tcBorders>
            <w:hideMark/>
          </w:tcPr>
          <w:p w14:paraId="48B1B42C" w14:textId="77777777" w:rsidR="00804491" w:rsidRDefault="00804491">
            <w:pPr>
              <w:kinsoku w:val="0"/>
              <w:overflowPunct w:val="0"/>
              <w:autoSpaceDE w:val="0"/>
              <w:autoSpaceDN w:val="0"/>
              <w:adjustRightInd w:val="0"/>
              <w:spacing w:before="32" w:after="0" w:line="240" w:lineRule="auto"/>
              <w:ind w:right="179"/>
              <w:jc w:val="right"/>
              <w:rPr>
                <w:rFonts w:ascii="Arial" w:hAnsi="Arial" w:cs="Arial"/>
                <w:sz w:val="16"/>
                <w:szCs w:val="16"/>
              </w:rPr>
            </w:pPr>
            <w:r>
              <w:rPr>
                <w:rFonts w:ascii="Arial" w:hAnsi="Arial" w:cs="Arial"/>
                <w:sz w:val="16"/>
                <w:szCs w:val="16"/>
              </w:rPr>
              <w:t>82.2</w:t>
            </w:r>
          </w:p>
        </w:tc>
        <w:tc>
          <w:tcPr>
            <w:tcW w:w="581" w:type="dxa"/>
            <w:tcBorders>
              <w:top w:val="nil"/>
              <w:left w:val="nil"/>
              <w:bottom w:val="nil"/>
              <w:right w:val="nil"/>
            </w:tcBorders>
            <w:hideMark/>
          </w:tcPr>
          <w:p w14:paraId="6459E362" w14:textId="77777777" w:rsidR="00804491" w:rsidRDefault="00804491">
            <w:pPr>
              <w:kinsoku w:val="0"/>
              <w:overflowPunct w:val="0"/>
              <w:autoSpaceDE w:val="0"/>
              <w:autoSpaceDN w:val="0"/>
              <w:adjustRightInd w:val="0"/>
              <w:spacing w:before="32" w:after="0" w:line="240" w:lineRule="auto"/>
              <w:ind w:right="179"/>
              <w:jc w:val="right"/>
              <w:rPr>
                <w:rFonts w:ascii="Arial" w:hAnsi="Arial" w:cs="Arial"/>
                <w:sz w:val="16"/>
                <w:szCs w:val="16"/>
              </w:rPr>
            </w:pPr>
            <w:r>
              <w:rPr>
                <w:rFonts w:ascii="Arial" w:hAnsi="Arial" w:cs="Arial"/>
                <w:sz w:val="16"/>
                <w:szCs w:val="16"/>
              </w:rPr>
              <w:t>84.3</w:t>
            </w:r>
          </w:p>
        </w:tc>
        <w:tc>
          <w:tcPr>
            <w:tcW w:w="669" w:type="dxa"/>
            <w:tcBorders>
              <w:top w:val="nil"/>
              <w:left w:val="nil"/>
              <w:bottom w:val="nil"/>
              <w:right w:val="nil"/>
            </w:tcBorders>
            <w:hideMark/>
          </w:tcPr>
          <w:p w14:paraId="677519EA" w14:textId="77777777" w:rsidR="00804491" w:rsidRDefault="00804491">
            <w:pPr>
              <w:kinsoku w:val="0"/>
              <w:overflowPunct w:val="0"/>
              <w:autoSpaceDE w:val="0"/>
              <w:autoSpaceDN w:val="0"/>
              <w:adjustRightInd w:val="0"/>
              <w:spacing w:before="32" w:after="0" w:line="240" w:lineRule="auto"/>
              <w:ind w:right="179"/>
              <w:jc w:val="right"/>
              <w:rPr>
                <w:rFonts w:ascii="Arial" w:hAnsi="Arial" w:cs="Arial"/>
                <w:sz w:val="16"/>
                <w:szCs w:val="16"/>
              </w:rPr>
            </w:pPr>
            <w:r>
              <w:rPr>
                <w:rFonts w:ascii="Arial" w:hAnsi="Arial" w:cs="Arial"/>
                <w:sz w:val="16"/>
                <w:szCs w:val="16"/>
              </w:rPr>
              <w:t>69.8</w:t>
            </w:r>
          </w:p>
        </w:tc>
        <w:tc>
          <w:tcPr>
            <w:tcW w:w="669" w:type="dxa"/>
            <w:tcBorders>
              <w:top w:val="nil"/>
              <w:left w:val="nil"/>
              <w:bottom w:val="nil"/>
              <w:right w:val="nil"/>
            </w:tcBorders>
            <w:hideMark/>
          </w:tcPr>
          <w:p w14:paraId="127014C1" w14:textId="77777777" w:rsidR="00804491" w:rsidRDefault="00804491">
            <w:pPr>
              <w:kinsoku w:val="0"/>
              <w:overflowPunct w:val="0"/>
              <w:autoSpaceDE w:val="0"/>
              <w:autoSpaceDN w:val="0"/>
              <w:adjustRightInd w:val="0"/>
              <w:spacing w:before="32" w:after="0" w:line="240" w:lineRule="auto"/>
              <w:ind w:right="179"/>
              <w:jc w:val="right"/>
              <w:rPr>
                <w:rFonts w:ascii="Arial" w:hAnsi="Arial" w:cs="Arial"/>
                <w:sz w:val="16"/>
                <w:szCs w:val="16"/>
              </w:rPr>
            </w:pPr>
            <w:r>
              <w:rPr>
                <w:rFonts w:ascii="Arial" w:hAnsi="Arial" w:cs="Arial"/>
                <w:sz w:val="16"/>
                <w:szCs w:val="16"/>
              </w:rPr>
              <w:t>69.4</w:t>
            </w:r>
          </w:p>
        </w:tc>
        <w:tc>
          <w:tcPr>
            <w:tcW w:w="669" w:type="dxa"/>
            <w:tcBorders>
              <w:top w:val="nil"/>
              <w:left w:val="nil"/>
              <w:bottom w:val="nil"/>
              <w:right w:val="nil"/>
            </w:tcBorders>
            <w:hideMark/>
          </w:tcPr>
          <w:p w14:paraId="70D8F56B" w14:textId="77777777" w:rsidR="00804491" w:rsidRDefault="00804491">
            <w:pPr>
              <w:kinsoku w:val="0"/>
              <w:overflowPunct w:val="0"/>
              <w:autoSpaceDE w:val="0"/>
              <w:autoSpaceDN w:val="0"/>
              <w:adjustRightInd w:val="0"/>
              <w:spacing w:before="32" w:after="0" w:line="240" w:lineRule="auto"/>
              <w:ind w:right="179"/>
              <w:jc w:val="right"/>
              <w:rPr>
                <w:rFonts w:ascii="Arial" w:hAnsi="Arial" w:cs="Arial"/>
                <w:sz w:val="16"/>
                <w:szCs w:val="16"/>
              </w:rPr>
            </w:pPr>
            <w:r>
              <w:rPr>
                <w:rFonts w:ascii="Arial" w:hAnsi="Arial" w:cs="Arial"/>
                <w:sz w:val="16"/>
                <w:szCs w:val="16"/>
              </w:rPr>
              <w:t>62.6</w:t>
            </w:r>
          </w:p>
        </w:tc>
      </w:tr>
      <w:tr w:rsidR="00804491" w14:paraId="4246299F" w14:textId="77777777" w:rsidTr="00804491">
        <w:trPr>
          <w:trHeight w:val="256"/>
        </w:trPr>
        <w:tc>
          <w:tcPr>
            <w:tcW w:w="2222" w:type="dxa"/>
            <w:tcBorders>
              <w:top w:val="nil"/>
              <w:left w:val="nil"/>
              <w:bottom w:val="nil"/>
              <w:right w:val="nil"/>
            </w:tcBorders>
            <w:shd w:val="clear" w:color="auto" w:fill="C6D9F1" w:themeFill="text2" w:themeFillTint="33"/>
            <w:hideMark/>
          </w:tcPr>
          <w:p w14:paraId="56452B69" w14:textId="77777777" w:rsidR="00804491" w:rsidRDefault="00804491">
            <w:pPr>
              <w:kinsoku w:val="0"/>
              <w:overflowPunct w:val="0"/>
              <w:autoSpaceDE w:val="0"/>
              <w:autoSpaceDN w:val="0"/>
              <w:adjustRightInd w:val="0"/>
              <w:spacing w:before="32" w:after="0" w:line="240" w:lineRule="auto"/>
              <w:ind w:left="41"/>
              <w:rPr>
                <w:rFonts w:ascii="Arial" w:hAnsi="Arial" w:cs="Arial"/>
                <w:sz w:val="16"/>
                <w:szCs w:val="16"/>
              </w:rPr>
            </w:pPr>
            <w:r>
              <w:rPr>
                <w:rFonts w:ascii="Arial" w:hAnsi="Arial" w:cs="Arial"/>
                <w:sz w:val="16"/>
                <w:szCs w:val="16"/>
              </w:rPr>
              <w:t>W.</w:t>
            </w:r>
            <w:r>
              <w:rPr>
                <w:rFonts w:ascii="Arial" w:hAnsi="Arial" w:cs="Arial"/>
                <w:spacing w:val="1"/>
                <w:sz w:val="16"/>
                <w:szCs w:val="16"/>
              </w:rPr>
              <w:t xml:space="preserve"> </w:t>
            </w:r>
            <w:r>
              <w:rPr>
                <w:rFonts w:ascii="Arial" w:hAnsi="Arial" w:cs="Arial"/>
                <w:sz w:val="16"/>
                <w:szCs w:val="16"/>
              </w:rPr>
              <w:t>R.</w:t>
            </w:r>
            <w:r>
              <w:rPr>
                <w:rFonts w:ascii="Arial" w:hAnsi="Arial" w:cs="Arial"/>
                <w:spacing w:val="1"/>
                <w:sz w:val="16"/>
                <w:szCs w:val="16"/>
              </w:rPr>
              <w:t xml:space="preserve"> </w:t>
            </w:r>
            <w:r>
              <w:rPr>
                <w:rFonts w:ascii="Arial" w:hAnsi="Arial" w:cs="Arial"/>
                <w:sz w:val="16"/>
                <w:szCs w:val="16"/>
              </w:rPr>
              <w:t>Berkley</w:t>
            </w:r>
          </w:p>
        </w:tc>
        <w:tc>
          <w:tcPr>
            <w:tcW w:w="1414" w:type="dxa"/>
            <w:tcBorders>
              <w:top w:val="nil"/>
              <w:left w:val="nil"/>
              <w:bottom w:val="nil"/>
              <w:right w:val="nil"/>
            </w:tcBorders>
            <w:shd w:val="clear" w:color="auto" w:fill="C6D9F1" w:themeFill="text2" w:themeFillTint="33"/>
            <w:hideMark/>
          </w:tcPr>
          <w:p w14:paraId="369F35CF" w14:textId="77777777" w:rsidR="00804491" w:rsidRDefault="00804491">
            <w:pPr>
              <w:kinsoku w:val="0"/>
              <w:overflowPunct w:val="0"/>
              <w:autoSpaceDE w:val="0"/>
              <w:autoSpaceDN w:val="0"/>
              <w:adjustRightInd w:val="0"/>
              <w:spacing w:before="32" w:after="0" w:line="240" w:lineRule="auto"/>
              <w:ind w:right="91"/>
              <w:jc w:val="right"/>
              <w:rPr>
                <w:rFonts w:ascii="Arial" w:hAnsi="Arial" w:cs="Arial"/>
                <w:sz w:val="16"/>
                <w:szCs w:val="16"/>
              </w:rPr>
            </w:pPr>
            <w:r>
              <w:rPr>
                <w:rFonts w:ascii="Arial" w:hAnsi="Arial" w:cs="Arial"/>
                <w:sz w:val="16"/>
                <w:szCs w:val="16"/>
              </w:rPr>
              <w:t>597</w:t>
            </w:r>
          </w:p>
        </w:tc>
        <w:tc>
          <w:tcPr>
            <w:tcW w:w="1297" w:type="dxa"/>
            <w:tcBorders>
              <w:top w:val="nil"/>
              <w:left w:val="nil"/>
              <w:bottom w:val="nil"/>
              <w:right w:val="nil"/>
            </w:tcBorders>
            <w:shd w:val="clear" w:color="auto" w:fill="C6D9F1" w:themeFill="text2" w:themeFillTint="33"/>
            <w:hideMark/>
          </w:tcPr>
          <w:p w14:paraId="14E017CD" w14:textId="77777777" w:rsidR="00804491" w:rsidRDefault="00804491">
            <w:pPr>
              <w:kinsoku w:val="0"/>
              <w:overflowPunct w:val="0"/>
              <w:autoSpaceDE w:val="0"/>
              <w:autoSpaceDN w:val="0"/>
              <w:adjustRightInd w:val="0"/>
              <w:spacing w:before="32" w:after="0" w:line="240" w:lineRule="auto"/>
              <w:ind w:right="26"/>
              <w:jc w:val="right"/>
              <w:rPr>
                <w:rFonts w:ascii="Arial" w:hAnsi="Arial" w:cs="Arial"/>
                <w:sz w:val="16"/>
                <w:szCs w:val="16"/>
              </w:rPr>
            </w:pPr>
            <w:r>
              <w:rPr>
                <w:rFonts w:ascii="Arial" w:hAnsi="Arial" w:cs="Arial"/>
                <w:sz w:val="16"/>
                <w:szCs w:val="16"/>
              </w:rPr>
              <w:t>70.3</w:t>
            </w:r>
          </w:p>
        </w:tc>
        <w:tc>
          <w:tcPr>
            <w:tcW w:w="360" w:type="dxa"/>
            <w:tcBorders>
              <w:top w:val="nil"/>
              <w:left w:val="nil"/>
              <w:bottom w:val="nil"/>
              <w:right w:val="nil"/>
            </w:tcBorders>
            <w:shd w:val="clear" w:color="auto" w:fill="C6D9F1" w:themeFill="text2" w:themeFillTint="33"/>
          </w:tcPr>
          <w:p w14:paraId="73FDBF87" w14:textId="77777777" w:rsidR="00804491" w:rsidRDefault="00804491">
            <w:pPr>
              <w:kinsoku w:val="0"/>
              <w:overflowPunct w:val="0"/>
              <w:autoSpaceDE w:val="0"/>
              <w:autoSpaceDN w:val="0"/>
              <w:adjustRightInd w:val="0"/>
              <w:spacing w:after="0" w:line="240" w:lineRule="auto"/>
              <w:rPr>
                <w:rFonts w:ascii="Times New Roman" w:hAnsi="Times New Roman" w:cs="Times New Roman"/>
                <w:sz w:val="16"/>
                <w:szCs w:val="16"/>
              </w:rPr>
            </w:pPr>
          </w:p>
        </w:tc>
        <w:tc>
          <w:tcPr>
            <w:tcW w:w="579" w:type="dxa"/>
            <w:tcBorders>
              <w:top w:val="nil"/>
              <w:left w:val="nil"/>
              <w:bottom w:val="nil"/>
              <w:right w:val="nil"/>
            </w:tcBorders>
            <w:shd w:val="clear" w:color="auto" w:fill="C6D9F1" w:themeFill="text2" w:themeFillTint="33"/>
            <w:hideMark/>
          </w:tcPr>
          <w:p w14:paraId="68A996C0" w14:textId="77777777" w:rsidR="00804491" w:rsidRDefault="00804491">
            <w:pPr>
              <w:kinsoku w:val="0"/>
              <w:overflowPunct w:val="0"/>
              <w:autoSpaceDE w:val="0"/>
              <w:autoSpaceDN w:val="0"/>
              <w:adjustRightInd w:val="0"/>
              <w:spacing w:before="32" w:after="0" w:line="240" w:lineRule="auto"/>
              <w:ind w:right="179"/>
              <w:jc w:val="right"/>
              <w:rPr>
                <w:rFonts w:ascii="Arial" w:hAnsi="Arial" w:cs="Arial"/>
                <w:sz w:val="16"/>
                <w:szCs w:val="16"/>
              </w:rPr>
            </w:pPr>
            <w:r>
              <w:rPr>
                <w:rFonts w:ascii="Arial" w:hAnsi="Arial" w:cs="Arial"/>
                <w:color w:val="00B050"/>
                <w:sz w:val="16"/>
                <w:szCs w:val="16"/>
              </w:rPr>
              <w:t>72.4</w:t>
            </w:r>
          </w:p>
        </w:tc>
        <w:tc>
          <w:tcPr>
            <w:tcW w:w="669" w:type="dxa"/>
            <w:tcBorders>
              <w:top w:val="nil"/>
              <w:left w:val="nil"/>
              <w:bottom w:val="nil"/>
              <w:right w:val="nil"/>
            </w:tcBorders>
            <w:shd w:val="clear" w:color="auto" w:fill="C6D9F1" w:themeFill="text2" w:themeFillTint="33"/>
            <w:hideMark/>
          </w:tcPr>
          <w:p w14:paraId="4D093591" w14:textId="77777777" w:rsidR="00804491" w:rsidRDefault="00804491">
            <w:pPr>
              <w:kinsoku w:val="0"/>
              <w:overflowPunct w:val="0"/>
              <w:autoSpaceDE w:val="0"/>
              <w:autoSpaceDN w:val="0"/>
              <w:adjustRightInd w:val="0"/>
              <w:spacing w:before="32" w:after="0" w:line="240" w:lineRule="auto"/>
              <w:ind w:right="179"/>
              <w:jc w:val="right"/>
              <w:rPr>
                <w:rFonts w:ascii="Arial" w:hAnsi="Arial" w:cs="Arial"/>
                <w:sz w:val="16"/>
                <w:szCs w:val="16"/>
              </w:rPr>
            </w:pPr>
            <w:r>
              <w:rPr>
                <w:rFonts w:ascii="Arial" w:hAnsi="Arial" w:cs="Arial"/>
                <w:sz w:val="16"/>
                <w:szCs w:val="16"/>
              </w:rPr>
              <w:t>88.1</w:t>
            </w:r>
          </w:p>
        </w:tc>
        <w:tc>
          <w:tcPr>
            <w:tcW w:w="581" w:type="dxa"/>
            <w:tcBorders>
              <w:top w:val="nil"/>
              <w:left w:val="nil"/>
              <w:bottom w:val="nil"/>
              <w:right w:val="nil"/>
            </w:tcBorders>
            <w:shd w:val="clear" w:color="auto" w:fill="C6D9F1" w:themeFill="text2" w:themeFillTint="33"/>
            <w:hideMark/>
          </w:tcPr>
          <w:p w14:paraId="7558D224" w14:textId="77777777" w:rsidR="00804491" w:rsidRDefault="00804491">
            <w:pPr>
              <w:kinsoku w:val="0"/>
              <w:overflowPunct w:val="0"/>
              <w:autoSpaceDE w:val="0"/>
              <w:autoSpaceDN w:val="0"/>
              <w:adjustRightInd w:val="0"/>
              <w:spacing w:before="32" w:after="0" w:line="240" w:lineRule="auto"/>
              <w:ind w:right="179"/>
              <w:jc w:val="right"/>
              <w:rPr>
                <w:rFonts w:ascii="Arial" w:hAnsi="Arial" w:cs="Arial"/>
                <w:sz w:val="16"/>
                <w:szCs w:val="16"/>
              </w:rPr>
            </w:pPr>
            <w:r>
              <w:rPr>
                <w:rFonts w:ascii="Arial" w:hAnsi="Arial" w:cs="Arial"/>
                <w:sz w:val="16"/>
                <w:szCs w:val="16"/>
              </w:rPr>
              <w:t>77.2</w:t>
            </w:r>
          </w:p>
        </w:tc>
        <w:tc>
          <w:tcPr>
            <w:tcW w:w="669" w:type="dxa"/>
            <w:tcBorders>
              <w:top w:val="nil"/>
              <w:left w:val="nil"/>
              <w:bottom w:val="nil"/>
              <w:right w:val="nil"/>
            </w:tcBorders>
            <w:shd w:val="clear" w:color="auto" w:fill="C6D9F1" w:themeFill="text2" w:themeFillTint="33"/>
            <w:hideMark/>
          </w:tcPr>
          <w:p w14:paraId="6B82A071" w14:textId="77777777" w:rsidR="00804491" w:rsidRDefault="00804491">
            <w:pPr>
              <w:kinsoku w:val="0"/>
              <w:overflowPunct w:val="0"/>
              <w:autoSpaceDE w:val="0"/>
              <w:autoSpaceDN w:val="0"/>
              <w:adjustRightInd w:val="0"/>
              <w:spacing w:before="32" w:after="0" w:line="240" w:lineRule="auto"/>
              <w:ind w:right="179"/>
              <w:jc w:val="right"/>
              <w:rPr>
                <w:rFonts w:ascii="Arial" w:hAnsi="Arial" w:cs="Arial"/>
                <w:sz w:val="16"/>
                <w:szCs w:val="16"/>
              </w:rPr>
            </w:pPr>
            <w:r>
              <w:rPr>
                <w:rFonts w:ascii="Arial" w:hAnsi="Arial" w:cs="Arial"/>
                <w:sz w:val="16"/>
                <w:szCs w:val="16"/>
              </w:rPr>
              <w:t>78.4</w:t>
            </w:r>
          </w:p>
        </w:tc>
        <w:tc>
          <w:tcPr>
            <w:tcW w:w="669" w:type="dxa"/>
            <w:tcBorders>
              <w:top w:val="nil"/>
              <w:left w:val="nil"/>
              <w:bottom w:val="nil"/>
              <w:right w:val="nil"/>
            </w:tcBorders>
            <w:shd w:val="clear" w:color="auto" w:fill="C6D9F1" w:themeFill="text2" w:themeFillTint="33"/>
            <w:hideMark/>
          </w:tcPr>
          <w:p w14:paraId="0D520883" w14:textId="77777777" w:rsidR="00804491" w:rsidRDefault="00804491">
            <w:pPr>
              <w:kinsoku w:val="0"/>
              <w:overflowPunct w:val="0"/>
              <w:autoSpaceDE w:val="0"/>
              <w:autoSpaceDN w:val="0"/>
              <w:adjustRightInd w:val="0"/>
              <w:spacing w:before="32" w:after="0" w:line="240" w:lineRule="auto"/>
              <w:ind w:right="179"/>
              <w:jc w:val="right"/>
              <w:rPr>
                <w:rFonts w:ascii="Arial" w:hAnsi="Arial" w:cs="Arial"/>
                <w:sz w:val="16"/>
                <w:szCs w:val="16"/>
              </w:rPr>
            </w:pPr>
            <w:r>
              <w:rPr>
                <w:rFonts w:ascii="Arial" w:hAnsi="Arial" w:cs="Arial"/>
                <w:sz w:val="16"/>
                <w:szCs w:val="16"/>
              </w:rPr>
              <w:t>72.7</w:t>
            </w:r>
          </w:p>
        </w:tc>
        <w:tc>
          <w:tcPr>
            <w:tcW w:w="669" w:type="dxa"/>
            <w:tcBorders>
              <w:top w:val="nil"/>
              <w:left w:val="nil"/>
              <w:bottom w:val="nil"/>
              <w:right w:val="nil"/>
            </w:tcBorders>
            <w:shd w:val="clear" w:color="auto" w:fill="C6D9F1" w:themeFill="text2" w:themeFillTint="33"/>
            <w:hideMark/>
          </w:tcPr>
          <w:p w14:paraId="1F1D4E00" w14:textId="77777777" w:rsidR="00804491" w:rsidRDefault="00804491">
            <w:pPr>
              <w:kinsoku w:val="0"/>
              <w:overflowPunct w:val="0"/>
              <w:autoSpaceDE w:val="0"/>
              <w:autoSpaceDN w:val="0"/>
              <w:adjustRightInd w:val="0"/>
              <w:spacing w:before="32" w:after="0" w:line="240" w:lineRule="auto"/>
              <w:ind w:right="179"/>
              <w:jc w:val="right"/>
              <w:rPr>
                <w:rFonts w:ascii="Arial" w:hAnsi="Arial" w:cs="Arial"/>
                <w:sz w:val="16"/>
                <w:szCs w:val="16"/>
              </w:rPr>
            </w:pPr>
            <w:r>
              <w:rPr>
                <w:rFonts w:ascii="Arial" w:hAnsi="Arial" w:cs="Arial"/>
                <w:sz w:val="16"/>
                <w:szCs w:val="16"/>
              </w:rPr>
              <w:t>32.5</w:t>
            </w:r>
          </w:p>
        </w:tc>
      </w:tr>
      <w:tr w:rsidR="00804491" w14:paraId="2969DF30" w14:textId="77777777" w:rsidTr="00804491">
        <w:trPr>
          <w:trHeight w:val="256"/>
        </w:trPr>
        <w:tc>
          <w:tcPr>
            <w:tcW w:w="2222" w:type="dxa"/>
            <w:tcBorders>
              <w:top w:val="nil"/>
              <w:left w:val="nil"/>
              <w:bottom w:val="nil"/>
              <w:right w:val="nil"/>
            </w:tcBorders>
            <w:hideMark/>
          </w:tcPr>
          <w:p w14:paraId="18B78784" w14:textId="77777777" w:rsidR="00804491" w:rsidRDefault="00804491">
            <w:pPr>
              <w:kinsoku w:val="0"/>
              <w:overflowPunct w:val="0"/>
              <w:autoSpaceDE w:val="0"/>
              <w:autoSpaceDN w:val="0"/>
              <w:adjustRightInd w:val="0"/>
              <w:spacing w:before="32" w:after="0" w:line="240" w:lineRule="auto"/>
              <w:ind w:left="42"/>
              <w:rPr>
                <w:rFonts w:ascii="Arial" w:hAnsi="Arial" w:cs="Arial"/>
                <w:sz w:val="16"/>
                <w:szCs w:val="16"/>
              </w:rPr>
            </w:pPr>
            <w:r>
              <w:rPr>
                <w:rFonts w:ascii="Arial" w:hAnsi="Arial" w:cs="Arial"/>
                <w:sz w:val="16"/>
                <w:szCs w:val="16"/>
              </w:rPr>
              <w:t>Sompo</w:t>
            </w:r>
          </w:p>
        </w:tc>
        <w:tc>
          <w:tcPr>
            <w:tcW w:w="1414" w:type="dxa"/>
            <w:tcBorders>
              <w:top w:val="nil"/>
              <w:left w:val="nil"/>
              <w:bottom w:val="nil"/>
              <w:right w:val="nil"/>
            </w:tcBorders>
            <w:hideMark/>
          </w:tcPr>
          <w:p w14:paraId="53D682C2" w14:textId="77777777" w:rsidR="00804491" w:rsidRDefault="00804491">
            <w:pPr>
              <w:kinsoku w:val="0"/>
              <w:overflowPunct w:val="0"/>
              <w:autoSpaceDE w:val="0"/>
              <w:autoSpaceDN w:val="0"/>
              <w:adjustRightInd w:val="0"/>
              <w:spacing w:before="32" w:after="0" w:line="240" w:lineRule="auto"/>
              <w:ind w:right="90"/>
              <w:jc w:val="right"/>
              <w:rPr>
                <w:rFonts w:ascii="Arial" w:hAnsi="Arial" w:cs="Arial"/>
                <w:sz w:val="16"/>
                <w:szCs w:val="16"/>
              </w:rPr>
            </w:pPr>
            <w:r>
              <w:rPr>
                <w:rFonts w:ascii="Arial" w:hAnsi="Arial" w:cs="Arial"/>
                <w:sz w:val="16"/>
                <w:szCs w:val="16"/>
              </w:rPr>
              <w:t>552</w:t>
            </w:r>
          </w:p>
        </w:tc>
        <w:tc>
          <w:tcPr>
            <w:tcW w:w="1297" w:type="dxa"/>
            <w:tcBorders>
              <w:top w:val="nil"/>
              <w:left w:val="nil"/>
              <w:bottom w:val="nil"/>
              <w:right w:val="nil"/>
            </w:tcBorders>
            <w:hideMark/>
          </w:tcPr>
          <w:p w14:paraId="676321F8" w14:textId="77777777" w:rsidR="00804491" w:rsidRDefault="00804491">
            <w:pPr>
              <w:kinsoku w:val="0"/>
              <w:overflowPunct w:val="0"/>
              <w:autoSpaceDE w:val="0"/>
              <w:autoSpaceDN w:val="0"/>
              <w:adjustRightInd w:val="0"/>
              <w:spacing w:before="32" w:after="0" w:line="240" w:lineRule="auto"/>
              <w:ind w:right="25"/>
              <w:jc w:val="right"/>
              <w:rPr>
                <w:rFonts w:ascii="Arial" w:hAnsi="Arial" w:cs="Arial"/>
                <w:sz w:val="16"/>
                <w:szCs w:val="16"/>
              </w:rPr>
            </w:pPr>
            <w:r>
              <w:rPr>
                <w:rFonts w:ascii="Arial" w:hAnsi="Arial" w:cs="Arial"/>
                <w:sz w:val="16"/>
                <w:szCs w:val="16"/>
              </w:rPr>
              <w:t>27.2</w:t>
            </w:r>
          </w:p>
        </w:tc>
        <w:tc>
          <w:tcPr>
            <w:tcW w:w="360" w:type="dxa"/>
            <w:tcBorders>
              <w:top w:val="nil"/>
              <w:left w:val="nil"/>
              <w:bottom w:val="nil"/>
              <w:right w:val="nil"/>
            </w:tcBorders>
          </w:tcPr>
          <w:p w14:paraId="611B0A99" w14:textId="77777777" w:rsidR="00804491" w:rsidRDefault="00804491">
            <w:pPr>
              <w:kinsoku w:val="0"/>
              <w:overflowPunct w:val="0"/>
              <w:autoSpaceDE w:val="0"/>
              <w:autoSpaceDN w:val="0"/>
              <w:adjustRightInd w:val="0"/>
              <w:spacing w:after="0" w:line="240" w:lineRule="auto"/>
              <w:rPr>
                <w:rFonts w:ascii="Times New Roman" w:hAnsi="Times New Roman" w:cs="Times New Roman"/>
                <w:sz w:val="16"/>
                <w:szCs w:val="16"/>
              </w:rPr>
            </w:pPr>
          </w:p>
        </w:tc>
        <w:tc>
          <w:tcPr>
            <w:tcW w:w="579" w:type="dxa"/>
            <w:tcBorders>
              <w:top w:val="nil"/>
              <w:left w:val="nil"/>
              <w:bottom w:val="nil"/>
              <w:right w:val="nil"/>
            </w:tcBorders>
            <w:hideMark/>
          </w:tcPr>
          <w:p w14:paraId="657271D0"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color w:val="FF0000"/>
                <w:sz w:val="16"/>
                <w:szCs w:val="16"/>
              </w:rPr>
              <w:t>73.6</w:t>
            </w:r>
          </w:p>
        </w:tc>
        <w:tc>
          <w:tcPr>
            <w:tcW w:w="669" w:type="dxa"/>
            <w:tcBorders>
              <w:top w:val="nil"/>
              <w:left w:val="nil"/>
              <w:bottom w:val="nil"/>
              <w:right w:val="nil"/>
            </w:tcBorders>
            <w:hideMark/>
          </w:tcPr>
          <w:p w14:paraId="7285176B"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sz w:val="16"/>
                <w:szCs w:val="16"/>
              </w:rPr>
              <w:t>70.6</w:t>
            </w:r>
          </w:p>
        </w:tc>
        <w:tc>
          <w:tcPr>
            <w:tcW w:w="581" w:type="dxa"/>
            <w:tcBorders>
              <w:top w:val="nil"/>
              <w:left w:val="nil"/>
              <w:bottom w:val="nil"/>
              <w:right w:val="nil"/>
            </w:tcBorders>
            <w:hideMark/>
          </w:tcPr>
          <w:p w14:paraId="76E0626C"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sz w:val="16"/>
                <w:szCs w:val="16"/>
              </w:rPr>
              <w:t>71.3</w:t>
            </w:r>
          </w:p>
        </w:tc>
        <w:tc>
          <w:tcPr>
            <w:tcW w:w="669" w:type="dxa"/>
            <w:tcBorders>
              <w:top w:val="nil"/>
              <w:left w:val="nil"/>
              <w:bottom w:val="nil"/>
              <w:right w:val="nil"/>
            </w:tcBorders>
            <w:hideMark/>
          </w:tcPr>
          <w:p w14:paraId="192CC17F"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sz w:val="16"/>
                <w:szCs w:val="16"/>
              </w:rPr>
              <w:t>51.0</w:t>
            </w:r>
          </w:p>
        </w:tc>
        <w:tc>
          <w:tcPr>
            <w:tcW w:w="669" w:type="dxa"/>
            <w:tcBorders>
              <w:top w:val="nil"/>
              <w:left w:val="nil"/>
              <w:bottom w:val="nil"/>
              <w:right w:val="nil"/>
            </w:tcBorders>
            <w:hideMark/>
          </w:tcPr>
          <w:p w14:paraId="6507ED24"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sz w:val="16"/>
                <w:szCs w:val="16"/>
              </w:rPr>
              <w:t>70.7</w:t>
            </w:r>
          </w:p>
        </w:tc>
        <w:tc>
          <w:tcPr>
            <w:tcW w:w="669" w:type="dxa"/>
            <w:tcBorders>
              <w:top w:val="nil"/>
              <w:left w:val="nil"/>
              <w:bottom w:val="nil"/>
              <w:right w:val="nil"/>
            </w:tcBorders>
            <w:hideMark/>
          </w:tcPr>
          <w:p w14:paraId="7C216D45" w14:textId="77777777" w:rsidR="00804491" w:rsidRDefault="00804491">
            <w:pPr>
              <w:kinsoku w:val="0"/>
              <w:overflowPunct w:val="0"/>
              <w:autoSpaceDE w:val="0"/>
              <w:autoSpaceDN w:val="0"/>
              <w:adjustRightInd w:val="0"/>
              <w:spacing w:before="32" w:after="0" w:line="240" w:lineRule="auto"/>
              <w:ind w:right="178"/>
              <w:jc w:val="right"/>
              <w:rPr>
                <w:rFonts w:ascii="Arial" w:hAnsi="Arial" w:cs="Arial"/>
                <w:sz w:val="16"/>
                <w:szCs w:val="16"/>
              </w:rPr>
            </w:pPr>
            <w:r>
              <w:rPr>
                <w:rFonts w:ascii="Arial" w:hAnsi="Arial" w:cs="Arial"/>
                <w:sz w:val="16"/>
                <w:szCs w:val="16"/>
              </w:rPr>
              <w:t>56.4</w:t>
            </w:r>
          </w:p>
        </w:tc>
      </w:tr>
      <w:tr w:rsidR="00804491" w14:paraId="0482F5EB" w14:textId="77777777" w:rsidTr="00804491">
        <w:trPr>
          <w:trHeight w:val="252"/>
        </w:trPr>
        <w:tc>
          <w:tcPr>
            <w:tcW w:w="2222" w:type="dxa"/>
            <w:tcBorders>
              <w:top w:val="nil"/>
              <w:left w:val="nil"/>
              <w:bottom w:val="nil"/>
              <w:right w:val="nil"/>
            </w:tcBorders>
            <w:shd w:val="clear" w:color="auto" w:fill="C6D9F1" w:themeFill="text2" w:themeFillTint="33"/>
            <w:hideMark/>
          </w:tcPr>
          <w:p w14:paraId="5DA3F64C" w14:textId="77777777" w:rsidR="00804491" w:rsidRDefault="00804491">
            <w:pPr>
              <w:kinsoku w:val="0"/>
              <w:overflowPunct w:val="0"/>
              <w:autoSpaceDE w:val="0"/>
              <w:autoSpaceDN w:val="0"/>
              <w:adjustRightInd w:val="0"/>
              <w:spacing w:before="30" w:after="0" w:line="240" w:lineRule="auto"/>
              <w:ind w:left="42"/>
              <w:rPr>
                <w:rFonts w:ascii="Arial" w:hAnsi="Arial" w:cs="Arial"/>
                <w:sz w:val="16"/>
                <w:szCs w:val="16"/>
              </w:rPr>
            </w:pPr>
            <w:r>
              <w:rPr>
                <w:rFonts w:ascii="Arial" w:hAnsi="Arial" w:cs="Arial"/>
                <w:sz w:val="16"/>
                <w:szCs w:val="16"/>
              </w:rPr>
              <w:t>Zurich</w:t>
            </w:r>
          </w:p>
        </w:tc>
        <w:tc>
          <w:tcPr>
            <w:tcW w:w="1414" w:type="dxa"/>
            <w:tcBorders>
              <w:top w:val="nil"/>
              <w:left w:val="nil"/>
              <w:bottom w:val="nil"/>
              <w:right w:val="nil"/>
            </w:tcBorders>
            <w:shd w:val="clear" w:color="auto" w:fill="C6D9F1" w:themeFill="text2" w:themeFillTint="33"/>
            <w:hideMark/>
          </w:tcPr>
          <w:p w14:paraId="762CB4D9" w14:textId="77777777" w:rsidR="00804491" w:rsidRDefault="00804491">
            <w:pPr>
              <w:kinsoku w:val="0"/>
              <w:overflowPunct w:val="0"/>
              <w:autoSpaceDE w:val="0"/>
              <w:autoSpaceDN w:val="0"/>
              <w:adjustRightInd w:val="0"/>
              <w:spacing w:before="30" w:after="0" w:line="240" w:lineRule="auto"/>
              <w:ind w:right="90"/>
              <w:jc w:val="right"/>
              <w:rPr>
                <w:rFonts w:ascii="Arial" w:hAnsi="Arial" w:cs="Arial"/>
                <w:sz w:val="16"/>
                <w:szCs w:val="16"/>
              </w:rPr>
            </w:pPr>
            <w:r>
              <w:rPr>
                <w:rFonts w:ascii="Arial" w:hAnsi="Arial" w:cs="Arial"/>
                <w:sz w:val="16"/>
                <w:szCs w:val="16"/>
              </w:rPr>
              <w:t>524</w:t>
            </w:r>
          </w:p>
        </w:tc>
        <w:tc>
          <w:tcPr>
            <w:tcW w:w="1297" w:type="dxa"/>
            <w:tcBorders>
              <w:top w:val="nil"/>
              <w:left w:val="nil"/>
              <w:bottom w:val="nil"/>
              <w:right w:val="nil"/>
            </w:tcBorders>
            <w:shd w:val="clear" w:color="auto" w:fill="C6D9F1" w:themeFill="text2" w:themeFillTint="33"/>
            <w:hideMark/>
          </w:tcPr>
          <w:p w14:paraId="2C22D09C" w14:textId="77777777" w:rsidR="00804491" w:rsidRDefault="00804491">
            <w:pPr>
              <w:kinsoku w:val="0"/>
              <w:overflowPunct w:val="0"/>
              <w:autoSpaceDE w:val="0"/>
              <w:autoSpaceDN w:val="0"/>
              <w:adjustRightInd w:val="0"/>
              <w:spacing w:before="30" w:after="0" w:line="240" w:lineRule="auto"/>
              <w:ind w:right="26"/>
              <w:jc w:val="right"/>
              <w:rPr>
                <w:rFonts w:ascii="Arial" w:hAnsi="Arial" w:cs="Arial"/>
                <w:sz w:val="16"/>
                <w:szCs w:val="16"/>
              </w:rPr>
            </w:pPr>
            <w:r>
              <w:rPr>
                <w:rFonts w:ascii="Arial" w:hAnsi="Arial" w:cs="Arial"/>
                <w:sz w:val="16"/>
                <w:szCs w:val="16"/>
              </w:rPr>
              <w:t>42.0</w:t>
            </w:r>
          </w:p>
        </w:tc>
        <w:tc>
          <w:tcPr>
            <w:tcW w:w="360" w:type="dxa"/>
            <w:tcBorders>
              <w:top w:val="nil"/>
              <w:left w:val="nil"/>
              <w:bottom w:val="nil"/>
              <w:right w:val="nil"/>
            </w:tcBorders>
            <w:shd w:val="clear" w:color="auto" w:fill="C6D9F1" w:themeFill="text2" w:themeFillTint="33"/>
          </w:tcPr>
          <w:p w14:paraId="4EA9BA2D" w14:textId="77777777" w:rsidR="00804491" w:rsidRDefault="00804491">
            <w:pPr>
              <w:kinsoku w:val="0"/>
              <w:overflowPunct w:val="0"/>
              <w:autoSpaceDE w:val="0"/>
              <w:autoSpaceDN w:val="0"/>
              <w:adjustRightInd w:val="0"/>
              <w:spacing w:after="0" w:line="240" w:lineRule="auto"/>
              <w:rPr>
                <w:rFonts w:ascii="Times New Roman" w:hAnsi="Times New Roman" w:cs="Times New Roman"/>
                <w:sz w:val="16"/>
                <w:szCs w:val="16"/>
              </w:rPr>
            </w:pPr>
          </w:p>
        </w:tc>
        <w:tc>
          <w:tcPr>
            <w:tcW w:w="579" w:type="dxa"/>
            <w:tcBorders>
              <w:top w:val="nil"/>
              <w:left w:val="nil"/>
              <w:bottom w:val="nil"/>
              <w:right w:val="nil"/>
            </w:tcBorders>
            <w:shd w:val="clear" w:color="auto" w:fill="C6D9F1" w:themeFill="text2" w:themeFillTint="33"/>
            <w:hideMark/>
          </w:tcPr>
          <w:p w14:paraId="60583174" w14:textId="77777777" w:rsidR="00804491" w:rsidRDefault="00804491">
            <w:pPr>
              <w:kinsoku w:val="0"/>
              <w:overflowPunct w:val="0"/>
              <w:autoSpaceDE w:val="0"/>
              <w:autoSpaceDN w:val="0"/>
              <w:adjustRightInd w:val="0"/>
              <w:spacing w:before="30" w:after="0" w:line="240" w:lineRule="auto"/>
              <w:ind w:right="179"/>
              <w:jc w:val="right"/>
              <w:rPr>
                <w:rFonts w:ascii="Arial" w:hAnsi="Arial" w:cs="Arial"/>
                <w:sz w:val="16"/>
                <w:szCs w:val="16"/>
              </w:rPr>
            </w:pPr>
            <w:r>
              <w:rPr>
                <w:rFonts w:ascii="Arial" w:hAnsi="Arial" w:cs="Arial"/>
                <w:color w:val="FF0000"/>
                <w:sz w:val="16"/>
                <w:szCs w:val="16"/>
              </w:rPr>
              <w:t>86.2</w:t>
            </w:r>
          </w:p>
        </w:tc>
        <w:tc>
          <w:tcPr>
            <w:tcW w:w="669" w:type="dxa"/>
            <w:tcBorders>
              <w:top w:val="nil"/>
              <w:left w:val="nil"/>
              <w:bottom w:val="nil"/>
              <w:right w:val="nil"/>
            </w:tcBorders>
            <w:shd w:val="clear" w:color="auto" w:fill="C6D9F1" w:themeFill="text2" w:themeFillTint="33"/>
            <w:hideMark/>
          </w:tcPr>
          <w:p w14:paraId="326E1891" w14:textId="77777777" w:rsidR="00804491" w:rsidRDefault="00804491">
            <w:pPr>
              <w:kinsoku w:val="0"/>
              <w:overflowPunct w:val="0"/>
              <w:autoSpaceDE w:val="0"/>
              <w:autoSpaceDN w:val="0"/>
              <w:adjustRightInd w:val="0"/>
              <w:spacing w:before="30" w:after="0" w:line="240" w:lineRule="auto"/>
              <w:ind w:right="179"/>
              <w:jc w:val="right"/>
              <w:rPr>
                <w:rFonts w:ascii="Arial" w:hAnsi="Arial" w:cs="Arial"/>
                <w:sz w:val="16"/>
                <w:szCs w:val="16"/>
              </w:rPr>
            </w:pPr>
            <w:r>
              <w:rPr>
                <w:rFonts w:ascii="Arial" w:hAnsi="Arial" w:cs="Arial"/>
                <w:sz w:val="16"/>
                <w:szCs w:val="16"/>
              </w:rPr>
              <w:t>47.2</w:t>
            </w:r>
          </w:p>
        </w:tc>
        <w:tc>
          <w:tcPr>
            <w:tcW w:w="581" w:type="dxa"/>
            <w:tcBorders>
              <w:top w:val="nil"/>
              <w:left w:val="nil"/>
              <w:bottom w:val="nil"/>
              <w:right w:val="nil"/>
            </w:tcBorders>
            <w:shd w:val="clear" w:color="auto" w:fill="C6D9F1" w:themeFill="text2" w:themeFillTint="33"/>
            <w:hideMark/>
          </w:tcPr>
          <w:p w14:paraId="44B13BF5" w14:textId="77777777" w:rsidR="00804491" w:rsidRDefault="00804491">
            <w:pPr>
              <w:kinsoku w:val="0"/>
              <w:overflowPunct w:val="0"/>
              <w:autoSpaceDE w:val="0"/>
              <w:autoSpaceDN w:val="0"/>
              <w:adjustRightInd w:val="0"/>
              <w:spacing w:before="30" w:after="0" w:line="240" w:lineRule="auto"/>
              <w:ind w:right="179"/>
              <w:jc w:val="right"/>
              <w:rPr>
                <w:rFonts w:ascii="Arial" w:hAnsi="Arial" w:cs="Arial"/>
                <w:sz w:val="16"/>
                <w:szCs w:val="16"/>
              </w:rPr>
            </w:pPr>
            <w:r>
              <w:rPr>
                <w:rFonts w:ascii="Arial" w:hAnsi="Arial" w:cs="Arial"/>
                <w:sz w:val="16"/>
                <w:szCs w:val="16"/>
              </w:rPr>
              <w:t>62.4</w:t>
            </w:r>
          </w:p>
        </w:tc>
        <w:tc>
          <w:tcPr>
            <w:tcW w:w="669" w:type="dxa"/>
            <w:tcBorders>
              <w:top w:val="nil"/>
              <w:left w:val="nil"/>
              <w:bottom w:val="nil"/>
              <w:right w:val="nil"/>
            </w:tcBorders>
            <w:shd w:val="clear" w:color="auto" w:fill="C6D9F1" w:themeFill="text2" w:themeFillTint="33"/>
            <w:hideMark/>
          </w:tcPr>
          <w:p w14:paraId="5E55F234" w14:textId="77777777" w:rsidR="00804491" w:rsidRDefault="00804491">
            <w:pPr>
              <w:kinsoku w:val="0"/>
              <w:overflowPunct w:val="0"/>
              <w:autoSpaceDE w:val="0"/>
              <w:autoSpaceDN w:val="0"/>
              <w:adjustRightInd w:val="0"/>
              <w:spacing w:before="30" w:after="0" w:line="240" w:lineRule="auto"/>
              <w:ind w:right="179"/>
              <w:jc w:val="right"/>
              <w:rPr>
                <w:rFonts w:ascii="Arial" w:hAnsi="Arial" w:cs="Arial"/>
                <w:sz w:val="16"/>
                <w:szCs w:val="16"/>
              </w:rPr>
            </w:pPr>
            <w:r>
              <w:rPr>
                <w:rFonts w:ascii="Arial" w:hAnsi="Arial" w:cs="Arial"/>
                <w:sz w:val="16"/>
                <w:szCs w:val="16"/>
              </w:rPr>
              <w:t>79.9</w:t>
            </w:r>
          </w:p>
        </w:tc>
        <w:tc>
          <w:tcPr>
            <w:tcW w:w="669" w:type="dxa"/>
            <w:tcBorders>
              <w:top w:val="nil"/>
              <w:left w:val="nil"/>
              <w:bottom w:val="nil"/>
              <w:right w:val="nil"/>
            </w:tcBorders>
            <w:shd w:val="clear" w:color="auto" w:fill="C6D9F1" w:themeFill="text2" w:themeFillTint="33"/>
            <w:hideMark/>
          </w:tcPr>
          <w:p w14:paraId="2239AAAE" w14:textId="77777777" w:rsidR="00804491" w:rsidRDefault="00804491">
            <w:pPr>
              <w:kinsoku w:val="0"/>
              <w:overflowPunct w:val="0"/>
              <w:autoSpaceDE w:val="0"/>
              <w:autoSpaceDN w:val="0"/>
              <w:adjustRightInd w:val="0"/>
              <w:spacing w:before="30" w:after="0" w:line="240" w:lineRule="auto"/>
              <w:ind w:right="179"/>
              <w:jc w:val="right"/>
              <w:rPr>
                <w:rFonts w:ascii="Arial" w:hAnsi="Arial" w:cs="Arial"/>
                <w:sz w:val="16"/>
                <w:szCs w:val="16"/>
              </w:rPr>
            </w:pPr>
            <w:r>
              <w:rPr>
                <w:rFonts w:ascii="Arial" w:hAnsi="Arial" w:cs="Arial"/>
                <w:sz w:val="16"/>
                <w:szCs w:val="16"/>
              </w:rPr>
              <w:t>120.2</w:t>
            </w:r>
          </w:p>
        </w:tc>
        <w:tc>
          <w:tcPr>
            <w:tcW w:w="669" w:type="dxa"/>
            <w:tcBorders>
              <w:top w:val="nil"/>
              <w:left w:val="nil"/>
              <w:bottom w:val="nil"/>
              <w:right w:val="nil"/>
            </w:tcBorders>
            <w:shd w:val="clear" w:color="auto" w:fill="C6D9F1" w:themeFill="text2" w:themeFillTint="33"/>
            <w:hideMark/>
          </w:tcPr>
          <w:p w14:paraId="19559D5F" w14:textId="77777777" w:rsidR="00804491" w:rsidRDefault="00804491">
            <w:pPr>
              <w:kinsoku w:val="0"/>
              <w:overflowPunct w:val="0"/>
              <w:autoSpaceDE w:val="0"/>
              <w:autoSpaceDN w:val="0"/>
              <w:adjustRightInd w:val="0"/>
              <w:spacing w:before="30" w:after="0" w:line="240" w:lineRule="auto"/>
              <w:ind w:right="179"/>
              <w:jc w:val="right"/>
              <w:rPr>
                <w:rFonts w:ascii="Arial" w:hAnsi="Arial" w:cs="Arial"/>
                <w:sz w:val="16"/>
                <w:szCs w:val="16"/>
              </w:rPr>
            </w:pPr>
            <w:r>
              <w:rPr>
                <w:rFonts w:ascii="Arial" w:hAnsi="Arial" w:cs="Arial"/>
                <w:sz w:val="16"/>
                <w:szCs w:val="16"/>
              </w:rPr>
              <w:t>119.8</w:t>
            </w:r>
          </w:p>
        </w:tc>
      </w:tr>
      <w:tr w:rsidR="00804491" w14:paraId="3DC180E9" w14:textId="77777777" w:rsidTr="00804491">
        <w:trPr>
          <w:trHeight w:val="251"/>
        </w:trPr>
        <w:tc>
          <w:tcPr>
            <w:tcW w:w="2222" w:type="dxa"/>
            <w:tcBorders>
              <w:top w:val="nil"/>
              <w:left w:val="nil"/>
              <w:bottom w:val="nil"/>
              <w:right w:val="nil"/>
            </w:tcBorders>
            <w:hideMark/>
          </w:tcPr>
          <w:p w14:paraId="2F20F8E3" w14:textId="77777777" w:rsidR="00804491" w:rsidRDefault="00804491">
            <w:pPr>
              <w:kinsoku w:val="0"/>
              <w:overflowPunct w:val="0"/>
              <w:autoSpaceDE w:val="0"/>
              <w:autoSpaceDN w:val="0"/>
              <w:adjustRightInd w:val="0"/>
              <w:spacing w:before="29" w:after="0" w:line="240" w:lineRule="auto"/>
              <w:ind w:left="42"/>
              <w:rPr>
                <w:rFonts w:ascii="Arial" w:hAnsi="Arial" w:cs="Arial"/>
                <w:sz w:val="16"/>
                <w:szCs w:val="16"/>
              </w:rPr>
            </w:pPr>
            <w:r>
              <w:rPr>
                <w:rFonts w:ascii="Arial" w:hAnsi="Arial" w:cs="Arial"/>
                <w:sz w:val="16"/>
                <w:szCs w:val="16"/>
              </w:rPr>
              <w:t xml:space="preserve">CNA </w:t>
            </w:r>
          </w:p>
        </w:tc>
        <w:tc>
          <w:tcPr>
            <w:tcW w:w="1414" w:type="dxa"/>
            <w:tcBorders>
              <w:top w:val="nil"/>
              <w:left w:val="nil"/>
              <w:bottom w:val="nil"/>
              <w:right w:val="nil"/>
            </w:tcBorders>
            <w:hideMark/>
          </w:tcPr>
          <w:p w14:paraId="1EF8DF01" w14:textId="77777777" w:rsidR="00804491" w:rsidRDefault="00804491">
            <w:pPr>
              <w:kinsoku w:val="0"/>
              <w:overflowPunct w:val="0"/>
              <w:autoSpaceDE w:val="0"/>
              <w:autoSpaceDN w:val="0"/>
              <w:adjustRightInd w:val="0"/>
              <w:spacing w:before="29" w:after="0" w:line="240" w:lineRule="auto"/>
              <w:ind w:right="90"/>
              <w:jc w:val="right"/>
              <w:rPr>
                <w:rFonts w:ascii="Arial" w:hAnsi="Arial" w:cs="Arial"/>
                <w:sz w:val="16"/>
                <w:szCs w:val="16"/>
              </w:rPr>
            </w:pPr>
            <w:r>
              <w:rPr>
                <w:rFonts w:ascii="Arial" w:hAnsi="Arial" w:cs="Arial"/>
                <w:sz w:val="16"/>
                <w:szCs w:val="16"/>
              </w:rPr>
              <w:t>523</w:t>
            </w:r>
          </w:p>
        </w:tc>
        <w:tc>
          <w:tcPr>
            <w:tcW w:w="1297" w:type="dxa"/>
            <w:tcBorders>
              <w:top w:val="nil"/>
              <w:left w:val="nil"/>
              <w:bottom w:val="nil"/>
              <w:right w:val="nil"/>
            </w:tcBorders>
            <w:hideMark/>
          </w:tcPr>
          <w:p w14:paraId="4C8FE83A" w14:textId="77777777" w:rsidR="00804491" w:rsidRDefault="00804491">
            <w:pPr>
              <w:kinsoku w:val="0"/>
              <w:overflowPunct w:val="0"/>
              <w:autoSpaceDE w:val="0"/>
              <w:autoSpaceDN w:val="0"/>
              <w:adjustRightInd w:val="0"/>
              <w:spacing w:before="29" w:after="0" w:line="240" w:lineRule="auto"/>
              <w:ind w:right="25"/>
              <w:jc w:val="right"/>
              <w:rPr>
                <w:rFonts w:ascii="Arial" w:hAnsi="Arial" w:cs="Arial"/>
                <w:sz w:val="16"/>
                <w:szCs w:val="16"/>
              </w:rPr>
            </w:pPr>
            <w:r>
              <w:rPr>
                <w:rFonts w:ascii="Arial" w:hAnsi="Arial" w:cs="Arial"/>
                <w:sz w:val="16"/>
                <w:szCs w:val="16"/>
              </w:rPr>
              <w:t>19.3</w:t>
            </w:r>
          </w:p>
        </w:tc>
        <w:tc>
          <w:tcPr>
            <w:tcW w:w="360" w:type="dxa"/>
            <w:tcBorders>
              <w:top w:val="nil"/>
              <w:left w:val="nil"/>
              <w:bottom w:val="nil"/>
              <w:right w:val="nil"/>
            </w:tcBorders>
          </w:tcPr>
          <w:p w14:paraId="47CCE21F" w14:textId="77777777" w:rsidR="00804491" w:rsidRDefault="00804491">
            <w:pPr>
              <w:kinsoku w:val="0"/>
              <w:overflowPunct w:val="0"/>
              <w:autoSpaceDE w:val="0"/>
              <w:autoSpaceDN w:val="0"/>
              <w:adjustRightInd w:val="0"/>
              <w:spacing w:after="0" w:line="240" w:lineRule="auto"/>
              <w:rPr>
                <w:rFonts w:ascii="Times New Roman" w:hAnsi="Times New Roman" w:cs="Times New Roman"/>
                <w:sz w:val="16"/>
                <w:szCs w:val="16"/>
              </w:rPr>
            </w:pPr>
          </w:p>
        </w:tc>
        <w:tc>
          <w:tcPr>
            <w:tcW w:w="579" w:type="dxa"/>
            <w:tcBorders>
              <w:top w:val="nil"/>
              <w:left w:val="nil"/>
              <w:bottom w:val="nil"/>
              <w:right w:val="nil"/>
            </w:tcBorders>
            <w:hideMark/>
          </w:tcPr>
          <w:p w14:paraId="1A0B8C11"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color w:val="FF0000"/>
                <w:sz w:val="16"/>
                <w:szCs w:val="16"/>
              </w:rPr>
              <w:t>63.5</w:t>
            </w:r>
          </w:p>
        </w:tc>
        <w:tc>
          <w:tcPr>
            <w:tcW w:w="669" w:type="dxa"/>
            <w:tcBorders>
              <w:top w:val="nil"/>
              <w:left w:val="nil"/>
              <w:bottom w:val="nil"/>
              <w:right w:val="nil"/>
            </w:tcBorders>
            <w:hideMark/>
          </w:tcPr>
          <w:p w14:paraId="4809229F"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sz w:val="16"/>
                <w:szCs w:val="16"/>
              </w:rPr>
              <w:t>60.7</w:t>
            </w:r>
          </w:p>
        </w:tc>
        <w:tc>
          <w:tcPr>
            <w:tcW w:w="581" w:type="dxa"/>
            <w:tcBorders>
              <w:top w:val="nil"/>
              <w:left w:val="nil"/>
              <w:bottom w:val="nil"/>
              <w:right w:val="nil"/>
            </w:tcBorders>
            <w:hideMark/>
          </w:tcPr>
          <w:p w14:paraId="2181FB51"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sz w:val="16"/>
                <w:szCs w:val="16"/>
              </w:rPr>
              <w:t>65.1</w:t>
            </w:r>
          </w:p>
        </w:tc>
        <w:tc>
          <w:tcPr>
            <w:tcW w:w="669" w:type="dxa"/>
            <w:tcBorders>
              <w:top w:val="nil"/>
              <w:left w:val="nil"/>
              <w:bottom w:val="nil"/>
              <w:right w:val="nil"/>
            </w:tcBorders>
            <w:hideMark/>
          </w:tcPr>
          <w:p w14:paraId="129305D4"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sz w:val="16"/>
                <w:szCs w:val="16"/>
              </w:rPr>
              <w:t>59.0</w:t>
            </w:r>
          </w:p>
        </w:tc>
        <w:tc>
          <w:tcPr>
            <w:tcW w:w="669" w:type="dxa"/>
            <w:tcBorders>
              <w:top w:val="nil"/>
              <w:left w:val="nil"/>
              <w:bottom w:val="nil"/>
              <w:right w:val="nil"/>
            </w:tcBorders>
            <w:hideMark/>
          </w:tcPr>
          <w:p w14:paraId="2D5360B8"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sz w:val="16"/>
                <w:szCs w:val="16"/>
              </w:rPr>
              <w:t>74.5</w:t>
            </w:r>
          </w:p>
        </w:tc>
        <w:tc>
          <w:tcPr>
            <w:tcW w:w="669" w:type="dxa"/>
            <w:tcBorders>
              <w:top w:val="nil"/>
              <w:left w:val="nil"/>
              <w:bottom w:val="nil"/>
              <w:right w:val="nil"/>
            </w:tcBorders>
            <w:hideMark/>
          </w:tcPr>
          <w:p w14:paraId="72B2505A"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sz w:val="16"/>
                <w:szCs w:val="16"/>
              </w:rPr>
              <w:t>86.6</w:t>
            </w:r>
          </w:p>
        </w:tc>
      </w:tr>
      <w:tr w:rsidR="00804491" w14:paraId="69C248B4" w14:textId="77777777" w:rsidTr="00804491">
        <w:trPr>
          <w:trHeight w:val="251"/>
        </w:trPr>
        <w:tc>
          <w:tcPr>
            <w:tcW w:w="2222" w:type="dxa"/>
            <w:tcBorders>
              <w:top w:val="nil"/>
              <w:left w:val="nil"/>
              <w:bottom w:val="nil"/>
              <w:right w:val="nil"/>
            </w:tcBorders>
            <w:shd w:val="clear" w:color="auto" w:fill="C6D9F1" w:themeFill="text2" w:themeFillTint="33"/>
            <w:hideMark/>
          </w:tcPr>
          <w:p w14:paraId="437B39FE" w14:textId="77777777" w:rsidR="00804491" w:rsidRDefault="00804491">
            <w:pPr>
              <w:kinsoku w:val="0"/>
              <w:overflowPunct w:val="0"/>
              <w:autoSpaceDE w:val="0"/>
              <w:autoSpaceDN w:val="0"/>
              <w:adjustRightInd w:val="0"/>
              <w:spacing w:before="29" w:after="0" w:line="240" w:lineRule="auto"/>
              <w:ind w:left="41"/>
              <w:rPr>
                <w:rFonts w:ascii="Arial" w:hAnsi="Arial" w:cs="Arial"/>
                <w:sz w:val="16"/>
                <w:szCs w:val="16"/>
              </w:rPr>
            </w:pPr>
            <w:r>
              <w:rPr>
                <w:rFonts w:ascii="Arial" w:hAnsi="Arial" w:cs="Arial"/>
                <w:sz w:val="16"/>
                <w:szCs w:val="16"/>
              </w:rPr>
              <w:t>Arch</w:t>
            </w:r>
            <w:r>
              <w:rPr>
                <w:rFonts w:ascii="Arial" w:hAnsi="Arial" w:cs="Arial"/>
                <w:spacing w:val="-1"/>
                <w:sz w:val="16"/>
                <w:szCs w:val="16"/>
              </w:rPr>
              <w:t xml:space="preserve"> </w:t>
            </w:r>
            <w:r>
              <w:rPr>
                <w:rFonts w:ascii="Arial" w:hAnsi="Arial" w:cs="Arial"/>
                <w:sz w:val="16"/>
                <w:szCs w:val="16"/>
              </w:rPr>
              <w:t>Insurance</w:t>
            </w:r>
          </w:p>
        </w:tc>
        <w:tc>
          <w:tcPr>
            <w:tcW w:w="1414" w:type="dxa"/>
            <w:tcBorders>
              <w:top w:val="nil"/>
              <w:left w:val="nil"/>
              <w:bottom w:val="nil"/>
              <w:right w:val="nil"/>
            </w:tcBorders>
            <w:shd w:val="clear" w:color="auto" w:fill="C6D9F1" w:themeFill="text2" w:themeFillTint="33"/>
            <w:hideMark/>
          </w:tcPr>
          <w:p w14:paraId="696CACD2" w14:textId="77777777" w:rsidR="00804491" w:rsidRDefault="00804491">
            <w:pPr>
              <w:kinsoku w:val="0"/>
              <w:overflowPunct w:val="0"/>
              <w:autoSpaceDE w:val="0"/>
              <w:autoSpaceDN w:val="0"/>
              <w:adjustRightInd w:val="0"/>
              <w:spacing w:before="29" w:after="0" w:line="240" w:lineRule="auto"/>
              <w:ind w:right="91"/>
              <w:jc w:val="right"/>
              <w:rPr>
                <w:rFonts w:ascii="Arial" w:hAnsi="Arial" w:cs="Arial"/>
                <w:sz w:val="16"/>
                <w:szCs w:val="16"/>
              </w:rPr>
            </w:pPr>
            <w:r>
              <w:rPr>
                <w:rFonts w:ascii="Arial" w:hAnsi="Arial" w:cs="Arial"/>
                <w:sz w:val="16"/>
                <w:szCs w:val="16"/>
              </w:rPr>
              <w:t>476</w:t>
            </w:r>
          </w:p>
        </w:tc>
        <w:tc>
          <w:tcPr>
            <w:tcW w:w="1297" w:type="dxa"/>
            <w:tcBorders>
              <w:top w:val="nil"/>
              <w:left w:val="nil"/>
              <w:bottom w:val="nil"/>
              <w:right w:val="nil"/>
            </w:tcBorders>
            <w:shd w:val="clear" w:color="auto" w:fill="C6D9F1" w:themeFill="text2" w:themeFillTint="33"/>
            <w:hideMark/>
          </w:tcPr>
          <w:p w14:paraId="092EF58B" w14:textId="77777777" w:rsidR="00804491" w:rsidRDefault="00804491">
            <w:pPr>
              <w:kinsoku w:val="0"/>
              <w:overflowPunct w:val="0"/>
              <w:autoSpaceDE w:val="0"/>
              <w:autoSpaceDN w:val="0"/>
              <w:adjustRightInd w:val="0"/>
              <w:spacing w:before="29" w:after="0" w:line="240" w:lineRule="auto"/>
              <w:ind w:right="26"/>
              <w:jc w:val="right"/>
              <w:rPr>
                <w:rFonts w:ascii="Arial" w:hAnsi="Arial" w:cs="Arial"/>
                <w:sz w:val="16"/>
                <w:szCs w:val="16"/>
              </w:rPr>
            </w:pPr>
            <w:r>
              <w:rPr>
                <w:rFonts w:ascii="Arial" w:hAnsi="Arial" w:cs="Arial"/>
                <w:sz w:val="16"/>
                <w:szCs w:val="16"/>
              </w:rPr>
              <w:t>87.1</w:t>
            </w:r>
          </w:p>
        </w:tc>
        <w:tc>
          <w:tcPr>
            <w:tcW w:w="360" w:type="dxa"/>
            <w:tcBorders>
              <w:top w:val="nil"/>
              <w:left w:val="nil"/>
              <w:bottom w:val="nil"/>
              <w:right w:val="nil"/>
            </w:tcBorders>
            <w:shd w:val="clear" w:color="auto" w:fill="C6D9F1" w:themeFill="text2" w:themeFillTint="33"/>
          </w:tcPr>
          <w:p w14:paraId="698E95A2" w14:textId="77777777" w:rsidR="00804491" w:rsidRDefault="00804491">
            <w:pPr>
              <w:kinsoku w:val="0"/>
              <w:overflowPunct w:val="0"/>
              <w:autoSpaceDE w:val="0"/>
              <w:autoSpaceDN w:val="0"/>
              <w:adjustRightInd w:val="0"/>
              <w:spacing w:after="0" w:line="240" w:lineRule="auto"/>
              <w:rPr>
                <w:rFonts w:ascii="Times New Roman" w:hAnsi="Times New Roman" w:cs="Times New Roman"/>
                <w:sz w:val="16"/>
                <w:szCs w:val="16"/>
              </w:rPr>
            </w:pPr>
          </w:p>
        </w:tc>
        <w:tc>
          <w:tcPr>
            <w:tcW w:w="579" w:type="dxa"/>
            <w:tcBorders>
              <w:top w:val="nil"/>
              <w:left w:val="nil"/>
              <w:bottom w:val="nil"/>
              <w:right w:val="nil"/>
            </w:tcBorders>
            <w:shd w:val="clear" w:color="auto" w:fill="C6D9F1" w:themeFill="text2" w:themeFillTint="33"/>
            <w:hideMark/>
          </w:tcPr>
          <w:p w14:paraId="1E0F5446"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color w:val="00B050"/>
                <w:sz w:val="16"/>
                <w:szCs w:val="16"/>
              </w:rPr>
              <w:t>73.0</w:t>
            </w:r>
          </w:p>
        </w:tc>
        <w:tc>
          <w:tcPr>
            <w:tcW w:w="669" w:type="dxa"/>
            <w:tcBorders>
              <w:top w:val="nil"/>
              <w:left w:val="nil"/>
              <w:bottom w:val="nil"/>
              <w:right w:val="nil"/>
            </w:tcBorders>
            <w:shd w:val="clear" w:color="auto" w:fill="C6D9F1" w:themeFill="text2" w:themeFillTint="33"/>
            <w:hideMark/>
          </w:tcPr>
          <w:p w14:paraId="4D20D4E6"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sz w:val="16"/>
                <w:szCs w:val="16"/>
              </w:rPr>
              <w:t>84.4</w:t>
            </w:r>
          </w:p>
        </w:tc>
        <w:tc>
          <w:tcPr>
            <w:tcW w:w="581" w:type="dxa"/>
            <w:tcBorders>
              <w:top w:val="nil"/>
              <w:left w:val="nil"/>
              <w:bottom w:val="nil"/>
              <w:right w:val="nil"/>
            </w:tcBorders>
            <w:shd w:val="clear" w:color="auto" w:fill="C6D9F1" w:themeFill="text2" w:themeFillTint="33"/>
            <w:hideMark/>
          </w:tcPr>
          <w:p w14:paraId="7F9462BA"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sz w:val="16"/>
                <w:szCs w:val="16"/>
              </w:rPr>
              <w:t>81.4</w:t>
            </w:r>
          </w:p>
        </w:tc>
        <w:tc>
          <w:tcPr>
            <w:tcW w:w="669" w:type="dxa"/>
            <w:tcBorders>
              <w:top w:val="nil"/>
              <w:left w:val="nil"/>
              <w:bottom w:val="nil"/>
              <w:right w:val="nil"/>
            </w:tcBorders>
            <w:shd w:val="clear" w:color="auto" w:fill="C6D9F1" w:themeFill="text2" w:themeFillTint="33"/>
            <w:hideMark/>
          </w:tcPr>
          <w:p w14:paraId="7A9C7E57"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sz w:val="16"/>
                <w:szCs w:val="16"/>
              </w:rPr>
              <w:t>88.5</w:t>
            </w:r>
          </w:p>
        </w:tc>
        <w:tc>
          <w:tcPr>
            <w:tcW w:w="669" w:type="dxa"/>
            <w:tcBorders>
              <w:top w:val="nil"/>
              <w:left w:val="nil"/>
              <w:bottom w:val="nil"/>
              <w:right w:val="nil"/>
            </w:tcBorders>
            <w:shd w:val="clear" w:color="auto" w:fill="C6D9F1" w:themeFill="text2" w:themeFillTint="33"/>
            <w:hideMark/>
          </w:tcPr>
          <w:p w14:paraId="60A7CAB6"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sz w:val="16"/>
                <w:szCs w:val="16"/>
              </w:rPr>
              <w:t>39.2</w:t>
            </w:r>
          </w:p>
        </w:tc>
        <w:tc>
          <w:tcPr>
            <w:tcW w:w="669" w:type="dxa"/>
            <w:tcBorders>
              <w:top w:val="nil"/>
              <w:left w:val="nil"/>
              <w:bottom w:val="nil"/>
              <w:right w:val="nil"/>
            </w:tcBorders>
            <w:shd w:val="clear" w:color="auto" w:fill="C6D9F1" w:themeFill="text2" w:themeFillTint="33"/>
            <w:hideMark/>
          </w:tcPr>
          <w:p w14:paraId="201892BE"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sz w:val="16"/>
                <w:szCs w:val="16"/>
              </w:rPr>
              <w:t>32.9</w:t>
            </w:r>
          </w:p>
        </w:tc>
      </w:tr>
      <w:tr w:rsidR="00804491" w14:paraId="512DD0BE" w14:textId="77777777" w:rsidTr="00804491">
        <w:trPr>
          <w:trHeight w:val="251"/>
        </w:trPr>
        <w:tc>
          <w:tcPr>
            <w:tcW w:w="2222" w:type="dxa"/>
            <w:tcBorders>
              <w:top w:val="nil"/>
              <w:left w:val="nil"/>
              <w:bottom w:val="nil"/>
              <w:right w:val="nil"/>
            </w:tcBorders>
            <w:hideMark/>
          </w:tcPr>
          <w:p w14:paraId="5D6C1EBF" w14:textId="77777777" w:rsidR="00804491" w:rsidRDefault="00804491">
            <w:pPr>
              <w:kinsoku w:val="0"/>
              <w:overflowPunct w:val="0"/>
              <w:autoSpaceDE w:val="0"/>
              <w:autoSpaceDN w:val="0"/>
              <w:adjustRightInd w:val="0"/>
              <w:spacing w:before="29" w:after="0" w:line="240" w:lineRule="auto"/>
              <w:ind w:left="42"/>
              <w:rPr>
                <w:rFonts w:ascii="Arial" w:hAnsi="Arial" w:cs="Arial"/>
                <w:sz w:val="16"/>
                <w:szCs w:val="16"/>
              </w:rPr>
            </w:pPr>
            <w:r>
              <w:rPr>
                <w:rFonts w:ascii="Arial" w:hAnsi="Arial" w:cs="Arial"/>
                <w:sz w:val="16"/>
                <w:szCs w:val="16"/>
              </w:rPr>
              <w:t>Travelers</w:t>
            </w:r>
          </w:p>
        </w:tc>
        <w:tc>
          <w:tcPr>
            <w:tcW w:w="1414" w:type="dxa"/>
            <w:tcBorders>
              <w:top w:val="nil"/>
              <w:left w:val="nil"/>
              <w:bottom w:val="nil"/>
              <w:right w:val="nil"/>
            </w:tcBorders>
            <w:hideMark/>
          </w:tcPr>
          <w:p w14:paraId="17E45ACF" w14:textId="77777777" w:rsidR="00804491" w:rsidRDefault="00804491">
            <w:pPr>
              <w:kinsoku w:val="0"/>
              <w:overflowPunct w:val="0"/>
              <w:autoSpaceDE w:val="0"/>
              <w:autoSpaceDN w:val="0"/>
              <w:adjustRightInd w:val="0"/>
              <w:spacing w:before="29" w:after="0" w:line="240" w:lineRule="auto"/>
              <w:ind w:right="90"/>
              <w:jc w:val="right"/>
              <w:rPr>
                <w:rFonts w:ascii="Arial" w:hAnsi="Arial" w:cs="Arial"/>
                <w:sz w:val="16"/>
                <w:szCs w:val="16"/>
              </w:rPr>
            </w:pPr>
            <w:r>
              <w:rPr>
                <w:rFonts w:ascii="Arial" w:hAnsi="Arial" w:cs="Arial"/>
                <w:sz w:val="16"/>
                <w:szCs w:val="16"/>
              </w:rPr>
              <w:t>471</w:t>
            </w:r>
          </w:p>
        </w:tc>
        <w:tc>
          <w:tcPr>
            <w:tcW w:w="1297" w:type="dxa"/>
            <w:tcBorders>
              <w:top w:val="nil"/>
              <w:left w:val="nil"/>
              <w:bottom w:val="nil"/>
              <w:right w:val="nil"/>
            </w:tcBorders>
            <w:hideMark/>
          </w:tcPr>
          <w:p w14:paraId="2E7C6D60" w14:textId="77777777" w:rsidR="00804491" w:rsidRDefault="00804491">
            <w:pPr>
              <w:kinsoku w:val="0"/>
              <w:overflowPunct w:val="0"/>
              <w:autoSpaceDE w:val="0"/>
              <w:autoSpaceDN w:val="0"/>
              <w:adjustRightInd w:val="0"/>
              <w:spacing w:before="29" w:after="0" w:line="240" w:lineRule="auto"/>
              <w:ind w:right="25"/>
              <w:jc w:val="right"/>
              <w:rPr>
                <w:rFonts w:ascii="Arial" w:hAnsi="Arial" w:cs="Arial"/>
                <w:sz w:val="16"/>
                <w:szCs w:val="16"/>
              </w:rPr>
            </w:pPr>
            <w:r>
              <w:rPr>
                <w:rFonts w:ascii="Arial" w:hAnsi="Arial" w:cs="Arial"/>
                <w:sz w:val="16"/>
                <w:szCs w:val="16"/>
              </w:rPr>
              <w:t>11.5</w:t>
            </w:r>
          </w:p>
        </w:tc>
        <w:tc>
          <w:tcPr>
            <w:tcW w:w="360" w:type="dxa"/>
            <w:tcBorders>
              <w:top w:val="nil"/>
              <w:left w:val="nil"/>
              <w:bottom w:val="nil"/>
              <w:right w:val="nil"/>
            </w:tcBorders>
          </w:tcPr>
          <w:p w14:paraId="767CBBDC" w14:textId="77777777" w:rsidR="00804491" w:rsidRDefault="00804491">
            <w:pPr>
              <w:kinsoku w:val="0"/>
              <w:overflowPunct w:val="0"/>
              <w:autoSpaceDE w:val="0"/>
              <w:autoSpaceDN w:val="0"/>
              <w:adjustRightInd w:val="0"/>
              <w:spacing w:after="0" w:line="240" w:lineRule="auto"/>
              <w:rPr>
                <w:rFonts w:ascii="Times New Roman" w:hAnsi="Times New Roman" w:cs="Times New Roman"/>
                <w:sz w:val="16"/>
                <w:szCs w:val="16"/>
              </w:rPr>
            </w:pPr>
          </w:p>
        </w:tc>
        <w:tc>
          <w:tcPr>
            <w:tcW w:w="579" w:type="dxa"/>
            <w:tcBorders>
              <w:top w:val="nil"/>
              <w:left w:val="nil"/>
              <w:bottom w:val="nil"/>
              <w:right w:val="nil"/>
            </w:tcBorders>
            <w:hideMark/>
          </w:tcPr>
          <w:p w14:paraId="2A3FEBC5"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color w:val="00B050"/>
                <w:sz w:val="16"/>
                <w:szCs w:val="16"/>
              </w:rPr>
              <w:t>77.4</w:t>
            </w:r>
          </w:p>
        </w:tc>
        <w:tc>
          <w:tcPr>
            <w:tcW w:w="669" w:type="dxa"/>
            <w:tcBorders>
              <w:top w:val="nil"/>
              <w:left w:val="nil"/>
              <w:bottom w:val="nil"/>
              <w:right w:val="nil"/>
            </w:tcBorders>
            <w:hideMark/>
          </w:tcPr>
          <w:p w14:paraId="7144C05A"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sz w:val="16"/>
                <w:szCs w:val="16"/>
              </w:rPr>
              <w:t>86.7</w:t>
            </w:r>
          </w:p>
        </w:tc>
        <w:tc>
          <w:tcPr>
            <w:tcW w:w="581" w:type="dxa"/>
            <w:tcBorders>
              <w:top w:val="nil"/>
              <w:left w:val="nil"/>
              <w:bottom w:val="nil"/>
              <w:right w:val="nil"/>
            </w:tcBorders>
            <w:hideMark/>
          </w:tcPr>
          <w:p w14:paraId="75942A16"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sz w:val="16"/>
                <w:szCs w:val="16"/>
              </w:rPr>
              <w:t>44.4</w:t>
            </w:r>
          </w:p>
        </w:tc>
        <w:tc>
          <w:tcPr>
            <w:tcW w:w="669" w:type="dxa"/>
            <w:tcBorders>
              <w:top w:val="nil"/>
              <w:left w:val="nil"/>
              <w:bottom w:val="nil"/>
              <w:right w:val="nil"/>
            </w:tcBorders>
            <w:hideMark/>
          </w:tcPr>
          <w:p w14:paraId="501F95B0"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sz w:val="16"/>
                <w:szCs w:val="16"/>
              </w:rPr>
              <w:t>36.2</w:t>
            </w:r>
          </w:p>
        </w:tc>
        <w:tc>
          <w:tcPr>
            <w:tcW w:w="669" w:type="dxa"/>
            <w:tcBorders>
              <w:top w:val="nil"/>
              <w:left w:val="nil"/>
              <w:bottom w:val="nil"/>
              <w:right w:val="nil"/>
            </w:tcBorders>
            <w:hideMark/>
          </w:tcPr>
          <w:p w14:paraId="66BE58FA"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sz w:val="16"/>
                <w:szCs w:val="16"/>
              </w:rPr>
              <w:t>52.3</w:t>
            </w:r>
          </w:p>
        </w:tc>
        <w:tc>
          <w:tcPr>
            <w:tcW w:w="669" w:type="dxa"/>
            <w:tcBorders>
              <w:top w:val="nil"/>
              <w:left w:val="nil"/>
              <w:bottom w:val="nil"/>
              <w:right w:val="nil"/>
            </w:tcBorders>
            <w:hideMark/>
          </w:tcPr>
          <w:p w14:paraId="2F685912"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sz w:val="16"/>
                <w:szCs w:val="16"/>
              </w:rPr>
              <w:t>44.0</w:t>
            </w:r>
          </w:p>
        </w:tc>
      </w:tr>
      <w:tr w:rsidR="00804491" w14:paraId="180E84F0" w14:textId="77777777" w:rsidTr="00804491">
        <w:trPr>
          <w:trHeight w:val="251"/>
        </w:trPr>
        <w:tc>
          <w:tcPr>
            <w:tcW w:w="2222" w:type="dxa"/>
            <w:tcBorders>
              <w:top w:val="nil"/>
              <w:left w:val="nil"/>
              <w:bottom w:val="nil"/>
              <w:right w:val="nil"/>
            </w:tcBorders>
            <w:shd w:val="clear" w:color="auto" w:fill="C6D9F1" w:themeFill="text2" w:themeFillTint="33"/>
            <w:hideMark/>
          </w:tcPr>
          <w:p w14:paraId="65ADF49E" w14:textId="77777777" w:rsidR="00804491" w:rsidRDefault="00804491">
            <w:pPr>
              <w:kinsoku w:val="0"/>
              <w:overflowPunct w:val="0"/>
              <w:autoSpaceDE w:val="0"/>
              <w:autoSpaceDN w:val="0"/>
              <w:adjustRightInd w:val="0"/>
              <w:spacing w:before="29" w:after="0" w:line="240" w:lineRule="auto"/>
              <w:ind w:left="42"/>
              <w:rPr>
                <w:rFonts w:ascii="Arial" w:hAnsi="Arial" w:cs="Arial"/>
                <w:sz w:val="16"/>
                <w:szCs w:val="16"/>
              </w:rPr>
            </w:pPr>
            <w:r>
              <w:rPr>
                <w:rFonts w:ascii="Arial" w:hAnsi="Arial" w:cs="Arial"/>
                <w:sz w:val="16"/>
                <w:szCs w:val="16"/>
              </w:rPr>
              <w:t>Old Republic</w:t>
            </w:r>
          </w:p>
        </w:tc>
        <w:tc>
          <w:tcPr>
            <w:tcW w:w="1414" w:type="dxa"/>
            <w:tcBorders>
              <w:top w:val="nil"/>
              <w:left w:val="nil"/>
              <w:bottom w:val="nil"/>
              <w:right w:val="nil"/>
            </w:tcBorders>
            <w:shd w:val="clear" w:color="auto" w:fill="C6D9F1" w:themeFill="text2" w:themeFillTint="33"/>
            <w:hideMark/>
          </w:tcPr>
          <w:p w14:paraId="5D8E4B4E" w14:textId="77777777" w:rsidR="00804491" w:rsidRDefault="00804491">
            <w:pPr>
              <w:kinsoku w:val="0"/>
              <w:overflowPunct w:val="0"/>
              <w:autoSpaceDE w:val="0"/>
              <w:autoSpaceDN w:val="0"/>
              <w:adjustRightInd w:val="0"/>
              <w:spacing w:before="29" w:after="0" w:line="240" w:lineRule="auto"/>
              <w:ind w:right="90"/>
              <w:jc w:val="right"/>
              <w:rPr>
                <w:rFonts w:ascii="Arial" w:hAnsi="Arial" w:cs="Arial"/>
                <w:sz w:val="16"/>
                <w:szCs w:val="16"/>
              </w:rPr>
            </w:pPr>
            <w:r>
              <w:rPr>
                <w:rFonts w:ascii="Arial" w:hAnsi="Arial" w:cs="Arial"/>
                <w:sz w:val="16"/>
                <w:szCs w:val="16"/>
              </w:rPr>
              <w:t>335</w:t>
            </w:r>
          </w:p>
        </w:tc>
        <w:tc>
          <w:tcPr>
            <w:tcW w:w="1297" w:type="dxa"/>
            <w:tcBorders>
              <w:top w:val="nil"/>
              <w:left w:val="nil"/>
              <w:bottom w:val="nil"/>
              <w:right w:val="nil"/>
            </w:tcBorders>
            <w:shd w:val="clear" w:color="auto" w:fill="C6D9F1" w:themeFill="text2" w:themeFillTint="33"/>
            <w:hideMark/>
          </w:tcPr>
          <w:p w14:paraId="36EBDD7B" w14:textId="77777777" w:rsidR="00804491" w:rsidRDefault="00804491">
            <w:pPr>
              <w:kinsoku w:val="0"/>
              <w:overflowPunct w:val="0"/>
              <w:autoSpaceDE w:val="0"/>
              <w:autoSpaceDN w:val="0"/>
              <w:adjustRightInd w:val="0"/>
              <w:spacing w:before="29" w:after="0" w:line="240" w:lineRule="auto"/>
              <w:ind w:right="25"/>
              <w:jc w:val="right"/>
              <w:rPr>
                <w:rFonts w:ascii="Arial" w:hAnsi="Arial" w:cs="Arial"/>
                <w:sz w:val="16"/>
                <w:szCs w:val="16"/>
              </w:rPr>
            </w:pPr>
            <w:r>
              <w:rPr>
                <w:rFonts w:ascii="Arial" w:hAnsi="Arial" w:cs="Arial"/>
                <w:sz w:val="16"/>
                <w:szCs w:val="16"/>
              </w:rPr>
              <w:t>35.3</w:t>
            </w:r>
          </w:p>
        </w:tc>
        <w:tc>
          <w:tcPr>
            <w:tcW w:w="360" w:type="dxa"/>
            <w:tcBorders>
              <w:top w:val="nil"/>
              <w:left w:val="nil"/>
              <w:bottom w:val="nil"/>
              <w:right w:val="nil"/>
            </w:tcBorders>
            <w:shd w:val="clear" w:color="auto" w:fill="C6D9F1" w:themeFill="text2" w:themeFillTint="33"/>
          </w:tcPr>
          <w:p w14:paraId="119C91FA" w14:textId="77777777" w:rsidR="00804491" w:rsidRDefault="00804491">
            <w:pPr>
              <w:kinsoku w:val="0"/>
              <w:overflowPunct w:val="0"/>
              <w:autoSpaceDE w:val="0"/>
              <w:autoSpaceDN w:val="0"/>
              <w:adjustRightInd w:val="0"/>
              <w:spacing w:after="0" w:line="240" w:lineRule="auto"/>
              <w:rPr>
                <w:rFonts w:ascii="Times New Roman" w:hAnsi="Times New Roman" w:cs="Times New Roman"/>
                <w:sz w:val="16"/>
                <w:szCs w:val="16"/>
              </w:rPr>
            </w:pPr>
          </w:p>
        </w:tc>
        <w:tc>
          <w:tcPr>
            <w:tcW w:w="579" w:type="dxa"/>
            <w:tcBorders>
              <w:top w:val="nil"/>
              <w:left w:val="nil"/>
              <w:bottom w:val="nil"/>
              <w:right w:val="nil"/>
            </w:tcBorders>
            <w:shd w:val="clear" w:color="auto" w:fill="C6D9F1" w:themeFill="text2" w:themeFillTint="33"/>
            <w:hideMark/>
          </w:tcPr>
          <w:p w14:paraId="3E98D293"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color w:val="00B050"/>
                <w:sz w:val="16"/>
                <w:szCs w:val="16"/>
              </w:rPr>
              <w:t>63.7</w:t>
            </w:r>
          </w:p>
        </w:tc>
        <w:tc>
          <w:tcPr>
            <w:tcW w:w="669" w:type="dxa"/>
            <w:tcBorders>
              <w:top w:val="nil"/>
              <w:left w:val="nil"/>
              <w:bottom w:val="nil"/>
              <w:right w:val="nil"/>
            </w:tcBorders>
            <w:shd w:val="clear" w:color="auto" w:fill="C6D9F1" w:themeFill="text2" w:themeFillTint="33"/>
            <w:hideMark/>
          </w:tcPr>
          <w:p w14:paraId="07D3386F"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sz w:val="16"/>
                <w:szCs w:val="16"/>
              </w:rPr>
              <w:t>64.6</w:t>
            </w:r>
          </w:p>
        </w:tc>
        <w:tc>
          <w:tcPr>
            <w:tcW w:w="581" w:type="dxa"/>
            <w:tcBorders>
              <w:top w:val="nil"/>
              <w:left w:val="nil"/>
              <w:bottom w:val="nil"/>
              <w:right w:val="nil"/>
            </w:tcBorders>
            <w:shd w:val="clear" w:color="auto" w:fill="C6D9F1" w:themeFill="text2" w:themeFillTint="33"/>
            <w:hideMark/>
          </w:tcPr>
          <w:p w14:paraId="4D28A46F"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sz w:val="16"/>
                <w:szCs w:val="16"/>
              </w:rPr>
              <w:t>65.9</w:t>
            </w:r>
          </w:p>
        </w:tc>
        <w:tc>
          <w:tcPr>
            <w:tcW w:w="669" w:type="dxa"/>
            <w:tcBorders>
              <w:top w:val="nil"/>
              <w:left w:val="nil"/>
              <w:bottom w:val="nil"/>
              <w:right w:val="nil"/>
            </w:tcBorders>
            <w:shd w:val="clear" w:color="auto" w:fill="C6D9F1" w:themeFill="text2" w:themeFillTint="33"/>
            <w:hideMark/>
          </w:tcPr>
          <w:p w14:paraId="2B391350"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sz w:val="16"/>
                <w:szCs w:val="16"/>
              </w:rPr>
              <w:t>63.3</w:t>
            </w:r>
          </w:p>
        </w:tc>
        <w:tc>
          <w:tcPr>
            <w:tcW w:w="669" w:type="dxa"/>
            <w:tcBorders>
              <w:top w:val="nil"/>
              <w:left w:val="nil"/>
              <w:bottom w:val="nil"/>
              <w:right w:val="nil"/>
            </w:tcBorders>
            <w:shd w:val="clear" w:color="auto" w:fill="C6D9F1" w:themeFill="text2" w:themeFillTint="33"/>
            <w:hideMark/>
          </w:tcPr>
          <w:p w14:paraId="47A6A77F"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sz w:val="16"/>
                <w:szCs w:val="16"/>
              </w:rPr>
              <w:t>71.0</w:t>
            </w:r>
          </w:p>
        </w:tc>
        <w:tc>
          <w:tcPr>
            <w:tcW w:w="669" w:type="dxa"/>
            <w:tcBorders>
              <w:top w:val="nil"/>
              <w:left w:val="nil"/>
              <w:bottom w:val="nil"/>
              <w:right w:val="nil"/>
            </w:tcBorders>
            <w:shd w:val="clear" w:color="auto" w:fill="C6D9F1" w:themeFill="text2" w:themeFillTint="33"/>
            <w:hideMark/>
          </w:tcPr>
          <w:p w14:paraId="5F749F42" w14:textId="77777777" w:rsidR="00804491" w:rsidRDefault="00804491">
            <w:pPr>
              <w:kinsoku w:val="0"/>
              <w:overflowPunct w:val="0"/>
              <w:autoSpaceDE w:val="0"/>
              <w:autoSpaceDN w:val="0"/>
              <w:adjustRightInd w:val="0"/>
              <w:spacing w:before="29" w:after="0" w:line="240" w:lineRule="auto"/>
              <w:ind w:right="178"/>
              <w:jc w:val="right"/>
              <w:rPr>
                <w:rFonts w:ascii="Arial" w:hAnsi="Arial" w:cs="Arial"/>
                <w:sz w:val="16"/>
                <w:szCs w:val="16"/>
              </w:rPr>
            </w:pPr>
            <w:r>
              <w:rPr>
                <w:rFonts w:ascii="Arial" w:hAnsi="Arial" w:cs="Arial"/>
                <w:sz w:val="16"/>
                <w:szCs w:val="16"/>
              </w:rPr>
              <w:t>49.2</w:t>
            </w:r>
          </w:p>
        </w:tc>
      </w:tr>
      <w:tr w:rsidR="00804491" w14:paraId="5A68BBC0" w14:textId="77777777" w:rsidTr="00804491">
        <w:trPr>
          <w:trHeight w:val="251"/>
        </w:trPr>
        <w:tc>
          <w:tcPr>
            <w:tcW w:w="2222" w:type="dxa"/>
            <w:tcBorders>
              <w:top w:val="nil"/>
              <w:left w:val="nil"/>
              <w:bottom w:val="nil"/>
              <w:right w:val="nil"/>
            </w:tcBorders>
            <w:hideMark/>
          </w:tcPr>
          <w:p w14:paraId="000EBC7D" w14:textId="77777777" w:rsidR="00804491" w:rsidRDefault="00804491">
            <w:pPr>
              <w:kinsoku w:val="0"/>
              <w:overflowPunct w:val="0"/>
              <w:autoSpaceDE w:val="0"/>
              <w:autoSpaceDN w:val="0"/>
              <w:adjustRightInd w:val="0"/>
              <w:spacing w:before="29" w:after="0" w:line="240" w:lineRule="auto"/>
              <w:ind w:left="41"/>
              <w:rPr>
                <w:rFonts w:ascii="Arial" w:hAnsi="Arial" w:cs="Arial"/>
                <w:sz w:val="16"/>
                <w:szCs w:val="16"/>
              </w:rPr>
            </w:pPr>
            <w:r>
              <w:rPr>
                <w:rFonts w:ascii="Arial" w:hAnsi="Arial" w:cs="Arial"/>
                <w:sz w:val="16"/>
                <w:szCs w:val="16"/>
              </w:rPr>
              <w:t>Great American</w:t>
            </w:r>
          </w:p>
        </w:tc>
        <w:tc>
          <w:tcPr>
            <w:tcW w:w="1414" w:type="dxa"/>
            <w:tcBorders>
              <w:top w:val="nil"/>
              <w:left w:val="nil"/>
              <w:bottom w:val="nil"/>
              <w:right w:val="nil"/>
            </w:tcBorders>
            <w:hideMark/>
          </w:tcPr>
          <w:p w14:paraId="5061BDF5" w14:textId="77777777" w:rsidR="00804491" w:rsidRDefault="00804491">
            <w:pPr>
              <w:kinsoku w:val="0"/>
              <w:overflowPunct w:val="0"/>
              <w:autoSpaceDE w:val="0"/>
              <w:autoSpaceDN w:val="0"/>
              <w:adjustRightInd w:val="0"/>
              <w:spacing w:before="29" w:after="0" w:line="240" w:lineRule="auto"/>
              <w:ind w:right="91"/>
              <w:jc w:val="right"/>
              <w:rPr>
                <w:rFonts w:ascii="Arial" w:hAnsi="Arial" w:cs="Arial"/>
                <w:sz w:val="16"/>
                <w:szCs w:val="16"/>
              </w:rPr>
            </w:pPr>
            <w:r>
              <w:rPr>
                <w:rFonts w:ascii="Arial" w:hAnsi="Arial" w:cs="Arial"/>
                <w:sz w:val="16"/>
                <w:szCs w:val="16"/>
              </w:rPr>
              <w:t>320</w:t>
            </w:r>
          </w:p>
        </w:tc>
        <w:tc>
          <w:tcPr>
            <w:tcW w:w="1297" w:type="dxa"/>
            <w:tcBorders>
              <w:top w:val="nil"/>
              <w:left w:val="nil"/>
              <w:bottom w:val="nil"/>
              <w:right w:val="nil"/>
            </w:tcBorders>
            <w:hideMark/>
          </w:tcPr>
          <w:p w14:paraId="50C142D6" w14:textId="77777777" w:rsidR="00804491" w:rsidRDefault="00804491">
            <w:pPr>
              <w:kinsoku w:val="0"/>
              <w:overflowPunct w:val="0"/>
              <w:autoSpaceDE w:val="0"/>
              <w:autoSpaceDN w:val="0"/>
              <w:adjustRightInd w:val="0"/>
              <w:spacing w:before="29" w:after="0" w:line="240" w:lineRule="auto"/>
              <w:ind w:right="26"/>
              <w:jc w:val="right"/>
              <w:rPr>
                <w:rFonts w:ascii="Arial" w:hAnsi="Arial" w:cs="Arial"/>
                <w:sz w:val="16"/>
                <w:szCs w:val="16"/>
              </w:rPr>
            </w:pPr>
            <w:r>
              <w:rPr>
                <w:rFonts w:ascii="Arial" w:hAnsi="Arial" w:cs="Arial"/>
                <w:sz w:val="16"/>
                <w:szCs w:val="16"/>
              </w:rPr>
              <w:t>12.8</w:t>
            </w:r>
          </w:p>
        </w:tc>
        <w:tc>
          <w:tcPr>
            <w:tcW w:w="360" w:type="dxa"/>
            <w:tcBorders>
              <w:top w:val="nil"/>
              <w:left w:val="nil"/>
              <w:bottom w:val="nil"/>
              <w:right w:val="nil"/>
            </w:tcBorders>
          </w:tcPr>
          <w:p w14:paraId="212DE343" w14:textId="77777777" w:rsidR="00804491" w:rsidRDefault="00804491">
            <w:pPr>
              <w:kinsoku w:val="0"/>
              <w:overflowPunct w:val="0"/>
              <w:autoSpaceDE w:val="0"/>
              <w:autoSpaceDN w:val="0"/>
              <w:adjustRightInd w:val="0"/>
              <w:spacing w:after="0" w:line="240" w:lineRule="auto"/>
              <w:rPr>
                <w:rFonts w:ascii="Times New Roman" w:hAnsi="Times New Roman" w:cs="Times New Roman"/>
                <w:sz w:val="16"/>
                <w:szCs w:val="16"/>
              </w:rPr>
            </w:pPr>
          </w:p>
        </w:tc>
        <w:tc>
          <w:tcPr>
            <w:tcW w:w="579" w:type="dxa"/>
            <w:tcBorders>
              <w:top w:val="nil"/>
              <w:left w:val="nil"/>
              <w:bottom w:val="nil"/>
              <w:right w:val="nil"/>
            </w:tcBorders>
            <w:hideMark/>
          </w:tcPr>
          <w:p w14:paraId="78743ACF"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color w:val="00B050"/>
                <w:sz w:val="16"/>
                <w:szCs w:val="16"/>
              </w:rPr>
              <w:t>51.8</w:t>
            </w:r>
          </w:p>
        </w:tc>
        <w:tc>
          <w:tcPr>
            <w:tcW w:w="669" w:type="dxa"/>
            <w:tcBorders>
              <w:top w:val="nil"/>
              <w:left w:val="nil"/>
              <w:bottom w:val="nil"/>
              <w:right w:val="nil"/>
            </w:tcBorders>
            <w:hideMark/>
          </w:tcPr>
          <w:p w14:paraId="1E00FD41"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sz w:val="16"/>
                <w:szCs w:val="16"/>
              </w:rPr>
              <w:t>66.8</w:t>
            </w:r>
          </w:p>
        </w:tc>
        <w:tc>
          <w:tcPr>
            <w:tcW w:w="581" w:type="dxa"/>
            <w:tcBorders>
              <w:top w:val="nil"/>
              <w:left w:val="nil"/>
              <w:bottom w:val="nil"/>
              <w:right w:val="nil"/>
            </w:tcBorders>
            <w:hideMark/>
          </w:tcPr>
          <w:p w14:paraId="27006960"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sz w:val="16"/>
                <w:szCs w:val="16"/>
              </w:rPr>
              <w:t>63.2</w:t>
            </w:r>
          </w:p>
        </w:tc>
        <w:tc>
          <w:tcPr>
            <w:tcW w:w="669" w:type="dxa"/>
            <w:tcBorders>
              <w:top w:val="nil"/>
              <w:left w:val="nil"/>
              <w:bottom w:val="nil"/>
              <w:right w:val="nil"/>
            </w:tcBorders>
            <w:hideMark/>
          </w:tcPr>
          <w:p w14:paraId="55D75BA5"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sz w:val="16"/>
                <w:szCs w:val="16"/>
              </w:rPr>
              <w:t>58.8</w:t>
            </w:r>
          </w:p>
        </w:tc>
        <w:tc>
          <w:tcPr>
            <w:tcW w:w="669" w:type="dxa"/>
            <w:tcBorders>
              <w:top w:val="nil"/>
              <w:left w:val="nil"/>
              <w:bottom w:val="nil"/>
              <w:right w:val="nil"/>
            </w:tcBorders>
            <w:hideMark/>
          </w:tcPr>
          <w:p w14:paraId="41E3A5A1"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sz w:val="16"/>
                <w:szCs w:val="16"/>
              </w:rPr>
              <w:t>60.9</w:t>
            </w:r>
          </w:p>
        </w:tc>
        <w:tc>
          <w:tcPr>
            <w:tcW w:w="669" w:type="dxa"/>
            <w:tcBorders>
              <w:top w:val="nil"/>
              <w:left w:val="nil"/>
              <w:bottom w:val="nil"/>
              <w:right w:val="nil"/>
            </w:tcBorders>
            <w:hideMark/>
          </w:tcPr>
          <w:p w14:paraId="5555DF6A"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sz w:val="16"/>
                <w:szCs w:val="16"/>
              </w:rPr>
              <w:t>47.8</w:t>
            </w:r>
          </w:p>
        </w:tc>
      </w:tr>
      <w:tr w:rsidR="00804491" w14:paraId="29CD84DC" w14:textId="77777777" w:rsidTr="00804491">
        <w:trPr>
          <w:trHeight w:val="251"/>
        </w:trPr>
        <w:tc>
          <w:tcPr>
            <w:tcW w:w="2222" w:type="dxa"/>
            <w:tcBorders>
              <w:top w:val="nil"/>
              <w:left w:val="nil"/>
              <w:bottom w:val="nil"/>
              <w:right w:val="nil"/>
            </w:tcBorders>
            <w:shd w:val="clear" w:color="auto" w:fill="C6D9F1" w:themeFill="text2" w:themeFillTint="33"/>
            <w:hideMark/>
          </w:tcPr>
          <w:p w14:paraId="7EF79135" w14:textId="77777777" w:rsidR="00804491" w:rsidRDefault="00804491">
            <w:pPr>
              <w:kinsoku w:val="0"/>
              <w:overflowPunct w:val="0"/>
              <w:autoSpaceDE w:val="0"/>
              <w:autoSpaceDN w:val="0"/>
              <w:adjustRightInd w:val="0"/>
              <w:spacing w:before="29" w:after="0" w:line="240" w:lineRule="auto"/>
              <w:ind w:left="41"/>
              <w:rPr>
                <w:rFonts w:ascii="Arial" w:hAnsi="Arial" w:cs="Arial"/>
                <w:sz w:val="16"/>
                <w:szCs w:val="16"/>
              </w:rPr>
            </w:pPr>
            <w:r>
              <w:rPr>
                <w:rFonts w:ascii="Arial" w:hAnsi="Arial" w:cs="Arial"/>
                <w:sz w:val="16"/>
                <w:szCs w:val="16"/>
              </w:rPr>
              <w:t>Markel Corporation</w:t>
            </w:r>
          </w:p>
        </w:tc>
        <w:tc>
          <w:tcPr>
            <w:tcW w:w="1414" w:type="dxa"/>
            <w:tcBorders>
              <w:top w:val="nil"/>
              <w:left w:val="nil"/>
              <w:bottom w:val="nil"/>
              <w:right w:val="nil"/>
            </w:tcBorders>
            <w:shd w:val="clear" w:color="auto" w:fill="C6D9F1" w:themeFill="text2" w:themeFillTint="33"/>
            <w:hideMark/>
          </w:tcPr>
          <w:p w14:paraId="7A8AA3FF" w14:textId="77777777" w:rsidR="00804491" w:rsidRDefault="00804491">
            <w:pPr>
              <w:kinsoku w:val="0"/>
              <w:overflowPunct w:val="0"/>
              <w:autoSpaceDE w:val="0"/>
              <w:autoSpaceDN w:val="0"/>
              <w:adjustRightInd w:val="0"/>
              <w:spacing w:before="29" w:after="0" w:line="240" w:lineRule="auto"/>
              <w:ind w:right="91"/>
              <w:jc w:val="right"/>
              <w:rPr>
                <w:rFonts w:ascii="Arial" w:hAnsi="Arial" w:cs="Arial"/>
                <w:sz w:val="16"/>
                <w:szCs w:val="16"/>
              </w:rPr>
            </w:pPr>
            <w:r>
              <w:rPr>
                <w:rFonts w:ascii="Arial" w:hAnsi="Arial" w:cs="Arial"/>
                <w:sz w:val="16"/>
                <w:szCs w:val="16"/>
              </w:rPr>
              <w:t>320</w:t>
            </w:r>
          </w:p>
        </w:tc>
        <w:tc>
          <w:tcPr>
            <w:tcW w:w="1297" w:type="dxa"/>
            <w:tcBorders>
              <w:top w:val="nil"/>
              <w:left w:val="nil"/>
              <w:bottom w:val="nil"/>
              <w:right w:val="nil"/>
            </w:tcBorders>
            <w:shd w:val="clear" w:color="auto" w:fill="C6D9F1" w:themeFill="text2" w:themeFillTint="33"/>
            <w:hideMark/>
          </w:tcPr>
          <w:p w14:paraId="33C276AE" w14:textId="77777777" w:rsidR="00804491" w:rsidRDefault="00804491">
            <w:pPr>
              <w:kinsoku w:val="0"/>
              <w:overflowPunct w:val="0"/>
              <w:autoSpaceDE w:val="0"/>
              <w:autoSpaceDN w:val="0"/>
              <w:adjustRightInd w:val="0"/>
              <w:spacing w:before="29" w:after="0" w:line="240" w:lineRule="auto"/>
              <w:ind w:right="26"/>
              <w:jc w:val="right"/>
              <w:rPr>
                <w:rFonts w:ascii="Arial" w:hAnsi="Arial" w:cs="Arial"/>
                <w:sz w:val="16"/>
                <w:szCs w:val="16"/>
              </w:rPr>
            </w:pPr>
            <w:r>
              <w:rPr>
                <w:rFonts w:ascii="Arial" w:hAnsi="Arial" w:cs="Arial"/>
                <w:sz w:val="16"/>
                <w:szCs w:val="16"/>
              </w:rPr>
              <w:t>56.7</w:t>
            </w:r>
          </w:p>
        </w:tc>
        <w:tc>
          <w:tcPr>
            <w:tcW w:w="360" w:type="dxa"/>
            <w:tcBorders>
              <w:top w:val="nil"/>
              <w:left w:val="nil"/>
              <w:bottom w:val="nil"/>
              <w:right w:val="nil"/>
            </w:tcBorders>
            <w:shd w:val="clear" w:color="auto" w:fill="C6D9F1" w:themeFill="text2" w:themeFillTint="33"/>
          </w:tcPr>
          <w:p w14:paraId="464FD397" w14:textId="77777777" w:rsidR="00804491" w:rsidRDefault="00804491">
            <w:pPr>
              <w:kinsoku w:val="0"/>
              <w:overflowPunct w:val="0"/>
              <w:autoSpaceDE w:val="0"/>
              <w:autoSpaceDN w:val="0"/>
              <w:adjustRightInd w:val="0"/>
              <w:spacing w:after="0" w:line="240" w:lineRule="auto"/>
              <w:rPr>
                <w:rFonts w:ascii="Times New Roman" w:hAnsi="Times New Roman" w:cs="Times New Roman"/>
                <w:sz w:val="16"/>
                <w:szCs w:val="16"/>
              </w:rPr>
            </w:pPr>
          </w:p>
        </w:tc>
        <w:tc>
          <w:tcPr>
            <w:tcW w:w="579" w:type="dxa"/>
            <w:tcBorders>
              <w:top w:val="nil"/>
              <w:left w:val="nil"/>
              <w:bottom w:val="nil"/>
              <w:right w:val="nil"/>
            </w:tcBorders>
            <w:shd w:val="clear" w:color="auto" w:fill="C6D9F1" w:themeFill="text2" w:themeFillTint="33"/>
            <w:hideMark/>
          </w:tcPr>
          <w:p w14:paraId="7F7534A6"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color w:val="FF0000"/>
                <w:sz w:val="16"/>
                <w:szCs w:val="16"/>
              </w:rPr>
              <w:t>62.5</w:t>
            </w:r>
          </w:p>
        </w:tc>
        <w:tc>
          <w:tcPr>
            <w:tcW w:w="669" w:type="dxa"/>
            <w:tcBorders>
              <w:top w:val="nil"/>
              <w:left w:val="nil"/>
              <w:bottom w:val="nil"/>
              <w:right w:val="nil"/>
            </w:tcBorders>
            <w:shd w:val="clear" w:color="auto" w:fill="C6D9F1" w:themeFill="text2" w:themeFillTint="33"/>
            <w:hideMark/>
          </w:tcPr>
          <w:p w14:paraId="4E71BA9E"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sz w:val="16"/>
                <w:szCs w:val="16"/>
              </w:rPr>
              <w:t>47.9</w:t>
            </w:r>
          </w:p>
        </w:tc>
        <w:tc>
          <w:tcPr>
            <w:tcW w:w="581" w:type="dxa"/>
            <w:tcBorders>
              <w:top w:val="nil"/>
              <w:left w:val="nil"/>
              <w:bottom w:val="nil"/>
              <w:right w:val="nil"/>
            </w:tcBorders>
            <w:shd w:val="clear" w:color="auto" w:fill="C6D9F1" w:themeFill="text2" w:themeFillTint="33"/>
            <w:hideMark/>
          </w:tcPr>
          <w:p w14:paraId="7C11120A"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sz w:val="16"/>
                <w:szCs w:val="16"/>
              </w:rPr>
              <w:t>63.7</w:t>
            </w:r>
          </w:p>
        </w:tc>
        <w:tc>
          <w:tcPr>
            <w:tcW w:w="669" w:type="dxa"/>
            <w:tcBorders>
              <w:top w:val="nil"/>
              <w:left w:val="nil"/>
              <w:bottom w:val="nil"/>
              <w:right w:val="nil"/>
            </w:tcBorders>
            <w:shd w:val="clear" w:color="auto" w:fill="C6D9F1" w:themeFill="text2" w:themeFillTint="33"/>
            <w:hideMark/>
          </w:tcPr>
          <w:p w14:paraId="35EE1740"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sz w:val="16"/>
                <w:szCs w:val="16"/>
              </w:rPr>
              <w:t>109.1</w:t>
            </w:r>
          </w:p>
        </w:tc>
        <w:tc>
          <w:tcPr>
            <w:tcW w:w="669" w:type="dxa"/>
            <w:tcBorders>
              <w:top w:val="nil"/>
              <w:left w:val="nil"/>
              <w:bottom w:val="nil"/>
              <w:right w:val="nil"/>
            </w:tcBorders>
            <w:shd w:val="clear" w:color="auto" w:fill="C6D9F1" w:themeFill="text2" w:themeFillTint="33"/>
            <w:hideMark/>
          </w:tcPr>
          <w:p w14:paraId="09FEB16B"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sz w:val="16"/>
                <w:szCs w:val="16"/>
              </w:rPr>
              <w:t>138.8</w:t>
            </w:r>
          </w:p>
        </w:tc>
        <w:tc>
          <w:tcPr>
            <w:tcW w:w="669" w:type="dxa"/>
            <w:tcBorders>
              <w:top w:val="nil"/>
              <w:left w:val="nil"/>
              <w:bottom w:val="nil"/>
              <w:right w:val="nil"/>
            </w:tcBorders>
            <w:shd w:val="clear" w:color="auto" w:fill="C6D9F1" w:themeFill="text2" w:themeFillTint="33"/>
            <w:hideMark/>
          </w:tcPr>
          <w:p w14:paraId="0AE90E12" w14:textId="77777777" w:rsidR="00804491" w:rsidRDefault="00804491">
            <w:pPr>
              <w:kinsoku w:val="0"/>
              <w:overflowPunct w:val="0"/>
              <w:autoSpaceDE w:val="0"/>
              <w:autoSpaceDN w:val="0"/>
              <w:adjustRightInd w:val="0"/>
              <w:spacing w:before="29" w:after="0" w:line="240" w:lineRule="auto"/>
              <w:ind w:right="179"/>
              <w:jc w:val="right"/>
              <w:rPr>
                <w:rFonts w:ascii="Arial" w:hAnsi="Arial" w:cs="Arial"/>
                <w:sz w:val="16"/>
                <w:szCs w:val="16"/>
              </w:rPr>
            </w:pPr>
            <w:r>
              <w:rPr>
                <w:rFonts w:ascii="Arial" w:hAnsi="Arial" w:cs="Arial"/>
                <w:sz w:val="16"/>
                <w:szCs w:val="16"/>
              </w:rPr>
              <w:t>52.2</w:t>
            </w:r>
          </w:p>
        </w:tc>
      </w:tr>
      <w:tr w:rsidR="00804491" w14:paraId="01D41122" w14:textId="77777777" w:rsidTr="00804491">
        <w:trPr>
          <w:trHeight w:val="234"/>
        </w:trPr>
        <w:tc>
          <w:tcPr>
            <w:tcW w:w="2222" w:type="dxa"/>
            <w:tcBorders>
              <w:top w:val="single" w:sz="8" w:space="0" w:color="000000"/>
              <w:left w:val="nil"/>
              <w:bottom w:val="single" w:sz="8" w:space="0" w:color="000000"/>
              <w:right w:val="nil"/>
            </w:tcBorders>
            <w:hideMark/>
          </w:tcPr>
          <w:p w14:paraId="4C6EA7DD" w14:textId="77777777" w:rsidR="00804491" w:rsidRDefault="00804491">
            <w:pPr>
              <w:kinsoku w:val="0"/>
              <w:overflowPunct w:val="0"/>
              <w:autoSpaceDE w:val="0"/>
              <w:autoSpaceDN w:val="0"/>
              <w:adjustRightInd w:val="0"/>
              <w:spacing w:before="24" w:after="0" w:line="240" w:lineRule="auto"/>
              <w:ind w:left="41"/>
              <w:rPr>
                <w:rFonts w:ascii="Arial" w:hAnsi="Arial" w:cs="Arial"/>
                <w:b/>
                <w:bCs/>
                <w:sz w:val="16"/>
                <w:szCs w:val="16"/>
              </w:rPr>
            </w:pPr>
            <w:r>
              <w:rPr>
                <w:rFonts w:ascii="Arial" w:hAnsi="Arial" w:cs="Arial"/>
                <w:b/>
                <w:bCs/>
                <w:sz w:val="16"/>
                <w:szCs w:val="16"/>
              </w:rPr>
              <w:t>Average</w:t>
            </w:r>
            <w:r>
              <w:rPr>
                <w:rFonts w:ascii="Arial" w:hAnsi="Arial" w:cs="Arial"/>
                <w:b/>
                <w:bCs/>
                <w:spacing w:val="1"/>
                <w:sz w:val="16"/>
                <w:szCs w:val="16"/>
              </w:rPr>
              <w:t xml:space="preserve"> </w:t>
            </w:r>
            <w:r>
              <w:rPr>
                <w:rFonts w:ascii="Arial" w:hAnsi="Arial" w:cs="Arial"/>
                <w:b/>
                <w:bCs/>
                <w:sz w:val="16"/>
                <w:szCs w:val="16"/>
              </w:rPr>
              <w:t>– Top</w:t>
            </w:r>
            <w:r>
              <w:rPr>
                <w:rFonts w:ascii="Arial" w:hAnsi="Arial" w:cs="Arial"/>
                <w:b/>
                <w:bCs/>
                <w:spacing w:val="1"/>
                <w:sz w:val="16"/>
                <w:szCs w:val="16"/>
              </w:rPr>
              <w:t xml:space="preserve"> </w:t>
            </w:r>
            <w:r>
              <w:rPr>
                <w:rFonts w:ascii="Arial" w:hAnsi="Arial" w:cs="Arial"/>
                <w:b/>
                <w:bCs/>
                <w:sz w:val="16"/>
                <w:szCs w:val="16"/>
              </w:rPr>
              <w:t>15</w:t>
            </w:r>
          </w:p>
        </w:tc>
        <w:tc>
          <w:tcPr>
            <w:tcW w:w="1414" w:type="dxa"/>
            <w:tcBorders>
              <w:top w:val="single" w:sz="8" w:space="0" w:color="000000"/>
              <w:left w:val="nil"/>
              <w:bottom w:val="single" w:sz="8" w:space="0" w:color="000000"/>
              <w:right w:val="nil"/>
            </w:tcBorders>
            <w:hideMark/>
          </w:tcPr>
          <w:p w14:paraId="4C2AAF1D" w14:textId="77777777" w:rsidR="00804491" w:rsidRDefault="00804491">
            <w:pPr>
              <w:kinsoku w:val="0"/>
              <w:overflowPunct w:val="0"/>
              <w:autoSpaceDE w:val="0"/>
              <w:autoSpaceDN w:val="0"/>
              <w:adjustRightInd w:val="0"/>
              <w:spacing w:before="24" w:after="0" w:line="240" w:lineRule="auto"/>
              <w:ind w:right="91"/>
              <w:jc w:val="right"/>
              <w:rPr>
                <w:rFonts w:ascii="Arial" w:hAnsi="Arial" w:cs="Arial"/>
                <w:b/>
                <w:bCs/>
                <w:sz w:val="16"/>
                <w:szCs w:val="16"/>
              </w:rPr>
            </w:pPr>
            <w:r>
              <w:rPr>
                <w:rFonts w:ascii="Arial" w:hAnsi="Arial" w:cs="Arial"/>
                <w:b/>
                <w:bCs/>
                <w:sz w:val="16"/>
                <w:szCs w:val="16"/>
              </w:rPr>
              <w:t>10,882</w:t>
            </w:r>
          </w:p>
        </w:tc>
        <w:tc>
          <w:tcPr>
            <w:tcW w:w="1297" w:type="dxa"/>
            <w:tcBorders>
              <w:top w:val="single" w:sz="8" w:space="0" w:color="000000"/>
              <w:left w:val="nil"/>
              <w:bottom w:val="single" w:sz="8" w:space="0" w:color="000000"/>
              <w:right w:val="nil"/>
            </w:tcBorders>
            <w:hideMark/>
          </w:tcPr>
          <w:p w14:paraId="1C8CBF9B" w14:textId="77777777" w:rsidR="00804491" w:rsidRDefault="00804491">
            <w:pPr>
              <w:kinsoku w:val="0"/>
              <w:overflowPunct w:val="0"/>
              <w:autoSpaceDE w:val="0"/>
              <w:autoSpaceDN w:val="0"/>
              <w:adjustRightInd w:val="0"/>
              <w:spacing w:before="24" w:after="0" w:line="240" w:lineRule="auto"/>
              <w:ind w:right="27"/>
              <w:jc w:val="right"/>
              <w:rPr>
                <w:rFonts w:ascii="Arial" w:hAnsi="Arial" w:cs="Arial"/>
                <w:b/>
                <w:bCs/>
                <w:sz w:val="16"/>
                <w:szCs w:val="16"/>
              </w:rPr>
            </w:pPr>
            <w:r>
              <w:rPr>
                <w:rFonts w:ascii="Arial" w:hAnsi="Arial" w:cs="Arial"/>
                <w:b/>
                <w:bCs/>
                <w:sz w:val="16"/>
                <w:szCs w:val="16"/>
              </w:rPr>
              <w:t>40.7</w:t>
            </w:r>
          </w:p>
        </w:tc>
        <w:tc>
          <w:tcPr>
            <w:tcW w:w="360" w:type="dxa"/>
            <w:tcBorders>
              <w:top w:val="single" w:sz="8" w:space="0" w:color="000000"/>
              <w:left w:val="nil"/>
              <w:bottom w:val="single" w:sz="8" w:space="0" w:color="000000"/>
              <w:right w:val="nil"/>
            </w:tcBorders>
          </w:tcPr>
          <w:p w14:paraId="5E9F6F81" w14:textId="77777777" w:rsidR="00804491" w:rsidRDefault="00804491">
            <w:pPr>
              <w:kinsoku w:val="0"/>
              <w:overflowPunct w:val="0"/>
              <w:autoSpaceDE w:val="0"/>
              <w:autoSpaceDN w:val="0"/>
              <w:adjustRightInd w:val="0"/>
              <w:spacing w:after="0" w:line="240" w:lineRule="auto"/>
              <w:rPr>
                <w:rFonts w:ascii="Times New Roman" w:hAnsi="Times New Roman" w:cs="Times New Roman"/>
                <w:sz w:val="16"/>
                <w:szCs w:val="16"/>
              </w:rPr>
            </w:pPr>
          </w:p>
        </w:tc>
        <w:tc>
          <w:tcPr>
            <w:tcW w:w="579" w:type="dxa"/>
            <w:tcBorders>
              <w:top w:val="single" w:sz="8" w:space="0" w:color="000000"/>
              <w:left w:val="nil"/>
              <w:bottom w:val="single" w:sz="8" w:space="0" w:color="000000"/>
              <w:right w:val="nil"/>
            </w:tcBorders>
            <w:hideMark/>
          </w:tcPr>
          <w:p w14:paraId="25858BAB" w14:textId="77777777" w:rsidR="00804491" w:rsidRDefault="00804491">
            <w:pPr>
              <w:kinsoku w:val="0"/>
              <w:overflowPunct w:val="0"/>
              <w:autoSpaceDE w:val="0"/>
              <w:autoSpaceDN w:val="0"/>
              <w:adjustRightInd w:val="0"/>
              <w:spacing w:before="24" w:after="0" w:line="240" w:lineRule="auto"/>
              <w:ind w:right="180"/>
              <w:jc w:val="right"/>
              <w:rPr>
                <w:rFonts w:ascii="Arial" w:hAnsi="Arial" w:cs="Arial"/>
                <w:b/>
                <w:bCs/>
                <w:sz w:val="16"/>
                <w:szCs w:val="16"/>
              </w:rPr>
            </w:pPr>
            <w:r>
              <w:rPr>
                <w:rFonts w:ascii="Arial" w:hAnsi="Arial" w:cs="Arial"/>
                <w:b/>
                <w:bCs/>
                <w:sz w:val="16"/>
                <w:szCs w:val="16"/>
              </w:rPr>
              <w:t>66.1</w:t>
            </w:r>
          </w:p>
        </w:tc>
        <w:tc>
          <w:tcPr>
            <w:tcW w:w="669" w:type="dxa"/>
            <w:tcBorders>
              <w:top w:val="single" w:sz="8" w:space="0" w:color="000000"/>
              <w:left w:val="nil"/>
              <w:bottom w:val="single" w:sz="8" w:space="0" w:color="000000"/>
              <w:right w:val="nil"/>
            </w:tcBorders>
            <w:hideMark/>
          </w:tcPr>
          <w:p w14:paraId="0F4BF6DE" w14:textId="77777777" w:rsidR="00804491" w:rsidRDefault="00804491">
            <w:pPr>
              <w:kinsoku w:val="0"/>
              <w:overflowPunct w:val="0"/>
              <w:autoSpaceDE w:val="0"/>
              <w:autoSpaceDN w:val="0"/>
              <w:adjustRightInd w:val="0"/>
              <w:spacing w:before="24" w:after="0" w:line="240" w:lineRule="auto"/>
              <w:ind w:right="180"/>
              <w:jc w:val="right"/>
              <w:rPr>
                <w:rFonts w:ascii="Arial" w:hAnsi="Arial" w:cs="Arial"/>
                <w:b/>
                <w:bCs/>
                <w:sz w:val="16"/>
                <w:szCs w:val="16"/>
              </w:rPr>
            </w:pPr>
            <w:r>
              <w:rPr>
                <w:rFonts w:ascii="Arial" w:hAnsi="Arial" w:cs="Arial"/>
                <w:b/>
                <w:bCs/>
                <w:sz w:val="16"/>
                <w:szCs w:val="16"/>
              </w:rPr>
              <w:t>70.1</w:t>
            </w:r>
          </w:p>
        </w:tc>
        <w:tc>
          <w:tcPr>
            <w:tcW w:w="581" w:type="dxa"/>
            <w:tcBorders>
              <w:top w:val="single" w:sz="8" w:space="0" w:color="000000"/>
              <w:left w:val="nil"/>
              <w:bottom w:val="single" w:sz="8" w:space="0" w:color="000000"/>
              <w:right w:val="nil"/>
            </w:tcBorders>
            <w:hideMark/>
          </w:tcPr>
          <w:p w14:paraId="704A4AA8" w14:textId="77777777" w:rsidR="00804491" w:rsidRDefault="00804491">
            <w:pPr>
              <w:kinsoku w:val="0"/>
              <w:overflowPunct w:val="0"/>
              <w:autoSpaceDE w:val="0"/>
              <w:autoSpaceDN w:val="0"/>
              <w:adjustRightInd w:val="0"/>
              <w:spacing w:before="24" w:after="0" w:line="240" w:lineRule="auto"/>
              <w:ind w:right="180"/>
              <w:jc w:val="right"/>
              <w:rPr>
                <w:rFonts w:ascii="Arial" w:hAnsi="Arial" w:cs="Arial"/>
                <w:b/>
                <w:bCs/>
                <w:sz w:val="16"/>
                <w:szCs w:val="16"/>
              </w:rPr>
            </w:pPr>
            <w:r>
              <w:rPr>
                <w:rFonts w:ascii="Arial" w:hAnsi="Arial" w:cs="Arial"/>
                <w:b/>
                <w:bCs/>
                <w:sz w:val="16"/>
                <w:szCs w:val="16"/>
              </w:rPr>
              <w:t>68.4</w:t>
            </w:r>
          </w:p>
        </w:tc>
        <w:tc>
          <w:tcPr>
            <w:tcW w:w="669" w:type="dxa"/>
            <w:tcBorders>
              <w:top w:val="single" w:sz="8" w:space="0" w:color="000000"/>
              <w:left w:val="nil"/>
              <w:bottom w:val="single" w:sz="8" w:space="0" w:color="000000"/>
              <w:right w:val="nil"/>
            </w:tcBorders>
            <w:hideMark/>
          </w:tcPr>
          <w:p w14:paraId="6D1F0F15" w14:textId="77777777" w:rsidR="00804491" w:rsidRDefault="00804491">
            <w:pPr>
              <w:kinsoku w:val="0"/>
              <w:overflowPunct w:val="0"/>
              <w:autoSpaceDE w:val="0"/>
              <w:autoSpaceDN w:val="0"/>
              <w:adjustRightInd w:val="0"/>
              <w:spacing w:before="24" w:after="0" w:line="240" w:lineRule="auto"/>
              <w:ind w:right="180"/>
              <w:jc w:val="right"/>
              <w:rPr>
                <w:rFonts w:ascii="Arial" w:hAnsi="Arial" w:cs="Arial"/>
                <w:b/>
                <w:bCs/>
                <w:sz w:val="16"/>
                <w:szCs w:val="16"/>
              </w:rPr>
            </w:pPr>
            <w:r>
              <w:rPr>
                <w:rFonts w:ascii="Arial" w:hAnsi="Arial" w:cs="Arial"/>
                <w:b/>
                <w:bCs/>
                <w:sz w:val="16"/>
                <w:szCs w:val="16"/>
              </w:rPr>
              <w:t>70.2</w:t>
            </w:r>
          </w:p>
        </w:tc>
        <w:tc>
          <w:tcPr>
            <w:tcW w:w="669" w:type="dxa"/>
            <w:tcBorders>
              <w:top w:val="single" w:sz="8" w:space="0" w:color="000000"/>
              <w:left w:val="nil"/>
              <w:bottom w:val="single" w:sz="8" w:space="0" w:color="000000"/>
              <w:right w:val="nil"/>
            </w:tcBorders>
            <w:hideMark/>
          </w:tcPr>
          <w:p w14:paraId="5B9282CD" w14:textId="77777777" w:rsidR="00804491" w:rsidRDefault="00804491">
            <w:pPr>
              <w:kinsoku w:val="0"/>
              <w:overflowPunct w:val="0"/>
              <w:autoSpaceDE w:val="0"/>
              <w:autoSpaceDN w:val="0"/>
              <w:adjustRightInd w:val="0"/>
              <w:spacing w:before="24" w:after="0" w:line="240" w:lineRule="auto"/>
              <w:ind w:right="180"/>
              <w:jc w:val="right"/>
              <w:rPr>
                <w:rFonts w:ascii="Arial" w:hAnsi="Arial" w:cs="Arial"/>
                <w:b/>
                <w:bCs/>
                <w:sz w:val="16"/>
                <w:szCs w:val="16"/>
              </w:rPr>
            </w:pPr>
            <w:r>
              <w:rPr>
                <w:rFonts w:ascii="Arial" w:hAnsi="Arial" w:cs="Arial"/>
                <w:b/>
                <w:bCs/>
                <w:sz w:val="16"/>
                <w:szCs w:val="16"/>
              </w:rPr>
              <w:t>75.1</w:t>
            </w:r>
          </w:p>
        </w:tc>
        <w:tc>
          <w:tcPr>
            <w:tcW w:w="669" w:type="dxa"/>
            <w:tcBorders>
              <w:top w:val="single" w:sz="8" w:space="0" w:color="000000"/>
              <w:left w:val="nil"/>
              <w:bottom w:val="single" w:sz="8" w:space="0" w:color="000000"/>
              <w:right w:val="nil"/>
            </w:tcBorders>
            <w:hideMark/>
          </w:tcPr>
          <w:p w14:paraId="1EB0DB26" w14:textId="77777777" w:rsidR="00804491" w:rsidRDefault="00804491">
            <w:pPr>
              <w:kinsoku w:val="0"/>
              <w:overflowPunct w:val="0"/>
              <w:autoSpaceDE w:val="0"/>
              <w:autoSpaceDN w:val="0"/>
              <w:adjustRightInd w:val="0"/>
              <w:spacing w:before="24" w:after="0" w:line="240" w:lineRule="auto"/>
              <w:ind w:right="180"/>
              <w:jc w:val="right"/>
              <w:rPr>
                <w:rFonts w:ascii="Arial" w:hAnsi="Arial" w:cs="Arial"/>
                <w:b/>
                <w:bCs/>
                <w:sz w:val="16"/>
                <w:szCs w:val="16"/>
              </w:rPr>
            </w:pPr>
            <w:r>
              <w:rPr>
                <w:rFonts w:ascii="Arial" w:hAnsi="Arial" w:cs="Arial"/>
                <w:b/>
                <w:bCs/>
                <w:sz w:val="16"/>
                <w:szCs w:val="16"/>
              </w:rPr>
              <w:t>60.4</w:t>
            </w:r>
          </w:p>
        </w:tc>
      </w:tr>
    </w:tbl>
    <w:p w14:paraId="3FA1EE0A" w14:textId="77777777" w:rsidR="00804491" w:rsidRDefault="00804491" w:rsidP="00804491">
      <w:pPr>
        <w:rPr>
          <w:rFonts w:ascii="Arial" w:hAnsi="Arial" w:cs="Arial"/>
          <w:i/>
          <w:iCs/>
          <w:color w:val="0067B1"/>
          <w:sz w:val="16"/>
          <w:szCs w:val="16"/>
        </w:rPr>
      </w:pPr>
      <w:r>
        <w:rPr>
          <w:rFonts w:ascii="Arial" w:hAnsi="Arial" w:cs="Arial"/>
          <w:i/>
          <w:iCs/>
          <w:color w:val="000000" w:themeColor="text1"/>
          <w:sz w:val="16"/>
          <w:szCs w:val="16"/>
        </w:rPr>
        <w:t>Source: A.M. Best 2022 Report on D&amp;O Insurer Performance</w:t>
      </w:r>
      <w:r>
        <w:rPr>
          <w:rFonts w:ascii="Arial" w:hAnsi="Arial" w:cs="Arial"/>
          <w:i/>
          <w:iCs/>
          <w:color w:val="0067B1"/>
          <w:sz w:val="16"/>
          <w:szCs w:val="16"/>
        </w:rPr>
        <w:br w:type="page"/>
      </w:r>
    </w:p>
    <w:p w14:paraId="4235C150" w14:textId="77777777" w:rsidR="00804491" w:rsidRDefault="00804491" w:rsidP="00804491">
      <w:pPr>
        <w:spacing w:line="360" w:lineRule="auto"/>
        <w:jc w:val="both"/>
        <w:rPr>
          <w:rFonts w:ascii="Arial" w:hAnsi="Arial" w:cs="Arial"/>
          <w:color w:val="0067B1"/>
        </w:rPr>
      </w:pPr>
      <w:r>
        <w:rPr>
          <w:rFonts w:ascii="Arial" w:hAnsi="Arial" w:cs="Arial"/>
          <w:color w:val="0067B1"/>
        </w:rPr>
        <w:lastRenderedPageBreak/>
        <w:t>SCAS Litigation Filings and Frequency decreased in 2021</w:t>
      </w:r>
    </w:p>
    <w:p w14:paraId="2345F614" w14:textId="77777777" w:rsidR="00804491" w:rsidRDefault="00804491" w:rsidP="00804491">
      <w:pPr>
        <w:numPr>
          <w:ilvl w:val="0"/>
          <w:numId w:val="34"/>
        </w:numPr>
        <w:spacing w:line="360" w:lineRule="auto"/>
        <w:jc w:val="both"/>
        <w:rPr>
          <w:rFonts w:ascii="Arial" w:hAnsi="Arial" w:cs="Arial"/>
        </w:rPr>
      </w:pPr>
      <w:r>
        <w:rPr>
          <w:rFonts w:ascii="Arial" w:hAnsi="Arial" w:cs="Arial"/>
        </w:rPr>
        <w:t xml:space="preserve">From 1997-2020, an average of 228 Shareholder Class Actions were filed each year. </w:t>
      </w:r>
    </w:p>
    <w:p w14:paraId="4DFE12D7" w14:textId="77777777" w:rsidR="00804491" w:rsidRDefault="00804491" w:rsidP="00804491">
      <w:pPr>
        <w:numPr>
          <w:ilvl w:val="0"/>
          <w:numId w:val="34"/>
        </w:numPr>
        <w:spacing w:line="360" w:lineRule="auto"/>
        <w:jc w:val="both"/>
        <w:rPr>
          <w:rFonts w:ascii="Arial" w:hAnsi="Arial" w:cs="Arial"/>
        </w:rPr>
      </w:pPr>
      <w:r>
        <w:rPr>
          <w:rFonts w:ascii="Arial" w:hAnsi="Arial" w:cs="Arial"/>
        </w:rPr>
        <w:t>In 2021, 218 Shareholder Class Action suits were filed. This represents a 34.5% decrease from the 333 cases filed in 2020.</w:t>
      </w:r>
    </w:p>
    <w:p w14:paraId="27259713" w14:textId="77777777" w:rsidR="00804491" w:rsidRDefault="00804491" w:rsidP="00804491">
      <w:pPr>
        <w:numPr>
          <w:ilvl w:val="0"/>
          <w:numId w:val="34"/>
        </w:numPr>
        <w:spacing w:line="360" w:lineRule="auto"/>
        <w:jc w:val="both"/>
        <w:rPr>
          <w:rFonts w:ascii="Arial" w:hAnsi="Arial" w:cs="Arial"/>
        </w:rPr>
      </w:pPr>
      <w:r>
        <w:rPr>
          <w:rFonts w:ascii="Arial" w:hAnsi="Arial" w:cs="Arial"/>
        </w:rPr>
        <w:t xml:space="preserve"> Of particular note, there were 8 state court only lawsuits in 2021, down from 14 in 2020 and from 28 in 2019.  This appears to be directly attributable to the insured-favorable decision in the </w:t>
      </w:r>
      <w:r>
        <w:rPr>
          <w:rFonts w:ascii="Arial" w:hAnsi="Arial" w:cs="Arial"/>
          <w:i/>
          <w:iCs/>
        </w:rPr>
        <w:t>Sciabacucchi</w:t>
      </w:r>
      <w:r>
        <w:rPr>
          <w:rFonts w:ascii="Arial" w:hAnsi="Arial" w:cs="Arial"/>
        </w:rPr>
        <w:t xml:space="preserve"> case regarding federal forum provisions and the subsequent case dismissals in the California courts.</w:t>
      </w:r>
    </w:p>
    <w:p w14:paraId="68218CFD" w14:textId="77777777" w:rsidR="00804491" w:rsidRDefault="00804491" w:rsidP="00804491">
      <w:pPr>
        <w:numPr>
          <w:ilvl w:val="0"/>
          <w:numId w:val="34"/>
        </w:numPr>
        <w:spacing w:line="360" w:lineRule="auto"/>
        <w:jc w:val="both"/>
        <w:rPr>
          <w:rFonts w:ascii="Arial" w:hAnsi="Arial" w:cs="Arial"/>
        </w:rPr>
      </w:pPr>
      <w:r>
        <w:rPr>
          <w:rFonts w:ascii="Arial" w:hAnsi="Arial" w:cs="Arial"/>
        </w:rPr>
        <w:t xml:space="preserve">In addition, the number of merger and acquisition objection class actions plummeted in 2021 to 18 cases, down from 99 in 2020 and 160 in 2019.  This trend is the result of plaintiffs’ firms shifting their strategy to bringing these cases as individual actions as opposed to class actions. </w:t>
      </w:r>
    </w:p>
    <w:p w14:paraId="6A2AC4FC" w14:textId="77777777" w:rsidR="00804491" w:rsidRDefault="00804491" w:rsidP="00804491">
      <w:pPr>
        <w:numPr>
          <w:ilvl w:val="0"/>
          <w:numId w:val="34"/>
        </w:numPr>
        <w:spacing w:line="360" w:lineRule="auto"/>
        <w:jc w:val="both"/>
        <w:rPr>
          <w:rFonts w:ascii="Arial" w:hAnsi="Arial" w:cs="Arial"/>
        </w:rPr>
      </w:pPr>
      <w:r>
        <w:rPr>
          <w:rFonts w:ascii="Arial" w:hAnsi="Arial" w:cs="Arial"/>
        </w:rPr>
        <w:t xml:space="preserve">In 2021, plaintiffs’ firms brought 210 single-plaintiff federal merger objection lawsuits, down from 450 in 2020.  75% of these actions were voluntarily dismissed shortly after the complaints were filed, in return for additional immaterial disclosures and the payment of confidential mootness fees to plaintiff’s counsel.  </w:t>
      </w:r>
    </w:p>
    <w:p w14:paraId="05D3FA27" w14:textId="77777777" w:rsidR="00804491" w:rsidRDefault="00804491" w:rsidP="00804491">
      <w:pPr>
        <w:numPr>
          <w:ilvl w:val="0"/>
          <w:numId w:val="34"/>
        </w:numPr>
        <w:spacing w:line="360" w:lineRule="auto"/>
        <w:jc w:val="both"/>
        <w:rPr>
          <w:rFonts w:ascii="Arial" w:hAnsi="Arial" w:cs="Arial"/>
        </w:rPr>
      </w:pPr>
      <w:r>
        <w:rPr>
          <w:rFonts w:ascii="Arial" w:hAnsi="Arial" w:cs="Arial"/>
        </w:rPr>
        <w:t xml:space="preserve">As these federal court mootness fee settlements provide no benefit to the company shareholders and serve as a deal tax on almost every M&amp;A transaction involving a public company, we are hopeful that regulatory scrutiny will soon be brought to bear on this racket. </w:t>
      </w:r>
    </w:p>
    <w:p w14:paraId="30304E49" w14:textId="77777777" w:rsidR="00804491" w:rsidRDefault="00804491" w:rsidP="00804491">
      <w:pPr>
        <w:numPr>
          <w:ilvl w:val="0"/>
          <w:numId w:val="34"/>
        </w:numPr>
        <w:spacing w:line="360" w:lineRule="auto"/>
        <w:jc w:val="both"/>
        <w:rPr>
          <w:rFonts w:ascii="Arial" w:hAnsi="Arial" w:cs="Arial"/>
        </w:rPr>
      </w:pPr>
      <w:r>
        <w:rPr>
          <w:rFonts w:ascii="Arial" w:hAnsi="Arial" w:cs="Arial"/>
        </w:rPr>
        <w:t>Of the 2021 federal court securities lawsuit filings, 200 were “core” lawsuits (i.e. not merger objection related).  This is a decline of 14.5% from the 234 core filings in 2020.  The 2021 core filings tally is still slightly above the 1997-2020 average of 192 core filings per year.</w:t>
      </w:r>
    </w:p>
    <w:p w14:paraId="48380F20" w14:textId="77777777" w:rsidR="00804491" w:rsidRDefault="00804491" w:rsidP="00804491">
      <w:pPr>
        <w:numPr>
          <w:ilvl w:val="0"/>
          <w:numId w:val="34"/>
        </w:numPr>
        <w:spacing w:line="360" w:lineRule="auto"/>
        <w:jc w:val="both"/>
        <w:rPr>
          <w:rFonts w:ascii="Arial" w:hAnsi="Arial" w:cs="Arial"/>
        </w:rPr>
      </w:pPr>
      <w:r>
        <w:rPr>
          <w:rFonts w:ascii="Arial" w:hAnsi="Arial" w:cs="Arial"/>
        </w:rPr>
        <w:t>The 1997-2020 average annual percentage of public companies with core securities class action claims is 4%.  In 2021, 3.8% of major exchange listed companies were sued in a core securities class action lawsuit.  This is a drop from the 4.2% rate in 2020 and from the 5.5% rate in 2019.  2020 represented the first drop in frequency in 8 years and 2021 continued the downward trend.</w:t>
      </w:r>
    </w:p>
    <w:p w14:paraId="29A918D7" w14:textId="77777777" w:rsidR="00804491" w:rsidRDefault="00804491" w:rsidP="00804491">
      <w:pPr>
        <w:numPr>
          <w:ilvl w:val="0"/>
          <w:numId w:val="34"/>
        </w:numPr>
        <w:spacing w:line="360" w:lineRule="auto"/>
        <w:jc w:val="both"/>
        <w:rPr>
          <w:rFonts w:ascii="Arial" w:hAnsi="Arial" w:cs="Arial"/>
          <w:color w:val="0067B1"/>
        </w:rPr>
      </w:pPr>
      <w:r>
        <w:rPr>
          <w:rFonts w:ascii="Arial" w:hAnsi="Arial" w:cs="Arial"/>
          <w:color w:val="0067B1"/>
        </w:rPr>
        <w:br w:type="page"/>
      </w:r>
    </w:p>
    <w:p w14:paraId="572ABE41" w14:textId="77777777" w:rsidR="00804491" w:rsidRDefault="00804491" w:rsidP="00804491">
      <w:pPr>
        <w:spacing w:after="0" w:line="360" w:lineRule="auto"/>
        <w:ind w:left="-720"/>
        <w:contextualSpacing/>
        <w:jc w:val="both"/>
        <w:rPr>
          <w:rFonts w:ascii="Arial" w:hAnsi="Arial" w:cs="Arial"/>
          <w:noProof/>
          <w:color w:val="0067B1"/>
        </w:rPr>
      </w:pPr>
      <w:r>
        <w:rPr>
          <w:rFonts w:ascii="Arial" w:hAnsi="Arial" w:cs="Arial"/>
          <w:color w:val="0067B1"/>
        </w:rPr>
        <w:lastRenderedPageBreak/>
        <w:t>Federal Shareholder Class Action Litigation Trends</w:t>
      </w:r>
    </w:p>
    <w:p w14:paraId="1DD1AEC3" w14:textId="70D6E1EE" w:rsidR="00804491" w:rsidRDefault="00804491" w:rsidP="00804491">
      <w:pPr>
        <w:spacing w:after="0" w:line="360" w:lineRule="auto"/>
        <w:ind w:left="-720"/>
        <w:contextualSpacing/>
        <w:jc w:val="center"/>
        <w:rPr>
          <w:rFonts w:ascii="Arial" w:hAnsi="Arial" w:cs="Arial"/>
        </w:rPr>
      </w:pPr>
      <w:r>
        <w:rPr>
          <w:noProof/>
        </w:rPr>
        <w:drawing>
          <wp:inline distT="0" distB="0" distL="0" distR="0" wp14:anchorId="2F732D05" wp14:editId="4DF2A5FE">
            <wp:extent cx="5943600" cy="35623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b="630"/>
                    <a:stretch>
                      <a:fillRect/>
                    </a:stretch>
                  </pic:blipFill>
                  <pic:spPr bwMode="auto">
                    <a:xfrm>
                      <a:off x="0" y="0"/>
                      <a:ext cx="5943600" cy="3562350"/>
                    </a:xfrm>
                    <a:prstGeom prst="rect">
                      <a:avLst/>
                    </a:prstGeom>
                    <a:noFill/>
                    <a:ln>
                      <a:noFill/>
                    </a:ln>
                  </pic:spPr>
                </pic:pic>
              </a:graphicData>
            </a:graphic>
          </wp:inline>
        </w:drawing>
      </w:r>
    </w:p>
    <w:p w14:paraId="102A3EF1" w14:textId="77777777" w:rsidR="00804491" w:rsidRDefault="00804491" w:rsidP="00804491">
      <w:pPr>
        <w:jc w:val="center"/>
        <w:rPr>
          <w:rFonts w:ascii="CIDFont+F3" w:hAnsi="CIDFont+F3" w:cs="CIDFont+F3"/>
          <w:i/>
          <w:iCs/>
          <w:sz w:val="16"/>
          <w:szCs w:val="16"/>
        </w:rPr>
      </w:pPr>
      <w:r>
        <w:rPr>
          <w:rFonts w:ascii="CIDFont+F3" w:hAnsi="CIDFont+F3" w:cs="CIDFont+F3"/>
          <w:i/>
          <w:iCs/>
          <w:sz w:val="16"/>
          <w:szCs w:val="16"/>
        </w:rPr>
        <w:t xml:space="preserve">Source: Cornerstone Research </w:t>
      </w:r>
    </w:p>
    <w:p w14:paraId="3FBD5DB2" w14:textId="77777777" w:rsidR="00804491" w:rsidRDefault="00804491" w:rsidP="00804491">
      <w:pPr>
        <w:spacing w:after="0"/>
        <w:ind w:left="-810"/>
        <w:contextualSpacing/>
        <w:rPr>
          <w:rFonts w:ascii="Arial" w:hAnsi="Arial" w:cs="Arial"/>
          <w:i/>
          <w:color w:val="808080" w:themeColor="background1" w:themeShade="80"/>
          <w:sz w:val="18"/>
          <w:szCs w:val="18"/>
        </w:rPr>
      </w:pPr>
    </w:p>
    <w:p w14:paraId="5EC04DB4" w14:textId="77777777" w:rsidR="00804491" w:rsidRDefault="00804491" w:rsidP="00804491">
      <w:pPr>
        <w:spacing w:after="0" w:line="360" w:lineRule="auto"/>
        <w:ind w:left="-720"/>
        <w:contextualSpacing/>
        <w:jc w:val="both"/>
        <w:rPr>
          <w:rFonts w:ascii="Arial" w:hAnsi="Arial" w:cs="Arial"/>
          <w:color w:val="0067B1"/>
        </w:rPr>
      </w:pPr>
      <w:r>
        <w:rPr>
          <w:rFonts w:ascii="Arial" w:hAnsi="Arial" w:cs="Arial"/>
          <w:color w:val="0067B1"/>
        </w:rPr>
        <w:t>Federal Shareholder Class Action Litigation Frequency</w:t>
      </w:r>
    </w:p>
    <w:p w14:paraId="1271DCA4" w14:textId="7D30492F" w:rsidR="00804491" w:rsidRDefault="00804491" w:rsidP="00804491">
      <w:pPr>
        <w:spacing w:after="0" w:line="360" w:lineRule="auto"/>
        <w:ind w:left="-720"/>
        <w:contextualSpacing/>
        <w:jc w:val="center"/>
        <w:rPr>
          <w:noProof/>
        </w:rPr>
      </w:pPr>
      <w:r>
        <w:rPr>
          <w:noProof/>
        </w:rPr>
        <w:drawing>
          <wp:inline distT="0" distB="0" distL="0" distR="0" wp14:anchorId="7092E611" wp14:editId="5CCB4559">
            <wp:extent cx="5933440" cy="32956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t="5084"/>
                    <a:stretch>
                      <a:fillRect/>
                    </a:stretch>
                  </pic:blipFill>
                  <pic:spPr bwMode="auto">
                    <a:xfrm>
                      <a:off x="0" y="0"/>
                      <a:ext cx="5933440" cy="3295650"/>
                    </a:xfrm>
                    <a:prstGeom prst="rect">
                      <a:avLst/>
                    </a:prstGeom>
                    <a:noFill/>
                    <a:ln>
                      <a:noFill/>
                    </a:ln>
                  </pic:spPr>
                </pic:pic>
              </a:graphicData>
            </a:graphic>
          </wp:inline>
        </w:drawing>
      </w:r>
    </w:p>
    <w:p w14:paraId="352A48C9" w14:textId="77777777" w:rsidR="00804491" w:rsidRDefault="00804491" w:rsidP="00804491">
      <w:pPr>
        <w:jc w:val="center"/>
        <w:rPr>
          <w:rFonts w:ascii="CIDFont+F3" w:hAnsi="CIDFont+F3" w:cs="CIDFont+F3"/>
          <w:i/>
          <w:iCs/>
          <w:sz w:val="16"/>
          <w:szCs w:val="16"/>
        </w:rPr>
      </w:pPr>
      <w:r>
        <w:rPr>
          <w:rFonts w:ascii="CIDFont+F3" w:hAnsi="CIDFont+F3" w:cs="CIDFont+F3"/>
          <w:i/>
          <w:iCs/>
          <w:sz w:val="16"/>
          <w:szCs w:val="16"/>
        </w:rPr>
        <w:t xml:space="preserve">Source: Cornerstone Research </w:t>
      </w:r>
    </w:p>
    <w:p w14:paraId="04DDED2A" w14:textId="056A50BA" w:rsidR="00804491" w:rsidRDefault="00804491" w:rsidP="00B9461B">
      <w:pPr>
        <w:rPr>
          <w:rFonts w:ascii="Arial" w:hAnsi="Arial" w:cs="Arial"/>
          <w:color w:val="0067B1"/>
        </w:rPr>
      </w:pPr>
      <w:r>
        <w:rPr>
          <w:rFonts w:ascii="Arial" w:hAnsi="Arial" w:cs="Arial"/>
          <w:color w:val="0067B1"/>
        </w:rPr>
        <w:br w:type="page"/>
      </w:r>
      <w:r>
        <w:rPr>
          <w:rFonts w:ascii="Arial" w:hAnsi="Arial" w:cs="Arial"/>
          <w:color w:val="0067B1"/>
        </w:rPr>
        <w:lastRenderedPageBreak/>
        <w:t>Federal Shareholder Class Action Fillings and Number of Exchange Listed Companies</w:t>
      </w:r>
    </w:p>
    <w:p w14:paraId="50E005AD" w14:textId="026E261A" w:rsidR="00804491" w:rsidRDefault="00804491" w:rsidP="00804491">
      <w:pPr>
        <w:spacing w:after="0"/>
        <w:ind w:left="-720"/>
        <w:contextualSpacing/>
        <w:jc w:val="center"/>
        <w:rPr>
          <w:rFonts w:ascii="Arial" w:hAnsi="Arial" w:cs="Arial"/>
          <w:color w:val="0067B1"/>
        </w:rPr>
      </w:pPr>
      <w:r>
        <w:rPr>
          <w:noProof/>
        </w:rPr>
        <w:drawing>
          <wp:anchor distT="0" distB="0" distL="114300" distR="114300" simplePos="0" relativeHeight="251807744" behindDoc="0" locked="0" layoutInCell="1" allowOverlap="1" wp14:anchorId="7D73DF6F" wp14:editId="6E926D0B">
            <wp:simplePos x="0" y="0"/>
            <wp:positionH relativeFrom="page">
              <wp:posOffset>487045</wp:posOffset>
            </wp:positionH>
            <wp:positionV relativeFrom="paragraph">
              <wp:posOffset>184150</wp:posOffset>
            </wp:positionV>
            <wp:extent cx="5943600" cy="2354580"/>
            <wp:effectExtent l="0" t="0" r="0" b="762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354580"/>
                    </a:xfrm>
                    <a:prstGeom prst="rect">
                      <a:avLst/>
                    </a:prstGeom>
                    <a:noFill/>
                  </pic:spPr>
                </pic:pic>
              </a:graphicData>
            </a:graphic>
            <wp14:sizeRelH relativeFrom="page">
              <wp14:pctWidth>0</wp14:pctWidth>
            </wp14:sizeRelH>
            <wp14:sizeRelV relativeFrom="page">
              <wp14:pctHeight>0</wp14:pctHeight>
            </wp14:sizeRelV>
          </wp:anchor>
        </w:drawing>
      </w:r>
    </w:p>
    <w:p w14:paraId="3D469823" w14:textId="77777777" w:rsidR="00804491" w:rsidRDefault="00804491" w:rsidP="00804491">
      <w:pPr>
        <w:spacing w:after="0"/>
        <w:jc w:val="center"/>
        <w:rPr>
          <w:rFonts w:ascii="CIDFont+F3" w:hAnsi="CIDFont+F3" w:cs="CIDFont+F3"/>
          <w:i/>
          <w:iCs/>
          <w:sz w:val="16"/>
          <w:szCs w:val="16"/>
        </w:rPr>
      </w:pPr>
      <w:r>
        <w:rPr>
          <w:rFonts w:ascii="CIDFont+F3" w:hAnsi="CIDFont+F3" w:cs="CIDFont+F3"/>
          <w:i/>
          <w:iCs/>
          <w:sz w:val="16"/>
          <w:szCs w:val="16"/>
        </w:rPr>
        <w:t>Source: Nera Economic Consulting</w:t>
      </w:r>
    </w:p>
    <w:p w14:paraId="58474BD5" w14:textId="77777777" w:rsidR="00804491" w:rsidRDefault="00804491" w:rsidP="00804491">
      <w:pPr>
        <w:spacing w:after="0"/>
        <w:jc w:val="center"/>
        <w:rPr>
          <w:rFonts w:ascii="CIDFont+F3" w:hAnsi="CIDFont+F3" w:cs="CIDFont+F3"/>
          <w:i/>
          <w:iCs/>
          <w:sz w:val="16"/>
          <w:szCs w:val="16"/>
        </w:rPr>
      </w:pPr>
      <w:r>
        <w:rPr>
          <w:rFonts w:ascii="CIDFont+F3" w:hAnsi="CIDFont+F3" w:cs="CIDFont+F3"/>
          <w:i/>
          <w:iCs/>
          <w:sz w:val="16"/>
          <w:szCs w:val="16"/>
        </w:rPr>
        <w:t>Note: Listed Companies include those listed on the NYSE and Nasdaq.</w:t>
      </w:r>
    </w:p>
    <w:p w14:paraId="42351168" w14:textId="77777777" w:rsidR="00804491" w:rsidRDefault="00804491" w:rsidP="00804491">
      <w:pPr>
        <w:spacing w:after="0"/>
        <w:jc w:val="center"/>
        <w:rPr>
          <w:rFonts w:ascii="CIDFont+F3" w:hAnsi="CIDFont+F3" w:cs="CIDFont+F3"/>
          <w:i/>
          <w:iCs/>
          <w:sz w:val="16"/>
          <w:szCs w:val="16"/>
        </w:rPr>
      </w:pPr>
      <w:r>
        <w:rPr>
          <w:rFonts w:ascii="CIDFont+F3" w:hAnsi="CIDFont+F3" w:cs="CIDFont+F3"/>
          <w:i/>
          <w:iCs/>
          <w:sz w:val="16"/>
          <w:szCs w:val="16"/>
        </w:rPr>
        <w:t xml:space="preserve">Listings data obtained from World Federation of Exchanges (WFE) </w:t>
      </w:r>
    </w:p>
    <w:p w14:paraId="08E99342" w14:textId="77777777" w:rsidR="00804491" w:rsidRDefault="00804491" w:rsidP="00804491">
      <w:pPr>
        <w:spacing w:line="360" w:lineRule="auto"/>
        <w:jc w:val="center"/>
        <w:rPr>
          <w:rFonts w:ascii="Arial" w:hAnsi="Arial" w:cs="Arial"/>
          <w:color w:val="0067B1"/>
        </w:rPr>
      </w:pPr>
      <w:r>
        <w:rPr>
          <w:rFonts w:ascii="Arial" w:hAnsi="Arial" w:cs="Arial"/>
          <w:color w:val="0067B1"/>
        </w:rPr>
        <w:br w:type="page"/>
      </w:r>
    </w:p>
    <w:p w14:paraId="03C3019A" w14:textId="77777777" w:rsidR="00804491" w:rsidRDefault="00804491" w:rsidP="00804491">
      <w:pPr>
        <w:spacing w:line="360" w:lineRule="auto"/>
        <w:jc w:val="both"/>
        <w:rPr>
          <w:rFonts w:ascii="Arial" w:hAnsi="Arial" w:cs="Arial"/>
          <w:color w:val="0067B1"/>
        </w:rPr>
      </w:pPr>
      <w:r>
        <w:rPr>
          <w:rFonts w:ascii="Arial" w:hAnsi="Arial" w:cs="Arial"/>
          <w:color w:val="0067B1"/>
        </w:rPr>
        <w:lastRenderedPageBreak/>
        <w:t>Government Regulatory Activity will very likely increase under the Biden Administration</w:t>
      </w:r>
    </w:p>
    <w:p w14:paraId="6B213461" w14:textId="77777777" w:rsidR="00804491" w:rsidRDefault="00804491" w:rsidP="00804491">
      <w:pPr>
        <w:numPr>
          <w:ilvl w:val="0"/>
          <w:numId w:val="35"/>
        </w:numPr>
        <w:spacing w:after="0" w:line="360" w:lineRule="auto"/>
        <w:jc w:val="both"/>
        <w:rPr>
          <w:rFonts w:ascii="Arial" w:hAnsi="Arial" w:cs="Arial"/>
        </w:rPr>
      </w:pPr>
      <w:r>
        <w:rPr>
          <w:rFonts w:ascii="Arial" w:hAnsi="Arial" w:cs="Arial"/>
        </w:rPr>
        <w:t>Based on the Biden administrations comments so far, it appears that they have an enforcement philosophy that is similar to that of the Obama administration, which was not friendly to public companies and their directors and officers.</w:t>
      </w:r>
    </w:p>
    <w:p w14:paraId="73E3595B" w14:textId="77777777" w:rsidR="00804491" w:rsidRDefault="00804491" w:rsidP="00804491">
      <w:pPr>
        <w:numPr>
          <w:ilvl w:val="0"/>
          <w:numId w:val="35"/>
        </w:numPr>
        <w:spacing w:after="0" w:line="360" w:lineRule="auto"/>
        <w:jc w:val="both"/>
        <w:rPr>
          <w:rFonts w:ascii="Arial" w:hAnsi="Arial" w:cs="Arial"/>
        </w:rPr>
      </w:pPr>
      <w:r>
        <w:rPr>
          <w:rFonts w:ascii="Arial" w:hAnsi="Arial" w:cs="Arial"/>
        </w:rPr>
        <w:t>An early indicator of this trend can be found in the record shattering Fiscal Year 2021 (which ended on September 30) results for the SEC Whistleblower program, both in terms of the number of awards and the dollars awarded.</w:t>
      </w:r>
    </w:p>
    <w:p w14:paraId="73E7FC74" w14:textId="77777777" w:rsidR="00804491" w:rsidRDefault="00804491" w:rsidP="00804491">
      <w:pPr>
        <w:numPr>
          <w:ilvl w:val="0"/>
          <w:numId w:val="35"/>
        </w:numPr>
        <w:spacing w:after="0" w:line="360" w:lineRule="auto"/>
        <w:jc w:val="both"/>
        <w:rPr>
          <w:rFonts w:ascii="Arial" w:hAnsi="Arial" w:cs="Arial"/>
        </w:rPr>
      </w:pPr>
      <w:r>
        <w:rPr>
          <w:rFonts w:ascii="Arial" w:hAnsi="Arial" w:cs="Arial"/>
        </w:rPr>
        <w:t xml:space="preserve">The SEC awarded a record $564 million to 109 individuals in FY 2021.  This is over three times the $175 million in total whistleblower awards to 39 individuals in FY 2020 which, in turn was nearly three times the $60 million awarded to 8 whistleblowers in FY 2019.  </w:t>
      </w:r>
    </w:p>
    <w:p w14:paraId="25CCECD9" w14:textId="77777777" w:rsidR="00804491" w:rsidRDefault="00804491" w:rsidP="00804491">
      <w:pPr>
        <w:numPr>
          <w:ilvl w:val="0"/>
          <w:numId w:val="35"/>
        </w:numPr>
        <w:spacing w:after="0" w:line="360" w:lineRule="auto"/>
        <w:jc w:val="both"/>
        <w:rPr>
          <w:rFonts w:ascii="Arial" w:hAnsi="Arial" w:cs="Arial"/>
        </w:rPr>
      </w:pPr>
      <w:r>
        <w:rPr>
          <w:rFonts w:ascii="Arial" w:hAnsi="Arial" w:cs="Arial"/>
        </w:rPr>
        <w:t>In fact, the $564 million awarded in FY 2021 is more than the $562 million for all the awards from the inception of the program in 2011 through the end of FY 2020.  To put it another way, the SEC awarded more money in FY 2021 than in all other years of the program combined.</w:t>
      </w:r>
    </w:p>
    <w:p w14:paraId="41A6FA4D" w14:textId="77777777" w:rsidR="00804491" w:rsidRDefault="00804491" w:rsidP="00804491">
      <w:pPr>
        <w:numPr>
          <w:ilvl w:val="0"/>
          <w:numId w:val="35"/>
        </w:numPr>
        <w:spacing w:after="0" w:line="360" w:lineRule="auto"/>
        <w:jc w:val="both"/>
        <w:rPr>
          <w:rFonts w:ascii="Arial" w:hAnsi="Arial" w:cs="Arial"/>
        </w:rPr>
      </w:pPr>
      <w:r>
        <w:rPr>
          <w:rFonts w:ascii="Arial" w:hAnsi="Arial" w:cs="Arial"/>
        </w:rPr>
        <w:t>In October of 2020, the SEC announced that it had awarded a record setting $114 million award to an individual whistleblower, eclipsing the previous record of $50 million.  In September of 2021, the SEC awarded another $114 million to two individuals.</w:t>
      </w:r>
    </w:p>
    <w:p w14:paraId="3DDD4207" w14:textId="77777777" w:rsidR="00804491" w:rsidRDefault="00804491" w:rsidP="00804491">
      <w:pPr>
        <w:numPr>
          <w:ilvl w:val="0"/>
          <w:numId w:val="35"/>
        </w:numPr>
        <w:spacing w:after="0" w:line="360" w:lineRule="auto"/>
        <w:jc w:val="both"/>
        <w:rPr>
          <w:rFonts w:ascii="Arial" w:hAnsi="Arial" w:cs="Arial"/>
        </w:rPr>
      </w:pPr>
      <w:r>
        <w:rPr>
          <w:rFonts w:ascii="Arial" w:hAnsi="Arial" w:cs="Arial"/>
        </w:rPr>
        <w:t>The agency received 12,210 whistleblower reports in FY 2021, representing a 76% increase over FY 2020, when the agency received 6,911 reports.</w:t>
      </w:r>
    </w:p>
    <w:p w14:paraId="6C3AC927" w14:textId="77777777" w:rsidR="00804491" w:rsidRDefault="00804491" w:rsidP="00804491">
      <w:pPr>
        <w:numPr>
          <w:ilvl w:val="0"/>
          <w:numId w:val="35"/>
        </w:numPr>
        <w:spacing w:after="0" w:line="360" w:lineRule="auto"/>
        <w:jc w:val="both"/>
        <w:rPr>
          <w:rFonts w:ascii="Arial" w:hAnsi="Arial" w:cs="Arial"/>
        </w:rPr>
      </w:pPr>
      <w:r>
        <w:rPr>
          <w:rFonts w:ascii="Arial" w:hAnsi="Arial" w:cs="Arial"/>
        </w:rPr>
        <w:t xml:space="preserve">The SEC brought 697 enforcement actions in FY 2021, a 2.5% decline from the 715 enforcement actions in FY 2020.  The FY 2021 tally is materially lower than the 862 enforcement actions in FY 2019 and 821 in FY 2018.  In FY 2017, enforcement actions had fallen to 754 (from 868 in FY 2016).  </w:t>
      </w:r>
    </w:p>
    <w:p w14:paraId="2643C95E" w14:textId="77777777" w:rsidR="00804491" w:rsidRDefault="00804491" w:rsidP="00804491">
      <w:pPr>
        <w:numPr>
          <w:ilvl w:val="0"/>
          <w:numId w:val="35"/>
        </w:numPr>
        <w:spacing w:after="0" w:line="360" w:lineRule="auto"/>
        <w:jc w:val="both"/>
        <w:rPr>
          <w:rFonts w:ascii="Arial" w:hAnsi="Arial" w:cs="Arial"/>
        </w:rPr>
      </w:pPr>
      <w:r>
        <w:rPr>
          <w:rFonts w:ascii="Arial" w:hAnsi="Arial" w:cs="Arial"/>
        </w:rPr>
        <w:t>In FY 2021, the number of independent enforcement actions rose to 434, an increase of 7% over the 405 in FY 2020.  Although still below the 526 brought in FY 2019.  By way of context, there were 490 in FY 2018, 446 in FY 2017, 548 in FY 2016, 507 in FY 2015 and 413 in FY 2014.</w:t>
      </w:r>
    </w:p>
    <w:p w14:paraId="1190D9B7" w14:textId="77777777" w:rsidR="00804491" w:rsidRDefault="00804491" w:rsidP="00804491">
      <w:pPr>
        <w:numPr>
          <w:ilvl w:val="0"/>
          <w:numId w:val="35"/>
        </w:numPr>
        <w:spacing w:after="0" w:line="360" w:lineRule="auto"/>
        <w:jc w:val="both"/>
        <w:rPr>
          <w:rFonts w:ascii="Arial" w:hAnsi="Arial" w:cs="Arial"/>
        </w:rPr>
      </w:pPr>
      <w:r>
        <w:rPr>
          <w:rFonts w:ascii="Arial" w:hAnsi="Arial" w:cs="Arial"/>
        </w:rPr>
        <w:t>We do not believe that the recent lower frequency of SEC enforcement actions portends a material decrease in the risk of SEC enforcement activity, but rather is the result of pandemic related shutdowns.  As discussed above, we feel that the risk of regulatory action will increase significantly as we move forward.</w:t>
      </w:r>
    </w:p>
    <w:p w14:paraId="7CFD0EA7" w14:textId="77777777" w:rsidR="00804491" w:rsidRDefault="00804491" w:rsidP="00804491">
      <w:pPr>
        <w:jc w:val="center"/>
        <w:rPr>
          <w:rFonts w:ascii="Arial" w:hAnsi="Arial" w:cs="Arial"/>
          <w:color w:val="0067B1"/>
        </w:rPr>
      </w:pPr>
      <w:r>
        <w:rPr>
          <w:rFonts w:ascii="Arial" w:hAnsi="Arial" w:cs="Arial"/>
          <w:color w:val="0067B1"/>
        </w:rPr>
        <w:br w:type="page"/>
      </w:r>
    </w:p>
    <w:p w14:paraId="13282052" w14:textId="77777777" w:rsidR="00804491" w:rsidRDefault="00804491" w:rsidP="00804491">
      <w:pPr>
        <w:rPr>
          <w:rFonts w:ascii="Arial" w:hAnsi="Arial" w:cs="Arial"/>
          <w:color w:val="0067B1"/>
        </w:rPr>
      </w:pPr>
      <w:r>
        <w:rPr>
          <w:rFonts w:ascii="Arial" w:hAnsi="Arial" w:cs="Arial"/>
          <w:color w:val="0067B1"/>
        </w:rPr>
        <w:lastRenderedPageBreak/>
        <w:t>Board Diversity Lawsuits are not faring well in the courts</w:t>
      </w:r>
    </w:p>
    <w:p w14:paraId="056CA2D0" w14:textId="77777777" w:rsidR="00804491" w:rsidRDefault="00804491" w:rsidP="00804491">
      <w:pPr>
        <w:pStyle w:val="ListParagraph"/>
        <w:numPr>
          <w:ilvl w:val="0"/>
          <w:numId w:val="36"/>
        </w:numPr>
        <w:spacing w:line="360" w:lineRule="auto"/>
        <w:rPr>
          <w:rFonts w:ascii="Arial" w:hAnsi="Arial" w:cs="Arial"/>
        </w:rPr>
      </w:pPr>
      <w:r>
        <w:rPr>
          <w:rFonts w:ascii="Arial" w:hAnsi="Arial" w:cs="Arial"/>
        </w:rPr>
        <w:t>Most of the shareholder lawsuits filed in 2020 and early 2021 which accused boards of violating their legal duties by failing to diversify the company’s board and otherwise failing to address diversity and equality issues have been dismissed.</w:t>
      </w:r>
    </w:p>
    <w:p w14:paraId="33AEC1CE" w14:textId="77777777" w:rsidR="00804491" w:rsidRDefault="00804491" w:rsidP="00804491">
      <w:pPr>
        <w:pStyle w:val="ListParagraph"/>
        <w:numPr>
          <w:ilvl w:val="0"/>
          <w:numId w:val="36"/>
        </w:numPr>
        <w:spacing w:line="360" w:lineRule="auto"/>
        <w:rPr>
          <w:rFonts w:ascii="Arial" w:hAnsi="Arial" w:cs="Arial"/>
        </w:rPr>
      </w:pPr>
      <w:r>
        <w:rPr>
          <w:rFonts w:ascii="Arial" w:hAnsi="Arial" w:cs="Arial"/>
        </w:rPr>
        <w:t>The SEC approved the NASDAQ “Comply or Explain” governance diversity rules in August of 2021, which require NASDAQ listed companies to have, or to explain why they do not have, at least two members of its board of directors who are “Diverse,” including at least one Diverse director who self-identifies as female and at least one Diverse director who self-identifies as an underrepresented minority or LGBTQ.</w:t>
      </w:r>
    </w:p>
    <w:p w14:paraId="524DD72C" w14:textId="77777777" w:rsidR="00804491" w:rsidRDefault="00804491" w:rsidP="00804491">
      <w:pPr>
        <w:pStyle w:val="ListParagraph"/>
        <w:numPr>
          <w:ilvl w:val="0"/>
          <w:numId w:val="36"/>
        </w:numPr>
        <w:spacing w:line="360" w:lineRule="auto"/>
        <w:rPr>
          <w:rFonts w:ascii="Arial" w:hAnsi="Arial" w:cs="Arial"/>
        </w:rPr>
      </w:pPr>
      <w:r>
        <w:rPr>
          <w:rFonts w:ascii="Arial" w:hAnsi="Arial" w:cs="Arial"/>
        </w:rPr>
        <w:t>In April and May of 2022, California superior court judges struck down California’s board diversity statute and the California statute that requires California based public companies to have from 1 to 3 female directors as violations of the California constitution’s equal protection clause</w:t>
      </w:r>
    </w:p>
    <w:p w14:paraId="0F449CF0" w14:textId="77777777" w:rsidR="00804491" w:rsidRDefault="00804491" w:rsidP="00804491">
      <w:pPr>
        <w:spacing w:line="360" w:lineRule="auto"/>
        <w:jc w:val="both"/>
        <w:rPr>
          <w:rFonts w:ascii="Arial" w:hAnsi="Arial" w:cs="Arial"/>
          <w:color w:val="0067B1"/>
        </w:rPr>
      </w:pPr>
      <w:r>
        <w:rPr>
          <w:rFonts w:ascii="Arial" w:hAnsi="Arial" w:cs="Arial"/>
          <w:color w:val="0067B1"/>
        </w:rPr>
        <w:t>A wave of new D&amp;O insurers is breaking onto the marketplace</w:t>
      </w:r>
    </w:p>
    <w:p w14:paraId="56455085" w14:textId="77777777" w:rsidR="00804491" w:rsidRDefault="00804491" w:rsidP="00804491">
      <w:pPr>
        <w:numPr>
          <w:ilvl w:val="0"/>
          <w:numId w:val="34"/>
        </w:numPr>
        <w:spacing w:line="360" w:lineRule="auto"/>
        <w:contextualSpacing/>
        <w:jc w:val="both"/>
        <w:rPr>
          <w:rFonts w:ascii="Arial" w:hAnsi="Arial" w:cs="Arial"/>
        </w:rPr>
      </w:pPr>
      <w:r>
        <w:rPr>
          <w:rFonts w:ascii="Arial" w:hAnsi="Arial" w:cs="Arial"/>
        </w:rPr>
        <w:t xml:space="preserve">As is true of all financial systems, the D&amp;O marketplace is primarily governed by the laws of supply and demand.  When supply is tight, prices rise and as the supply of insurance capacity grows, prices inevitably fall.  </w:t>
      </w:r>
    </w:p>
    <w:p w14:paraId="3C2ED409" w14:textId="77777777" w:rsidR="00804491" w:rsidRDefault="00804491" w:rsidP="00804491">
      <w:pPr>
        <w:numPr>
          <w:ilvl w:val="0"/>
          <w:numId w:val="34"/>
        </w:numPr>
        <w:spacing w:line="360" w:lineRule="auto"/>
        <w:contextualSpacing/>
        <w:jc w:val="both"/>
        <w:rPr>
          <w:rFonts w:ascii="Arial" w:hAnsi="Arial" w:cs="Arial"/>
        </w:rPr>
      </w:pPr>
      <w:r>
        <w:rPr>
          <w:rFonts w:ascii="Arial" w:hAnsi="Arial" w:cs="Arial"/>
        </w:rPr>
        <w:t>The firming of the D&amp;O market has attracted a raft of new capacity.  We are seeing this new capacity have a positive impact on the excess layers and expect that the new carriers will begin to be helpful on primary placements as we move through 2022.</w:t>
      </w:r>
    </w:p>
    <w:p w14:paraId="6B892F50" w14:textId="77777777" w:rsidR="00804491" w:rsidRDefault="00804491" w:rsidP="00804491">
      <w:pPr>
        <w:numPr>
          <w:ilvl w:val="0"/>
          <w:numId w:val="34"/>
        </w:numPr>
        <w:spacing w:line="360" w:lineRule="auto"/>
        <w:contextualSpacing/>
        <w:jc w:val="both"/>
        <w:rPr>
          <w:rFonts w:ascii="Arial" w:hAnsi="Arial" w:cs="Arial"/>
        </w:rPr>
      </w:pPr>
      <w:r>
        <w:rPr>
          <w:rFonts w:ascii="Arial" w:hAnsi="Arial" w:cs="Arial"/>
        </w:rPr>
        <w:t>The list of new carriers that have entered the market or are entering soon includes capacity domiciled in the U.S., as well as Bermuda and London, including:</w:t>
      </w:r>
    </w:p>
    <w:p w14:paraId="08E90C4C" w14:textId="77777777" w:rsidR="00804491" w:rsidRDefault="00804491" w:rsidP="00804491">
      <w:pPr>
        <w:spacing w:line="360" w:lineRule="auto"/>
        <w:contextualSpacing/>
        <w:jc w:val="both"/>
        <w:rPr>
          <w:rFonts w:ascii="Arial" w:hAnsi="Arial" w:cs="Aria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76"/>
        <w:gridCol w:w="2858"/>
        <w:gridCol w:w="3216"/>
      </w:tblGrid>
      <w:tr w:rsidR="00804491" w14:paraId="5DF7BBCD" w14:textId="77777777" w:rsidTr="00804491">
        <w:trPr>
          <w:jc w:val="center"/>
        </w:trPr>
        <w:tc>
          <w:tcPr>
            <w:tcW w:w="3276" w:type="dxa"/>
            <w:vAlign w:val="center"/>
            <w:hideMark/>
          </w:tcPr>
          <w:p w14:paraId="6F897960" w14:textId="23E0ECD8" w:rsidR="00804491" w:rsidRDefault="00804491">
            <w:r>
              <w:rPr>
                <w:noProof/>
              </w:rPr>
              <w:drawing>
                <wp:inline distT="0" distB="0" distL="0" distR="0" wp14:anchorId="4E90FE6E" wp14:editId="0024EE91">
                  <wp:extent cx="10160" cy="101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Pr>
                <w:noProof/>
              </w:rPr>
              <w:drawing>
                <wp:inline distT="0" distB="0" distL="0" distR="0" wp14:anchorId="2B7D9D4D" wp14:editId="7BCE0216">
                  <wp:extent cx="1416685" cy="4572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16685" cy="457200"/>
                          </a:xfrm>
                          <a:prstGeom prst="rect">
                            <a:avLst/>
                          </a:prstGeom>
                          <a:noFill/>
                          <a:ln>
                            <a:noFill/>
                          </a:ln>
                        </pic:spPr>
                      </pic:pic>
                    </a:graphicData>
                  </a:graphic>
                </wp:inline>
              </w:drawing>
            </w:r>
          </w:p>
        </w:tc>
        <w:tc>
          <w:tcPr>
            <w:tcW w:w="2858" w:type="dxa"/>
            <w:vAlign w:val="center"/>
            <w:hideMark/>
          </w:tcPr>
          <w:p w14:paraId="080259CE" w14:textId="4E65D2E8" w:rsidR="00804491" w:rsidRDefault="00804491">
            <w:pPr>
              <w:jc w:val="center"/>
            </w:pPr>
            <w:r>
              <w:rPr>
                <w:noProof/>
              </w:rPr>
              <w:drawing>
                <wp:inline distT="0" distB="0" distL="0" distR="0" wp14:anchorId="0D085690" wp14:editId="3D610767">
                  <wp:extent cx="1135380" cy="412115"/>
                  <wp:effectExtent l="0" t="0" r="762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5380" cy="412115"/>
                          </a:xfrm>
                          <a:prstGeom prst="rect">
                            <a:avLst/>
                          </a:prstGeom>
                          <a:noFill/>
                          <a:ln>
                            <a:noFill/>
                          </a:ln>
                        </pic:spPr>
                      </pic:pic>
                    </a:graphicData>
                  </a:graphic>
                </wp:inline>
              </w:drawing>
            </w:r>
          </w:p>
        </w:tc>
        <w:tc>
          <w:tcPr>
            <w:tcW w:w="3216" w:type="dxa"/>
            <w:vAlign w:val="center"/>
            <w:hideMark/>
          </w:tcPr>
          <w:p w14:paraId="5D3BE61D" w14:textId="3BD0E36F" w:rsidR="00804491" w:rsidRDefault="00804491">
            <w:pPr>
              <w:jc w:val="center"/>
            </w:pPr>
            <w:r>
              <w:rPr>
                <w:noProof/>
              </w:rPr>
              <w:drawing>
                <wp:inline distT="0" distB="0" distL="0" distR="0" wp14:anchorId="13ED7FA6" wp14:editId="3BF4DD0C">
                  <wp:extent cx="1341755" cy="3816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41755" cy="381635"/>
                          </a:xfrm>
                          <a:prstGeom prst="rect">
                            <a:avLst/>
                          </a:prstGeom>
                          <a:noFill/>
                          <a:ln>
                            <a:noFill/>
                          </a:ln>
                        </pic:spPr>
                      </pic:pic>
                    </a:graphicData>
                  </a:graphic>
                </wp:inline>
              </w:drawing>
            </w:r>
          </w:p>
        </w:tc>
      </w:tr>
      <w:tr w:rsidR="00804491" w14:paraId="2DABAB91" w14:textId="77777777" w:rsidTr="00804491">
        <w:trPr>
          <w:jc w:val="center"/>
        </w:trPr>
        <w:tc>
          <w:tcPr>
            <w:tcW w:w="3276" w:type="dxa"/>
            <w:vAlign w:val="center"/>
            <w:hideMark/>
          </w:tcPr>
          <w:p w14:paraId="03EC9C71" w14:textId="7D0254B4" w:rsidR="00804491" w:rsidRDefault="00804491">
            <w:r>
              <w:rPr>
                <w:noProof/>
              </w:rPr>
              <w:drawing>
                <wp:inline distT="0" distB="0" distL="0" distR="0" wp14:anchorId="1946B2A9" wp14:editId="1DF5E296">
                  <wp:extent cx="1522095" cy="487045"/>
                  <wp:effectExtent l="0" t="0" r="1905" b="82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2095" cy="487045"/>
                          </a:xfrm>
                          <a:prstGeom prst="rect">
                            <a:avLst/>
                          </a:prstGeom>
                          <a:noFill/>
                          <a:ln>
                            <a:noFill/>
                          </a:ln>
                        </pic:spPr>
                      </pic:pic>
                    </a:graphicData>
                  </a:graphic>
                </wp:inline>
              </w:drawing>
            </w:r>
          </w:p>
        </w:tc>
        <w:tc>
          <w:tcPr>
            <w:tcW w:w="2858" w:type="dxa"/>
            <w:vAlign w:val="center"/>
            <w:hideMark/>
          </w:tcPr>
          <w:p w14:paraId="273A3CEC" w14:textId="5522FA82" w:rsidR="00804491" w:rsidRDefault="00804491">
            <w:pPr>
              <w:jc w:val="center"/>
            </w:pPr>
            <w:r>
              <w:rPr>
                <w:noProof/>
              </w:rPr>
              <w:drawing>
                <wp:inline distT="0" distB="0" distL="0" distR="0" wp14:anchorId="4840CF71" wp14:editId="7FCF775C">
                  <wp:extent cx="1009650" cy="296545"/>
                  <wp:effectExtent l="0" t="0" r="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09650" cy="296545"/>
                          </a:xfrm>
                          <a:prstGeom prst="rect">
                            <a:avLst/>
                          </a:prstGeom>
                          <a:noFill/>
                          <a:ln>
                            <a:noFill/>
                          </a:ln>
                        </pic:spPr>
                      </pic:pic>
                    </a:graphicData>
                  </a:graphic>
                </wp:inline>
              </w:drawing>
            </w:r>
          </w:p>
        </w:tc>
        <w:tc>
          <w:tcPr>
            <w:tcW w:w="3216" w:type="dxa"/>
            <w:vAlign w:val="center"/>
            <w:hideMark/>
          </w:tcPr>
          <w:p w14:paraId="003FE11C" w14:textId="705DF488" w:rsidR="00804491" w:rsidRDefault="00804491">
            <w:pPr>
              <w:jc w:val="center"/>
            </w:pPr>
            <w:r>
              <w:rPr>
                <w:noProof/>
              </w:rPr>
              <w:drawing>
                <wp:inline distT="0" distB="0" distL="0" distR="0" wp14:anchorId="7962F7EA" wp14:editId="3DE409EF">
                  <wp:extent cx="753745" cy="497205"/>
                  <wp:effectExtent l="0" t="0" r="825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53745" cy="497205"/>
                          </a:xfrm>
                          <a:prstGeom prst="rect">
                            <a:avLst/>
                          </a:prstGeom>
                          <a:noFill/>
                          <a:ln>
                            <a:noFill/>
                          </a:ln>
                        </pic:spPr>
                      </pic:pic>
                    </a:graphicData>
                  </a:graphic>
                </wp:inline>
              </w:drawing>
            </w:r>
          </w:p>
        </w:tc>
      </w:tr>
      <w:tr w:rsidR="00804491" w14:paraId="79386A23" w14:textId="77777777" w:rsidTr="00804491">
        <w:trPr>
          <w:jc w:val="center"/>
        </w:trPr>
        <w:tc>
          <w:tcPr>
            <w:tcW w:w="3276" w:type="dxa"/>
            <w:vAlign w:val="center"/>
            <w:hideMark/>
          </w:tcPr>
          <w:p w14:paraId="2DE19C97" w14:textId="05F37122" w:rsidR="00804491" w:rsidRDefault="00804491">
            <w:pPr>
              <w:jc w:val="center"/>
              <w:rPr>
                <w:sz w:val="32"/>
                <w:szCs w:val="32"/>
              </w:rPr>
            </w:pPr>
            <w:r>
              <w:rPr>
                <w:noProof/>
                <w:sz w:val="32"/>
                <w:szCs w:val="32"/>
              </w:rPr>
              <w:drawing>
                <wp:inline distT="0" distB="0" distL="0" distR="0" wp14:anchorId="64CDD25A" wp14:editId="1D19E859">
                  <wp:extent cx="874395" cy="401955"/>
                  <wp:effectExtent l="0" t="0" r="190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74395" cy="401955"/>
                          </a:xfrm>
                          <a:prstGeom prst="rect">
                            <a:avLst/>
                          </a:prstGeom>
                          <a:noFill/>
                          <a:ln>
                            <a:noFill/>
                          </a:ln>
                        </pic:spPr>
                      </pic:pic>
                    </a:graphicData>
                  </a:graphic>
                </wp:inline>
              </w:drawing>
            </w:r>
          </w:p>
        </w:tc>
        <w:tc>
          <w:tcPr>
            <w:tcW w:w="2858" w:type="dxa"/>
            <w:vAlign w:val="center"/>
            <w:hideMark/>
          </w:tcPr>
          <w:p w14:paraId="43411696" w14:textId="3B48EAC8" w:rsidR="00804491" w:rsidRDefault="00804491">
            <w:pPr>
              <w:jc w:val="center"/>
            </w:pPr>
            <w:r>
              <w:rPr>
                <w:noProof/>
              </w:rPr>
              <w:drawing>
                <wp:inline distT="0" distB="0" distL="0" distR="0" wp14:anchorId="470BBAC2" wp14:editId="2FCF359F">
                  <wp:extent cx="703580" cy="467360"/>
                  <wp:effectExtent l="0" t="0" r="127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03580" cy="467360"/>
                          </a:xfrm>
                          <a:prstGeom prst="rect">
                            <a:avLst/>
                          </a:prstGeom>
                          <a:noFill/>
                          <a:ln>
                            <a:noFill/>
                          </a:ln>
                        </pic:spPr>
                      </pic:pic>
                    </a:graphicData>
                  </a:graphic>
                </wp:inline>
              </w:drawing>
            </w:r>
          </w:p>
        </w:tc>
        <w:tc>
          <w:tcPr>
            <w:tcW w:w="3216" w:type="dxa"/>
            <w:vAlign w:val="center"/>
            <w:hideMark/>
          </w:tcPr>
          <w:p w14:paraId="330C4824" w14:textId="47B09C89" w:rsidR="00804491" w:rsidRDefault="00804491">
            <w:pPr>
              <w:jc w:val="center"/>
            </w:pPr>
            <w:r>
              <w:rPr>
                <w:noProof/>
              </w:rPr>
              <w:drawing>
                <wp:inline distT="0" distB="0" distL="0" distR="0" wp14:anchorId="28088C2E" wp14:editId="3ACC38ED">
                  <wp:extent cx="1512570" cy="296545"/>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2570" cy="296545"/>
                          </a:xfrm>
                          <a:prstGeom prst="rect">
                            <a:avLst/>
                          </a:prstGeom>
                          <a:noFill/>
                          <a:ln>
                            <a:noFill/>
                          </a:ln>
                        </pic:spPr>
                      </pic:pic>
                    </a:graphicData>
                  </a:graphic>
                </wp:inline>
              </w:drawing>
            </w:r>
          </w:p>
        </w:tc>
      </w:tr>
      <w:tr w:rsidR="00804491" w14:paraId="2EF37850" w14:textId="77777777" w:rsidTr="00804491">
        <w:trPr>
          <w:jc w:val="center"/>
        </w:trPr>
        <w:tc>
          <w:tcPr>
            <w:tcW w:w="3276" w:type="dxa"/>
            <w:vAlign w:val="center"/>
            <w:hideMark/>
          </w:tcPr>
          <w:p w14:paraId="044CB17C" w14:textId="6F1C4DCF" w:rsidR="00804491" w:rsidRDefault="00804491">
            <w:r>
              <w:rPr>
                <w:noProof/>
              </w:rPr>
              <w:drawing>
                <wp:inline distT="0" distB="0" distL="0" distR="0" wp14:anchorId="6AF6832C" wp14:editId="604FC3ED">
                  <wp:extent cx="1617980" cy="412115"/>
                  <wp:effectExtent l="0" t="0" r="1270" b="6985"/>
                  <wp:docPr id="49" name="Picture 49" descr="BOWHEAD SPECIA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OWHEAD SPECIALTY"/>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17980" cy="412115"/>
                          </a:xfrm>
                          <a:prstGeom prst="rect">
                            <a:avLst/>
                          </a:prstGeom>
                          <a:noFill/>
                          <a:ln>
                            <a:noFill/>
                          </a:ln>
                        </pic:spPr>
                      </pic:pic>
                    </a:graphicData>
                  </a:graphic>
                </wp:inline>
              </w:drawing>
            </w:r>
          </w:p>
        </w:tc>
        <w:tc>
          <w:tcPr>
            <w:tcW w:w="2858" w:type="dxa"/>
            <w:vAlign w:val="center"/>
            <w:hideMark/>
          </w:tcPr>
          <w:p w14:paraId="0D41A3C3" w14:textId="086CA397" w:rsidR="00804491" w:rsidRDefault="00804491">
            <w:pPr>
              <w:jc w:val="center"/>
            </w:pPr>
            <w:r>
              <w:rPr>
                <w:noProof/>
              </w:rPr>
              <w:drawing>
                <wp:inline distT="0" distB="0" distL="0" distR="0" wp14:anchorId="0E130D3F" wp14:editId="75BDAB97">
                  <wp:extent cx="1507490" cy="220980"/>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07490" cy="220980"/>
                          </a:xfrm>
                          <a:prstGeom prst="rect">
                            <a:avLst/>
                          </a:prstGeom>
                          <a:noFill/>
                          <a:ln>
                            <a:noFill/>
                          </a:ln>
                        </pic:spPr>
                      </pic:pic>
                    </a:graphicData>
                  </a:graphic>
                </wp:inline>
              </w:drawing>
            </w:r>
          </w:p>
        </w:tc>
        <w:tc>
          <w:tcPr>
            <w:tcW w:w="3216" w:type="dxa"/>
            <w:vAlign w:val="center"/>
            <w:hideMark/>
          </w:tcPr>
          <w:p w14:paraId="2A342EC8" w14:textId="055B796A" w:rsidR="00804491" w:rsidRDefault="00804491">
            <w:r>
              <w:rPr>
                <w:noProof/>
              </w:rPr>
              <w:drawing>
                <wp:inline distT="0" distB="0" distL="0" distR="0" wp14:anchorId="0BEFF0D9" wp14:editId="4BB8A33F">
                  <wp:extent cx="1326515" cy="341630"/>
                  <wp:effectExtent l="0" t="0" r="6985"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26515" cy="341630"/>
                          </a:xfrm>
                          <a:prstGeom prst="rect">
                            <a:avLst/>
                          </a:prstGeom>
                          <a:noFill/>
                          <a:ln>
                            <a:noFill/>
                          </a:ln>
                        </pic:spPr>
                      </pic:pic>
                    </a:graphicData>
                  </a:graphic>
                </wp:inline>
              </w:drawing>
            </w:r>
          </w:p>
        </w:tc>
      </w:tr>
      <w:tr w:rsidR="00804491" w14:paraId="10BC1FAE" w14:textId="77777777" w:rsidTr="00804491">
        <w:trPr>
          <w:jc w:val="center"/>
        </w:trPr>
        <w:tc>
          <w:tcPr>
            <w:tcW w:w="3276" w:type="dxa"/>
            <w:vAlign w:val="center"/>
            <w:hideMark/>
          </w:tcPr>
          <w:p w14:paraId="4D5B5DBE" w14:textId="713E6524" w:rsidR="00804491" w:rsidRDefault="00804491">
            <w:r>
              <w:rPr>
                <w:noProof/>
              </w:rPr>
              <w:lastRenderedPageBreak/>
              <w:drawing>
                <wp:inline distT="0" distB="0" distL="0" distR="0" wp14:anchorId="0EF768D6" wp14:editId="3A3DD5C3">
                  <wp:extent cx="1763395" cy="436880"/>
                  <wp:effectExtent l="0" t="0" r="825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63395" cy="436880"/>
                          </a:xfrm>
                          <a:prstGeom prst="rect">
                            <a:avLst/>
                          </a:prstGeom>
                          <a:noFill/>
                          <a:ln>
                            <a:noFill/>
                          </a:ln>
                        </pic:spPr>
                      </pic:pic>
                    </a:graphicData>
                  </a:graphic>
                </wp:inline>
              </w:drawing>
            </w:r>
          </w:p>
        </w:tc>
        <w:tc>
          <w:tcPr>
            <w:tcW w:w="2858" w:type="dxa"/>
            <w:vAlign w:val="center"/>
            <w:hideMark/>
          </w:tcPr>
          <w:p w14:paraId="45282335" w14:textId="2E1A5B23" w:rsidR="00804491" w:rsidRDefault="00804491">
            <w:pPr>
              <w:jc w:val="center"/>
            </w:pPr>
            <w:r>
              <w:rPr>
                <w:noProof/>
              </w:rPr>
              <w:drawing>
                <wp:inline distT="0" distB="0" distL="0" distR="0" wp14:anchorId="447D8F77" wp14:editId="43083D09">
                  <wp:extent cx="331470" cy="53276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1470" cy="532765"/>
                          </a:xfrm>
                          <a:prstGeom prst="rect">
                            <a:avLst/>
                          </a:prstGeom>
                          <a:noFill/>
                          <a:ln>
                            <a:noFill/>
                          </a:ln>
                        </pic:spPr>
                      </pic:pic>
                    </a:graphicData>
                  </a:graphic>
                </wp:inline>
              </w:drawing>
            </w:r>
          </w:p>
        </w:tc>
        <w:tc>
          <w:tcPr>
            <w:tcW w:w="3216" w:type="dxa"/>
            <w:vAlign w:val="center"/>
            <w:hideMark/>
          </w:tcPr>
          <w:p w14:paraId="2FDB7249" w14:textId="7C521456" w:rsidR="00804491" w:rsidRDefault="00804491">
            <w:r>
              <w:rPr>
                <w:noProof/>
              </w:rPr>
              <w:drawing>
                <wp:inline distT="0" distB="0" distL="0" distR="0" wp14:anchorId="1FF5AB23" wp14:editId="062609C9">
                  <wp:extent cx="1487170" cy="4470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87170" cy="447040"/>
                          </a:xfrm>
                          <a:prstGeom prst="rect">
                            <a:avLst/>
                          </a:prstGeom>
                          <a:noFill/>
                          <a:ln>
                            <a:noFill/>
                          </a:ln>
                        </pic:spPr>
                      </pic:pic>
                    </a:graphicData>
                  </a:graphic>
                </wp:inline>
              </w:drawing>
            </w:r>
          </w:p>
        </w:tc>
      </w:tr>
    </w:tbl>
    <w:p w14:paraId="1C1822CA" w14:textId="77777777" w:rsidR="00804491" w:rsidRDefault="00804491" w:rsidP="00804491">
      <w:pPr>
        <w:spacing w:line="360" w:lineRule="auto"/>
        <w:contextualSpacing/>
        <w:jc w:val="both"/>
        <w:rPr>
          <w:rFonts w:ascii="Arial" w:hAnsi="Arial" w:cs="Arial"/>
          <w:color w:val="0067B1"/>
        </w:rPr>
      </w:pPr>
      <w:r>
        <w:rPr>
          <w:rFonts w:ascii="Arial" w:hAnsi="Arial" w:cs="Arial"/>
        </w:rPr>
        <w:br w:type="page"/>
      </w:r>
      <w:r>
        <w:rPr>
          <w:rFonts w:ascii="Arial" w:hAnsi="Arial" w:cs="Arial"/>
          <w:color w:val="0067B1"/>
        </w:rPr>
        <w:lastRenderedPageBreak/>
        <w:t>D&amp;O Coverage quality remains intact</w:t>
      </w:r>
    </w:p>
    <w:p w14:paraId="64FB6B49" w14:textId="77777777" w:rsidR="00804491" w:rsidRDefault="00804491" w:rsidP="00804491">
      <w:pPr>
        <w:numPr>
          <w:ilvl w:val="0"/>
          <w:numId w:val="37"/>
        </w:numPr>
        <w:spacing w:line="360" w:lineRule="auto"/>
        <w:contextualSpacing/>
        <w:jc w:val="both"/>
        <w:rPr>
          <w:rFonts w:ascii="Arial" w:hAnsi="Arial" w:cs="Arial"/>
        </w:rPr>
      </w:pPr>
      <w:r>
        <w:rPr>
          <w:rFonts w:ascii="Arial" w:hAnsi="Arial" w:cs="Arial"/>
        </w:rPr>
        <w:t>It appears that the premium and retention adjustment discussed above have been effective at improving D&amp;O insurers’ profits.</w:t>
      </w:r>
    </w:p>
    <w:p w14:paraId="1C4FA970" w14:textId="77777777" w:rsidR="00804491" w:rsidRDefault="00804491" w:rsidP="00804491">
      <w:pPr>
        <w:numPr>
          <w:ilvl w:val="0"/>
          <w:numId w:val="37"/>
        </w:numPr>
        <w:spacing w:line="360" w:lineRule="auto"/>
        <w:contextualSpacing/>
        <w:jc w:val="both"/>
        <w:rPr>
          <w:rFonts w:ascii="Arial" w:hAnsi="Arial" w:cs="Arial"/>
        </w:rPr>
      </w:pPr>
      <w:r>
        <w:rPr>
          <w:rFonts w:ascii="Arial" w:hAnsi="Arial" w:cs="Arial"/>
        </w:rPr>
        <w:t>We had begun to fear significant coverage pull backs given the drastic hardening of the market that occurred in 2019 and 2020.</w:t>
      </w:r>
    </w:p>
    <w:p w14:paraId="3723DFF7" w14:textId="77777777" w:rsidR="00804491" w:rsidRDefault="00804491" w:rsidP="00804491">
      <w:pPr>
        <w:numPr>
          <w:ilvl w:val="0"/>
          <w:numId w:val="37"/>
        </w:numPr>
        <w:spacing w:line="360" w:lineRule="auto"/>
        <w:contextualSpacing/>
        <w:jc w:val="both"/>
        <w:rPr>
          <w:rFonts w:ascii="Arial" w:hAnsi="Arial" w:cs="Arial"/>
        </w:rPr>
      </w:pPr>
      <w:r>
        <w:rPr>
          <w:rFonts w:ascii="Arial" w:hAnsi="Arial" w:cs="Arial"/>
        </w:rPr>
        <w:t>However, at this point, it appears that the level of coverage in the D&amp;O marketplace for public companies remains stable.  We will continue to monitor this carefully and work to broaden coverage as we move forward.</w:t>
      </w:r>
    </w:p>
    <w:p w14:paraId="30A4BD6A" w14:textId="77777777" w:rsidR="0060205A" w:rsidRDefault="0060205A">
      <w:pPr>
        <w:rPr>
          <w:rFonts w:ascii="Arial" w:hAnsi="Arial" w:cs="Arial"/>
        </w:rPr>
      </w:pPr>
      <w:r>
        <w:rPr>
          <w:rFonts w:ascii="Arial" w:hAnsi="Arial" w:cs="Arial"/>
        </w:rPr>
        <w:br w:type="page"/>
      </w:r>
    </w:p>
    <w:p w14:paraId="42D6889A" w14:textId="192C0F82" w:rsidR="0060205A" w:rsidRDefault="0060205A" w:rsidP="0060205A">
      <w:pPr>
        <w:pStyle w:val="OBISChapterTitle"/>
        <w:rPr>
          <w:bCs/>
          <w:iCs w:val="0"/>
          <w:color w:val="0067B1"/>
          <w:kern w:val="22"/>
        </w:rPr>
      </w:pPr>
      <w:r>
        <w:rPr>
          <w:bCs/>
          <w:iCs w:val="0"/>
          <w:color w:val="0067B1"/>
          <w:kern w:val="22"/>
        </w:rPr>
        <w:lastRenderedPageBreak/>
        <w:t xml:space="preserve">IV. SPAC Related D&amp;O Concerns and SPAC Litigation </w:t>
      </w:r>
    </w:p>
    <w:p w14:paraId="4B0569BC" w14:textId="77777777" w:rsidR="00C65508" w:rsidRDefault="00C65508" w:rsidP="00C65508">
      <w:pPr>
        <w:spacing w:line="360" w:lineRule="auto"/>
        <w:jc w:val="both"/>
        <w:rPr>
          <w:rFonts w:ascii="Arial" w:hAnsi="Arial" w:cs="Arial"/>
          <w:color w:val="0067B1"/>
        </w:rPr>
      </w:pPr>
      <w:bookmarkStart w:id="2" w:name="_Hlk64793910"/>
      <w:r>
        <w:rPr>
          <w:rFonts w:ascii="Arial" w:hAnsi="Arial" w:cs="Arial"/>
          <w:color w:val="0067B1"/>
        </w:rPr>
        <w:t>The increased prevalence of SPAC offerings and transactions and the Nikola headlines have increased the perceived D&amp;O risks surrounding SPACs.</w:t>
      </w:r>
    </w:p>
    <w:p w14:paraId="29B637BA" w14:textId="77777777" w:rsidR="00C65508" w:rsidRDefault="00C65508" w:rsidP="00C65508">
      <w:pPr>
        <w:pStyle w:val="ListParagraph"/>
        <w:numPr>
          <w:ilvl w:val="0"/>
          <w:numId w:val="15"/>
        </w:numPr>
        <w:spacing w:line="360" w:lineRule="auto"/>
        <w:jc w:val="both"/>
        <w:rPr>
          <w:rFonts w:ascii="Arial" w:hAnsi="Arial" w:cs="Arial"/>
          <w:color w:val="0067B1"/>
        </w:rPr>
      </w:pPr>
      <w:bookmarkStart w:id="3" w:name="_Hlk66779797"/>
      <w:r>
        <w:rPr>
          <w:rFonts w:ascii="Arial" w:hAnsi="Arial" w:cs="Arial"/>
        </w:rPr>
        <w:t>In 2021 there were 613 new SPAC offerings that raised almost $162 billion in proceeds, on top of the 248 SPACs that raised nearly $83 billion in 2020, which was dubbed the "year of the SPAC”.  This compares to 59 offerings in 2019, which raised over $13 billion, itself a record high.</w:t>
      </w:r>
    </w:p>
    <w:p w14:paraId="4E8499A9" w14:textId="77777777" w:rsidR="00C65508" w:rsidRDefault="00C65508" w:rsidP="00C65508">
      <w:pPr>
        <w:pStyle w:val="ListParagraph"/>
        <w:numPr>
          <w:ilvl w:val="0"/>
          <w:numId w:val="15"/>
        </w:numPr>
        <w:spacing w:line="360" w:lineRule="auto"/>
        <w:jc w:val="both"/>
        <w:rPr>
          <w:rFonts w:ascii="Arial" w:hAnsi="Arial" w:cs="Arial"/>
          <w:color w:val="0067B1"/>
        </w:rPr>
      </w:pPr>
      <w:r>
        <w:rPr>
          <w:rFonts w:ascii="Arial" w:hAnsi="Arial" w:cs="Arial"/>
        </w:rPr>
        <w:t>With the backdrop of the hardest D&amp;O market in decades for most other publicly traded companies and IPOs, D&amp;O underwriters had already begun to grow wary of the spike in SPAC offerings and had started to slowly raise prices and pull back on capacity.</w:t>
      </w:r>
    </w:p>
    <w:p w14:paraId="5007BFFC" w14:textId="77777777" w:rsidR="00C65508" w:rsidRDefault="00C65508" w:rsidP="00C65508">
      <w:pPr>
        <w:pStyle w:val="ListParagraph"/>
        <w:numPr>
          <w:ilvl w:val="0"/>
          <w:numId w:val="15"/>
        </w:numPr>
        <w:spacing w:line="360" w:lineRule="auto"/>
        <w:jc w:val="both"/>
        <w:rPr>
          <w:rFonts w:ascii="Arial" w:hAnsi="Arial" w:cs="Arial"/>
          <w:color w:val="0067B1"/>
        </w:rPr>
      </w:pPr>
      <w:r>
        <w:rPr>
          <w:rFonts w:ascii="Arial" w:hAnsi="Arial" w:cs="Arial"/>
        </w:rPr>
        <w:t>The September 10, 2020 report by the short seller firm Hindenburg Research on Nikola (which became public through a June 2020 de-SPAC merger with VectoIQ) led to a series of shareholder class action claims against Nikola as well as an SEC investigation which culminated in a recent grand jury indictment of Trevor Milton, the former CEO of Nikola.</w:t>
      </w:r>
    </w:p>
    <w:p w14:paraId="545D0D59" w14:textId="77777777" w:rsidR="00C65508" w:rsidRDefault="00C65508" w:rsidP="00C65508">
      <w:pPr>
        <w:pStyle w:val="ListParagraph"/>
        <w:numPr>
          <w:ilvl w:val="0"/>
          <w:numId w:val="15"/>
        </w:numPr>
        <w:spacing w:line="360" w:lineRule="auto"/>
        <w:jc w:val="both"/>
        <w:rPr>
          <w:rFonts w:ascii="Arial" w:hAnsi="Arial" w:cs="Arial"/>
          <w:color w:val="0067B1"/>
        </w:rPr>
      </w:pPr>
      <w:r>
        <w:rPr>
          <w:rFonts w:ascii="Arial" w:hAnsi="Arial" w:cs="Arial"/>
        </w:rPr>
        <w:t>On April 8, 2021, John Coates, the Acting Director of the SEC Division of Corporate Finance, issued a sharp public statement on the legal liability exposures associated with SPACs, warning that “Any claim about reduced liability exposure for SPAC participants is overstated at best, and potentially seriously misleading at worst. Indeed, in some ways, liability risks for those involved are higher, not lower, than in conventional IPOs, due in particular to the potential conflicts of interest in the SPAC structure.”</w:t>
      </w:r>
    </w:p>
    <w:p w14:paraId="10D5F144" w14:textId="77777777" w:rsidR="00C65508" w:rsidRDefault="00C65508" w:rsidP="00C65508">
      <w:pPr>
        <w:pStyle w:val="ListParagraph"/>
        <w:numPr>
          <w:ilvl w:val="0"/>
          <w:numId w:val="15"/>
        </w:numPr>
        <w:spacing w:line="360" w:lineRule="auto"/>
        <w:jc w:val="both"/>
        <w:rPr>
          <w:rFonts w:ascii="Arial" w:hAnsi="Arial" w:cs="Arial"/>
          <w:color w:val="0067B1"/>
        </w:rPr>
      </w:pPr>
      <w:r>
        <w:rPr>
          <w:rFonts w:ascii="Arial" w:hAnsi="Arial" w:cs="Arial"/>
        </w:rPr>
        <w:t>Less than a week later, on April 12, 2021, the SEC sent out a public statement warning that SPAC warrants may need to be classified as liabilities depending on their payout structure, settlement in cash or stock, or whether their value is indexed solely to the performance of the underlying stock.</w:t>
      </w:r>
    </w:p>
    <w:p w14:paraId="7A9580B0" w14:textId="77777777" w:rsidR="00C65508" w:rsidRPr="00DB1EC4" w:rsidRDefault="00C65508" w:rsidP="00C65508">
      <w:pPr>
        <w:pStyle w:val="ListParagraph"/>
        <w:numPr>
          <w:ilvl w:val="0"/>
          <w:numId w:val="15"/>
        </w:numPr>
        <w:spacing w:line="360" w:lineRule="auto"/>
        <w:jc w:val="both"/>
        <w:rPr>
          <w:rFonts w:ascii="Arial" w:hAnsi="Arial" w:cs="Arial"/>
          <w:color w:val="0067B1"/>
        </w:rPr>
      </w:pPr>
      <w:r>
        <w:rPr>
          <w:rFonts w:ascii="Arial" w:hAnsi="Arial" w:cs="Arial"/>
        </w:rPr>
        <w:t>Also on April 12, the Robbins Geller plaintiffs’ law firm issued a press release stating that they were forming a task force “dedicated to rooting out and prosecuting fraud on behalf of injured blank check company investors.”</w:t>
      </w:r>
    </w:p>
    <w:p w14:paraId="5476C89D" w14:textId="77777777" w:rsidR="00C65508" w:rsidRDefault="00C65508" w:rsidP="00C65508">
      <w:pPr>
        <w:pStyle w:val="ListParagraph"/>
        <w:numPr>
          <w:ilvl w:val="0"/>
          <w:numId w:val="15"/>
        </w:numPr>
        <w:spacing w:line="360" w:lineRule="auto"/>
        <w:jc w:val="both"/>
        <w:rPr>
          <w:rFonts w:ascii="Arial" w:hAnsi="Arial" w:cs="Arial"/>
          <w:color w:val="0067B1"/>
        </w:rPr>
      </w:pPr>
      <w:r>
        <w:rPr>
          <w:rFonts w:ascii="Arial" w:hAnsi="Arial" w:cs="Arial"/>
        </w:rPr>
        <w:t xml:space="preserve">According to a July 13, 2021 press release from the SEC, the commission recently settled an administrative proceeding against the space focused de-SPAC Momentus, in return for a cease and desist order and the payment of a $7 million penalty from the company and $1 million from its SPAC merger partner. </w:t>
      </w:r>
    </w:p>
    <w:p w14:paraId="6BFAFF6E" w14:textId="5F95EB37" w:rsidR="00C65508" w:rsidRPr="00E80AE6" w:rsidRDefault="00C65508" w:rsidP="00C65508">
      <w:pPr>
        <w:pStyle w:val="ListParagraph"/>
        <w:numPr>
          <w:ilvl w:val="0"/>
          <w:numId w:val="15"/>
        </w:numPr>
        <w:spacing w:line="360" w:lineRule="auto"/>
        <w:jc w:val="both"/>
        <w:rPr>
          <w:rFonts w:ascii="Arial" w:hAnsi="Arial" w:cs="Arial"/>
          <w:color w:val="0067B1"/>
        </w:rPr>
      </w:pPr>
      <w:r>
        <w:rPr>
          <w:rFonts w:ascii="Arial" w:hAnsi="Arial" w:cs="Arial"/>
        </w:rPr>
        <w:t xml:space="preserve">In addition to the regulatory uncertainty and the sheer volume of SPAC offerings D&amp;O insurers are growing increasingly concerned that the number of SPACs looking for deals </w:t>
      </w:r>
      <w:r>
        <w:rPr>
          <w:rFonts w:ascii="Arial" w:hAnsi="Arial" w:cs="Arial"/>
        </w:rPr>
        <w:lastRenderedPageBreak/>
        <w:t>(</w:t>
      </w:r>
      <w:r w:rsidR="00804491">
        <w:rPr>
          <w:rFonts w:ascii="Arial" w:hAnsi="Arial" w:cs="Arial"/>
        </w:rPr>
        <w:t>587</w:t>
      </w:r>
      <w:r w:rsidRPr="00F34948">
        <w:rPr>
          <w:rFonts w:ascii="Arial" w:hAnsi="Arial" w:cs="Arial"/>
        </w:rPr>
        <w:t xml:space="preserve"> as of</w:t>
      </w:r>
      <w:r w:rsidR="00804491">
        <w:rPr>
          <w:rFonts w:ascii="Arial" w:hAnsi="Arial" w:cs="Arial"/>
        </w:rPr>
        <w:t xml:space="preserve"> June </w:t>
      </w:r>
      <w:r w:rsidR="002B5DB9">
        <w:rPr>
          <w:rFonts w:ascii="Arial" w:hAnsi="Arial" w:cs="Arial"/>
        </w:rPr>
        <w:t>30, 2022</w:t>
      </w:r>
      <w:r>
        <w:rPr>
          <w:rFonts w:ascii="Arial" w:hAnsi="Arial" w:cs="Arial"/>
        </w:rPr>
        <w:t>) and the time pressures to complete a deal may contribute to inadequate due diligence and overlooked risk factors and lead to bad deal litigation.</w:t>
      </w:r>
      <w:bookmarkEnd w:id="3"/>
    </w:p>
    <w:p w14:paraId="3304353D" w14:textId="56229413" w:rsidR="00E80AE6" w:rsidRPr="00E80AE6" w:rsidRDefault="00E80AE6" w:rsidP="00C65508">
      <w:pPr>
        <w:pStyle w:val="ListParagraph"/>
        <w:numPr>
          <w:ilvl w:val="0"/>
          <w:numId w:val="15"/>
        </w:numPr>
        <w:spacing w:line="360" w:lineRule="auto"/>
        <w:jc w:val="both"/>
        <w:rPr>
          <w:rFonts w:ascii="Arial" w:hAnsi="Arial" w:cs="Arial"/>
          <w:color w:val="0067B1"/>
        </w:rPr>
      </w:pPr>
      <w:r>
        <w:rPr>
          <w:rFonts w:ascii="Arial" w:hAnsi="Arial" w:cs="Arial"/>
        </w:rPr>
        <w:t>On March 31, 2022, the SEC approved a set of proposed rules relating to SPACs and de-SPAC transactions.  These rules are currently subject to the public comment period and may change based on the comments received by the SEC.  The proposed rules largely focus on the following:</w:t>
      </w:r>
    </w:p>
    <w:p w14:paraId="07976F54" w14:textId="6EC19A88" w:rsidR="00E80AE6" w:rsidRPr="00E80AE6" w:rsidRDefault="00E80AE6" w:rsidP="00E80AE6">
      <w:pPr>
        <w:pStyle w:val="ListParagraph"/>
        <w:numPr>
          <w:ilvl w:val="1"/>
          <w:numId w:val="15"/>
        </w:numPr>
        <w:spacing w:line="360" w:lineRule="auto"/>
        <w:jc w:val="both"/>
        <w:rPr>
          <w:rFonts w:ascii="Arial" w:hAnsi="Arial" w:cs="Arial"/>
          <w:color w:val="0067B1"/>
        </w:rPr>
      </w:pPr>
      <w:r>
        <w:rPr>
          <w:rFonts w:ascii="Arial" w:hAnsi="Arial" w:cs="Arial"/>
        </w:rPr>
        <w:t>Enhancing disclosure and investor protection</w:t>
      </w:r>
    </w:p>
    <w:p w14:paraId="14525735" w14:textId="366F48E7" w:rsidR="00E80AE6" w:rsidRPr="00E80AE6" w:rsidRDefault="00E80AE6" w:rsidP="00E80AE6">
      <w:pPr>
        <w:pStyle w:val="ListParagraph"/>
        <w:numPr>
          <w:ilvl w:val="1"/>
          <w:numId w:val="15"/>
        </w:numPr>
        <w:spacing w:line="360" w:lineRule="auto"/>
        <w:jc w:val="both"/>
        <w:rPr>
          <w:rFonts w:ascii="Arial" w:hAnsi="Arial" w:cs="Arial"/>
          <w:color w:val="0067B1"/>
        </w:rPr>
      </w:pPr>
      <w:r>
        <w:rPr>
          <w:rFonts w:ascii="Arial" w:hAnsi="Arial" w:cs="Arial"/>
        </w:rPr>
        <w:t>Revising registration requirements for de-SPAC transactions</w:t>
      </w:r>
    </w:p>
    <w:p w14:paraId="50C41972" w14:textId="58B18A4A" w:rsidR="00E80AE6" w:rsidRPr="00E80AE6" w:rsidRDefault="00E80AE6" w:rsidP="00E80AE6">
      <w:pPr>
        <w:pStyle w:val="ListParagraph"/>
        <w:numPr>
          <w:ilvl w:val="1"/>
          <w:numId w:val="15"/>
        </w:numPr>
        <w:spacing w:line="360" w:lineRule="auto"/>
        <w:jc w:val="both"/>
        <w:rPr>
          <w:rFonts w:ascii="Arial" w:hAnsi="Arial" w:cs="Arial"/>
          <w:color w:val="0067B1"/>
        </w:rPr>
      </w:pPr>
      <w:r>
        <w:rPr>
          <w:rFonts w:ascii="Arial" w:hAnsi="Arial" w:cs="Arial"/>
        </w:rPr>
        <w:t>Projections disclosure</w:t>
      </w:r>
      <w:r w:rsidR="00C74B21">
        <w:rPr>
          <w:rFonts w:ascii="Arial" w:hAnsi="Arial" w:cs="Arial"/>
        </w:rPr>
        <w:t>s</w:t>
      </w:r>
    </w:p>
    <w:p w14:paraId="709AEED0" w14:textId="6B04E256" w:rsidR="00E80AE6" w:rsidRDefault="00E80AE6" w:rsidP="00E80AE6">
      <w:pPr>
        <w:pStyle w:val="ListParagraph"/>
        <w:numPr>
          <w:ilvl w:val="1"/>
          <w:numId w:val="15"/>
        </w:numPr>
        <w:spacing w:line="360" w:lineRule="auto"/>
        <w:jc w:val="both"/>
        <w:rPr>
          <w:rFonts w:ascii="Arial" w:hAnsi="Arial" w:cs="Arial"/>
          <w:color w:val="0067B1"/>
        </w:rPr>
      </w:pPr>
      <w:r>
        <w:rPr>
          <w:rFonts w:ascii="Arial" w:hAnsi="Arial" w:cs="Arial"/>
        </w:rPr>
        <w:t>SPAC status under the Investment Company Act of 1940</w:t>
      </w:r>
    </w:p>
    <w:p w14:paraId="17261B58" w14:textId="77777777" w:rsidR="00C65508" w:rsidRDefault="00C65508" w:rsidP="00C65508">
      <w:pPr>
        <w:spacing w:line="360" w:lineRule="auto"/>
        <w:jc w:val="both"/>
        <w:rPr>
          <w:rFonts w:ascii="Arial" w:hAnsi="Arial" w:cs="Arial"/>
          <w:color w:val="0067B1"/>
        </w:rPr>
      </w:pPr>
      <w:bookmarkStart w:id="4" w:name="_Hlk64868328"/>
      <w:r>
        <w:rPr>
          <w:rFonts w:ascii="Arial" w:hAnsi="Arial" w:cs="Arial"/>
          <w:color w:val="0067B1"/>
        </w:rPr>
        <w:t>The risk of D&amp;O claims against SPACs comes in several forms including:</w:t>
      </w:r>
    </w:p>
    <w:bookmarkEnd w:id="4"/>
    <w:p w14:paraId="2BF3C687" w14:textId="77777777" w:rsidR="00C65508" w:rsidRDefault="00C65508" w:rsidP="00C65508">
      <w:pPr>
        <w:pStyle w:val="ListParagraph"/>
        <w:numPr>
          <w:ilvl w:val="0"/>
          <w:numId w:val="12"/>
        </w:numPr>
        <w:spacing w:line="360" w:lineRule="auto"/>
        <w:jc w:val="both"/>
        <w:rPr>
          <w:rFonts w:ascii="Arial" w:hAnsi="Arial" w:cs="Arial"/>
        </w:rPr>
      </w:pPr>
      <w:r>
        <w:rPr>
          <w:rFonts w:ascii="Arial" w:hAnsi="Arial" w:cs="Arial"/>
        </w:rPr>
        <w:t>Claims against the SPAC directors alleging breaches of fiduciary duties in failing to consummate a business combination or in taking fees in connection with a dissolution of the SPAC.</w:t>
      </w:r>
    </w:p>
    <w:p w14:paraId="4213EE6D" w14:textId="77777777" w:rsidR="00C65508" w:rsidRDefault="00C65508" w:rsidP="00C65508">
      <w:pPr>
        <w:pStyle w:val="ListParagraph"/>
        <w:numPr>
          <w:ilvl w:val="0"/>
          <w:numId w:val="12"/>
        </w:numPr>
        <w:spacing w:line="360" w:lineRule="auto"/>
        <w:jc w:val="both"/>
        <w:rPr>
          <w:rFonts w:ascii="Arial" w:hAnsi="Arial" w:cs="Arial"/>
        </w:rPr>
      </w:pPr>
      <w:r>
        <w:rPr>
          <w:rFonts w:ascii="Arial" w:hAnsi="Arial" w:cs="Arial"/>
        </w:rPr>
        <w:t>Claims brought by a target company or its shareholders arising from a broken deal alleging wrongful acts in connection with the SPAC’s conduct in performing due diligence on, or otherwise interacting with, the target company.</w:t>
      </w:r>
    </w:p>
    <w:p w14:paraId="11AEAD15" w14:textId="77777777" w:rsidR="00C65508" w:rsidRDefault="00C65508" w:rsidP="00C65508">
      <w:pPr>
        <w:pStyle w:val="ListParagraph"/>
        <w:numPr>
          <w:ilvl w:val="0"/>
          <w:numId w:val="12"/>
        </w:numPr>
        <w:spacing w:line="360" w:lineRule="auto"/>
        <w:jc w:val="both"/>
        <w:rPr>
          <w:rFonts w:ascii="Arial" w:hAnsi="Arial" w:cs="Arial"/>
        </w:rPr>
      </w:pPr>
      <w:r>
        <w:rPr>
          <w:rFonts w:ascii="Arial" w:hAnsi="Arial" w:cs="Arial"/>
        </w:rPr>
        <w:t>Claims against the SPAC directors alleging breaches of fiduciary duty arising from alleged conflicts of interest, failure to conduct a fair process, failure to secure an adequate value for the SPAC or inadequate due diligence in connection with a business combination.</w:t>
      </w:r>
    </w:p>
    <w:p w14:paraId="7532BE2A" w14:textId="77777777" w:rsidR="00C65508" w:rsidRDefault="00C65508" w:rsidP="00C65508">
      <w:pPr>
        <w:pStyle w:val="ListParagraph"/>
        <w:numPr>
          <w:ilvl w:val="0"/>
          <w:numId w:val="12"/>
        </w:numPr>
        <w:spacing w:line="360" w:lineRule="auto"/>
        <w:jc w:val="both"/>
        <w:rPr>
          <w:rFonts w:ascii="Arial" w:hAnsi="Arial" w:cs="Arial"/>
        </w:rPr>
      </w:pPr>
      <w:r>
        <w:rPr>
          <w:rFonts w:ascii="Arial" w:hAnsi="Arial" w:cs="Arial"/>
        </w:rPr>
        <w:t>Claims against the SPAC and its directors and officers arising from alleged misrepresentations in the proxy statement filed in connection with a business combination.</w:t>
      </w:r>
    </w:p>
    <w:p w14:paraId="36B652A9" w14:textId="77777777" w:rsidR="00C65508" w:rsidRDefault="00C65508" w:rsidP="00C65508">
      <w:pPr>
        <w:pStyle w:val="ListParagraph"/>
        <w:numPr>
          <w:ilvl w:val="0"/>
          <w:numId w:val="12"/>
        </w:numPr>
        <w:spacing w:line="360" w:lineRule="auto"/>
        <w:jc w:val="both"/>
        <w:rPr>
          <w:rFonts w:ascii="Arial" w:hAnsi="Arial" w:cs="Arial"/>
        </w:rPr>
      </w:pPr>
      <w:r>
        <w:rPr>
          <w:rFonts w:ascii="Arial" w:hAnsi="Arial" w:cs="Arial"/>
        </w:rPr>
        <w:t>Depending on the allegations, these claims may be brought during the liquidation window, at the time of the announcement of the business combination based on the concerns about the structure of the transaction or the conduct of the combination process or post transaction based on post transaction statements, operations or activities of the combined company.</w:t>
      </w:r>
    </w:p>
    <w:p w14:paraId="0B8DEB8C" w14:textId="77777777" w:rsidR="00C65508" w:rsidRDefault="00C65508" w:rsidP="00C65508">
      <w:pPr>
        <w:pStyle w:val="ListParagraph"/>
        <w:numPr>
          <w:ilvl w:val="0"/>
          <w:numId w:val="12"/>
        </w:numPr>
        <w:spacing w:line="360" w:lineRule="auto"/>
        <w:jc w:val="both"/>
        <w:rPr>
          <w:rFonts w:ascii="Arial" w:hAnsi="Arial" w:cs="Arial"/>
        </w:rPr>
      </w:pPr>
      <w:r>
        <w:rPr>
          <w:rFonts w:ascii="Arial" w:hAnsi="Arial" w:cs="Arial"/>
        </w:rPr>
        <w:t>Regulatory investigations and proceedings by the SEC (and possibly other regulators) based on any of the above issues.</w:t>
      </w:r>
    </w:p>
    <w:p w14:paraId="5E921EA4" w14:textId="77777777" w:rsidR="00C65508" w:rsidRDefault="00C65508" w:rsidP="00C65508">
      <w:pPr>
        <w:pStyle w:val="ListParagraph"/>
        <w:numPr>
          <w:ilvl w:val="0"/>
          <w:numId w:val="12"/>
        </w:numPr>
        <w:spacing w:line="360" w:lineRule="auto"/>
        <w:jc w:val="both"/>
        <w:rPr>
          <w:rStyle w:val="Hyperlink"/>
        </w:rPr>
      </w:pPr>
      <w:r>
        <w:rPr>
          <w:rFonts w:ascii="Arial" w:hAnsi="Arial" w:cs="Arial"/>
        </w:rPr>
        <w:t xml:space="preserve">In late December 2020, the SEC released its initial guidance for SPAC’s.  This information can be found here:  </w:t>
      </w:r>
      <w:hyperlink r:id="rId38" w:history="1">
        <w:r>
          <w:rPr>
            <w:rStyle w:val="Hyperlink"/>
          </w:rPr>
          <w:t>https://www.sec.gov/corpfin/disclosure-special-purpose-acquisition-companies</w:t>
        </w:r>
      </w:hyperlink>
    </w:p>
    <w:p w14:paraId="26AE700B" w14:textId="77777777" w:rsidR="00C65508" w:rsidRPr="00AD331C" w:rsidRDefault="00C65508" w:rsidP="00C65508">
      <w:pPr>
        <w:pStyle w:val="ListParagraph"/>
        <w:numPr>
          <w:ilvl w:val="0"/>
          <w:numId w:val="12"/>
        </w:numPr>
        <w:spacing w:line="360" w:lineRule="auto"/>
        <w:jc w:val="both"/>
        <w:rPr>
          <w:u w:val="single"/>
        </w:rPr>
      </w:pPr>
      <w:r>
        <w:rPr>
          <w:rFonts w:ascii="Arial" w:hAnsi="Arial" w:cs="Arial"/>
        </w:rPr>
        <w:lastRenderedPageBreak/>
        <w:t>In 2021</w:t>
      </w:r>
      <w:r w:rsidRPr="00AD331C">
        <w:rPr>
          <w:rFonts w:ascii="Arial" w:hAnsi="Arial" w:cs="Arial"/>
        </w:rPr>
        <w:t xml:space="preserve">, there </w:t>
      </w:r>
      <w:r>
        <w:rPr>
          <w:rFonts w:ascii="Arial" w:hAnsi="Arial" w:cs="Arial"/>
        </w:rPr>
        <w:t>were</w:t>
      </w:r>
      <w:r w:rsidRPr="00AD331C">
        <w:rPr>
          <w:rFonts w:ascii="Arial" w:hAnsi="Arial" w:cs="Arial"/>
        </w:rPr>
        <w:t xml:space="preserve"> </w:t>
      </w:r>
      <w:r>
        <w:rPr>
          <w:rFonts w:ascii="Arial" w:hAnsi="Arial" w:cs="Arial"/>
        </w:rPr>
        <w:t>31</w:t>
      </w:r>
      <w:r w:rsidRPr="00AD331C">
        <w:rPr>
          <w:rFonts w:ascii="Arial" w:hAnsi="Arial" w:cs="Arial"/>
        </w:rPr>
        <w:t xml:space="preserve"> SPAC-related securities class action lawsuits (versus 6 for the entire year filed in each of 2020 and 2019)</w:t>
      </w:r>
    </w:p>
    <w:p w14:paraId="0D0D1025" w14:textId="77777777" w:rsidR="00C65508" w:rsidRPr="00AD331C" w:rsidRDefault="00C65508" w:rsidP="00C65508">
      <w:pPr>
        <w:pStyle w:val="ListParagraph"/>
        <w:numPr>
          <w:ilvl w:val="0"/>
          <w:numId w:val="12"/>
        </w:numPr>
        <w:spacing w:line="360" w:lineRule="auto"/>
        <w:jc w:val="both"/>
        <w:rPr>
          <w:u w:val="single"/>
        </w:rPr>
      </w:pPr>
      <w:r w:rsidRPr="00AD331C">
        <w:rPr>
          <w:rFonts w:ascii="Arial" w:hAnsi="Arial" w:cs="Arial"/>
        </w:rPr>
        <w:t>Also</w:t>
      </w:r>
      <w:r>
        <w:rPr>
          <w:rFonts w:ascii="Arial" w:hAnsi="Arial" w:cs="Arial"/>
        </w:rPr>
        <w:t>,</w:t>
      </w:r>
      <w:r w:rsidRPr="00AD331C">
        <w:rPr>
          <w:rFonts w:ascii="Arial" w:hAnsi="Arial" w:cs="Arial"/>
        </w:rPr>
        <w:t xml:space="preserve"> there </w:t>
      </w:r>
      <w:r>
        <w:rPr>
          <w:rFonts w:ascii="Arial" w:hAnsi="Arial" w:cs="Arial"/>
        </w:rPr>
        <w:t>were</w:t>
      </w:r>
      <w:r w:rsidRPr="00AD331C">
        <w:rPr>
          <w:rFonts w:ascii="Arial" w:hAnsi="Arial" w:cs="Arial"/>
        </w:rPr>
        <w:t xml:space="preserve"> </w:t>
      </w:r>
      <w:r>
        <w:rPr>
          <w:rFonts w:ascii="Arial" w:hAnsi="Arial" w:cs="Arial"/>
        </w:rPr>
        <w:t>14</w:t>
      </w:r>
      <w:r w:rsidRPr="00AD331C">
        <w:rPr>
          <w:rFonts w:ascii="Arial" w:hAnsi="Arial" w:cs="Arial"/>
        </w:rPr>
        <w:t xml:space="preserve"> SPAC-related shareholder derivative lawsuits filed </w:t>
      </w:r>
      <w:r>
        <w:rPr>
          <w:rFonts w:ascii="Arial" w:hAnsi="Arial" w:cs="Arial"/>
        </w:rPr>
        <w:t>in 2021</w:t>
      </w:r>
      <w:r w:rsidRPr="00AD331C">
        <w:rPr>
          <w:rFonts w:ascii="Arial" w:hAnsi="Arial" w:cs="Arial"/>
        </w:rPr>
        <w:t xml:space="preserve">, as well as at least three Delaware state court direct damages actions alleging breach of fiduciary duty. </w:t>
      </w:r>
    </w:p>
    <w:p w14:paraId="49310D1E" w14:textId="7DD0D1D1" w:rsidR="00C65508" w:rsidRPr="00B54F2F" w:rsidRDefault="00C65508" w:rsidP="00C65508">
      <w:pPr>
        <w:pStyle w:val="ListParagraph"/>
        <w:numPr>
          <w:ilvl w:val="0"/>
          <w:numId w:val="12"/>
        </w:numPr>
        <w:spacing w:line="360" w:lineRule="auto"/>
        <w:jc w:val="both"/>
        <w:rPr>
          <w:u w:val="single"/>
        </w:rPr>
      </w:pPr>
      <w:r>
        <w:rPr>
          <w:rFonts w:ascii="Arial" w:hAnsi="Arial" w:cs="Arial"/>
        </w:rPr>
        <w:t>More striking is that SPAC litigation was less than 2% of the total of shareholder litigation filed in 2019 and 2020.  In 2021, SPAC litigation comprised 14.7% of the total.</w:t>
      </w:r>
    </w:p>
    <w:p w14:paraId="21216F1D" w14:textId="1AB065FB" w:rsidR="00C74B21" w:rsidRPr="00C74B21" w:rsidRDefault="00B54F2F" w:rsidP="005D10F8">
      <w:pPr>
        <w:pStyle w:val="ListParagraph"/>
        <w:numPr>
          <w:ilvl w:val="0"/>
          <w:numId w:val="12"/>
        </w:numPr>
        <w:spacing w:line="360" w:lineRule="auto"/>
        <w:jc w:val="both"/>
        <w:rPr>
          <w:rFonts w:ascii="Arial" w:hAnsi="Arial" w:cs="Arial"/>
          <w:color w:val="0067B1"/>
        </w:rPr>
      </w:pPr>
      <w:r w:rsidRPr="00B54F2F">
        <w:rPr>
          <w:rFonts w:ascii="Arial" w:hAnsi="Arial" w:cs="Arial"/>
        </w:rPr>
        <w:t xml:space="preserve">Of the 31 federal shareholder class actions </w:t>
      </w:r>
      <w:r w:rsidR="00C74B21">
        <w:rPr>
          <w:rFonts w:ascii="Arial" w:hAnsi="Arial" w:cs="Arial"/>
        </w:rPr>
        <w:t>brought against SPACs in 2021</w:t>
      </w:r>
      <w:r w:rsidRPr="00B54F2F">
        <w:rPr>
          <w:rFonts w:ascii="Arial" w:hAnsi="Arial" w:cs="Arial"/>
        </w:rPr>
        <w:t>, 20 cases named former directors and officers of the SPAC entity.</w:t>
      </w:r>
    </w:p>
    <w:p w14:paraId="7C451BBB" w14:textId="45BC25E0" w:rsidR="00C74B21" w:rsidRPr="00C74B21" w:rsidRDefault="00C74B21" w:rsidP="005D10F8">
      <w:pPr>
        <w:pStyle w:val="ListParagraph"/>
        <w:numPr>
          <w:ilvl w:val="0"/>
          <w:numId w:val="12"/>
        </w:numPr>
        <w:spacing w:line="360" w:lineRule="auto"/>
        <w:jc w:val="both"/>
        <w:rPr>
          <w:rFonts w:ascii="Arial" w:hAnsi="Arial" w:cs="Arial"/>
          <w:color w:val="0067B1"/>
        </w:rPr>
      </w:pPr>
      <w:r>
        <w:rPr>
          <w:rFonts w:ascii="Arial" w:hAnsi="Arial" w:cs="Arial"/>
        </w:rPr>
        <w:t xml:space="preserve">As of </w:t>
      </w:r>
      <w:r w:rsidR="00804491">
        <w:rPr>
          <w:rFonts w:ascii="Arial" w:hAnsi="Arial" w:cs="Arial"/>
        </w:rPr>
        <w:t>June</w:t>
      </w:r>
      <w:r>
        <w:rPr>
          <w:rFonts w:ascii="Arial" w:hAnsi="Arial" w:cs="Arial"/>
        </w:rPr>
        <w:t xml:space="preserve"> 30, 2022, there have been 1</w:t>
      </w:r>
      <w:r w:rsidR="00804491">
        <w:rPr>
          <w:rFonts w:ascii="Arial" w:hAnsi="Arial" w:cs="Arial"/>
        </w:rPr>
        <w:t>7</w:t>
      </w:r>
      <w:r>
        <w:rPr>
          <w:rFonts w:ascii="Arial" w:hAnsi="Arial" w:cs="Arial"/>
        </w:rPr>
        <w:t xml:space="preserve"> federal SPAC related shareholder class action suits filed so far in 2022 which represents </w:t>
      </w:r>
      <w:r w:rsidR="00804491">
        <w:rPr>
          <w:rFonts w:ascii="Arial" w:hAnsi="Arial" w:cs="Arial"/>
        </w:rPr>
        <w:t>17</w:t>
      </w:r>
      <w:r>
        <w:rPr>
          <w:rFonts w:ascii="Arial" w:hAnsi="Arial" w:cs="Arial"/>
        </w:rPr>
        <w:t>% of all 2022 federal shareholder class action complaints.</w:t>
      </w:r>
    </w:p>
    <w:p w14:paraId="28A26441" w14:textId="664C889A" w:rsidR="003A6FBC" w:rsidRPr="00B54F2F" w:rsidRDefault="003A6FBC" w:rsidP="005D10F8">
      <w:pPr>
        <w:pStyle w:val="ListParagraph"/>
        <w:numPr>
          <w:ilvl w:val="0"/>
          <w:numId w:val="12"/>
        </w:numPr>
        <w:spacing w:line="360" w:lineRule="auto"/>
        <w:jc w:val="both"/>
        <w:rPr>
          <w:rFonts w:ascii="Arial" w:hAnsi="Arial" w:cs="Arial"/>
          <w:color w:val="0067B1"/>
        </w:rPr>
      </w:pPr>
      <w:r w:rsidRPr="00B54F2F">
        <w:rPr>
          <w:rFonts w:ascii="Arial" w:hAnsi="Arial" w:cs="Arial"/>
          <w:color w:val="0067B1"/>
        </w:rPr>
        <w:br w:type="page"/>
      </w:r>
    </w:p>
    <w:p w14:paraId="73D082A9" w14:textId="7F20CE97" w:rsidR="00013344" w:rsidRDefault="00013344" w:rsidP="00013344">
      <w:pPr>
        <w:spacing w:line="360" w:lineRule="auto"/>
        <w:jc w:val="both"/>
        <w:rPr>
          <w:rFonts w:ascii="Arial" w:hAnsi="Arial" w:cs="Arial"/>
          <w:color w:val="0067B1"/>
        </w:rPr>
      </w:pPr>
      <w:r>
        <w:rPr>
          <w:rFonts w:ascii="Arial" w:hAnsi="Arial" w:cs="Arial"/>
          <w:color w:val="0067B1"/>
        </w:rPr>
        <w:lastRenderedPageBreak/>
        <w:t xml:space="preserve">Sample SPAC Litigation </w:t>
      </w:r>
    </w:p>
    <w:p w14:paraId="02013BB7" w14:textId="5517D2A5" w:rsidR="00013344" w:rsidRDefault="00013344" w:rsidP="005F4682">
      <w:pPr>
        <w:spacing w:line="360" w:lineRule="auto"/>
        <w:jc w:val="both"/>
        <w:rPr>
          <w:rFonts w:ascii="Arial" w:hAnsi="Arial" w:cs="Arial"/>
        </w:rPr>
      </w:pPr>
      <w:r>
        <w:rPr>
          <w:rFonts w:ascii="Arial" w:hAnsi="Arial" w:cs="Arial"/>
        </w:rPr>
        <w:t>Provided</w:t>
      </w:r>
      <w:r w:rsidRPr="00E71FEF">
        <w:rPr>
          <w:rFonts w:ascii="Arial" w:hAnsi="Arial" w:cs="Arial"/>
        </w:rPr>
        <w:t xml:space="preserve"> below </w:t>
      </w:r>
      <w:r>
        <w:rPr>
          <w:rFonts w:ascii="Arial" w:hAnsi="Arial" w:cs="Arial"/>
        </w:rPr>
        <w:t xml:space="preserve">are </w:t>
      </w:r>
      <w:r w:rsidRPr="00E71FEF">
        <w:rPr>
          <w:rFonts w:ascii="Arial" w:hAnsi="Arial" w:cs="Arial"/>
        </w:rPr>
        <w:t xml:space="preserve">brief descriptions of several securities class action lawsuits that have been filed in recent months and that involve SPACs. </w:t>
      </w:r>
      <w:r>
        <w:rPr>
          <w:rFonts w:ascii="Arial" w:hAnsi="Arial" w:cs="Arial"/>
        </w:rPr>
        <w:t xml:space="preserve"> </w:t>
      </w:r>
      <w:r w:rsidRPr="00E71FEF">
        <w:rPr>
          <w:rFonts w:ascii="Arial" w:hAnsi="Arial" w:cs="Arial"/>
        </w:rPr>
        <w:t xml:space="preserve">In addition to these class action lawsuits, a number of SPACs recently have been involved in pre-deSPAC litigation in which SPAC shareholders file claims under Section 14(a) of the Securities Exchange Act of 1934, alleging that the pre-merger proxy materials contain misrepresentations or omissions. In the current litigation environment, these merger objection lawsuits typically are filed as individual actions rather than as class action lawsuits. </w:t>
      </w:r>
      <w:r>
        <w:rPr>
          <w:rFonts w:ascii="Arial" w:hAnsi="Arial" w:cs="Arial"/>
        </w:rPr>
        <w:t xml:space="preserve"> </w:t>
      </w:r>
      <w:r w:rsidRPr="00E71FEF">
        <w:rPr>
          <w:rFonts w:ascii="Arial" w:hAnsi="Arial" w:cs="Arial"/>
        </w:rPr>
        <w:t xml:space="preserve">Descriptions of several recent securities class action lawsuits follow. </w:t>
      </w:r>
      <w:r>
        <w:rPr>
          <w:rFonts w:ascii="Arial" w:hAnsi="Arial" w:cs="Arial"/>
        </w:rPr>
        <w:br w:type="page"/>
      </w:r>
    </w:p>
    <w:p w14:paraId="045C8299" w14:textId="77777777" w:rsidR="00013344" w:rsidRDefault="00013344" w:rsidP="00013344">
      <w:pPr>
        <w:rPr>
          <w:rFonts w:ascii="Arial" w:hAnsi="Arial" w:cs="Arial"/>
        </w:rPr>
      </w:pPr>
      <w:r>
        <w:rPr>
          <w:noProof/>
        </w:rPr>
        <w:lastRenderedPageBreak/>
        <w:drawing>
          <wp:inline distT="0" distB="0" distL="0" distR="0" wp14:anchorId="721E09EF" wp14:editId="056FFC8E">
            <wp:extent cx="1265530" cy="450188"/>
            <wp:effectExtent l="0" t="0" r="0" b="7620"/>
            <wp:docPr id="16" name="Picture 16"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logo&#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1395652" cy="496477"/>
                    </a:xfrm>
                    <a:prstGeom prst="rect">
                      <a:avLst/>
                    </a:prstGeom>
                  </pic:spPr>
                </pic:pic>
              </a:graphicData>
            </a:graphic>
          </wp:inline>
        </w:drawing>
      </w:r>
    </w:p>
    <w:tbl>
      <w:tblPr>
        <w:tblStyle w:val="TableGrid"/>
        <w:tblW w:w="0" w:type="auto"/>
        <w:tblLook w:val="04A0" w:firstRow="1" w:lastRow="0" w:firstColumn="1" w:lastColumn="0" w:noHBand="0" w:noVBand="1"/>
      </w:tblPr>
      <w:tblGrid>
        <w:gridCol w:w="2335"/>
        <w:gridCol w:w="7015"/>
      </w:tblGrid>
      <w:tr w:rsidR="00013344" w:rsidRPr="004C2719" w14:paraId="6EDCD949" w14:textId="77777777" w:rsidTr="00DB1EC4">
        <w:tc>
          <w:tcPr>
            <w:tcW w:w="2335" w:type="dxa"/>
          </w:tcPr>
          <w:p w14:paraId="6C0AD404"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SPAC Name</w:t>
            </w:r>
          </w:p>
        </w:tc>
        <w:tc>
          <w:tcPr>
            <w:tcW w:w="7015" w:type="dxa"/>
          </w:tcPr>
          <w:p w14:paraId="76748345"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Social Capital Hedosophia Holdings Corp.</w:t>
            </w:r>
          </w:p>
        </w:tc>
      </w:tr>
      <w:tr w:rsidR="00013344" w:rsidRPr="004C2719" w14:paraId="0C545BF0" w14:textId="77777777" w:rsidTr="00DB1EC4">
        <w:tc>
          <w:tcPr>
            <w:tcW w:w="2335" w:type="dxa"/>
          </w:tcPr>
          <w:p w14:paraId="2988C307"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Target Name</w:t>
            </w:r>
          </w:p>
        </w:tc>
        <w:tc>
          <w:tcPr>
            <w:tcW w:w="7015" w:type="dxa"/>
          </w:tcPr>
          <w:p w14:paraId="7EAEA09B"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Virgin Galactic</w:t>
            </w:r>
          </w:p>
        </w:tc>
      </w:tr>
      <w:tr w:rsidR="00013344" w:rsidRPr="004C2719" w14:paraId="53B91FCB" w14:textId="77777777" w:rsidTr="00DB1EC4">
        <w:tc>
          <w:tcPr>
            <w:tcW w:w="2335" w:type="dxa"/>
          </w:tcPr>
          <w:p w14:paraId="1B57C2F5"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SPAC IPO Date</w:t>
            </w:r>
          </w:p>
        </w:tc>
        <w:tc>
          <w:tcPr>
            <w:tcW w:w="7015" w:type="dxa"/>
          </w:tcPr>
          <w:p w14:paraId="10DEF065"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September 15, 2017</w:t>
            </w:r>
          </w:p>
        </w:tc>
      </w:tr>
      <w:tr w:rsidR="00013344" w:rsidRPr="004C2719" w14:paraId="070017CB" w14:textId="77777777" w:rsidTr="00DB1EC4">
        <w:tc>
          <w:tcPr>
            <w:tcW w:w="2335" w:type="dxa"/>
          </w:tcPr>
          <w:p w14:paraId="00058511"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de-SPAC Date</w:t>
            </w:r>
          </w:p>
        </w:tc>
        <w:tc>
          <w:tcPr>
            <w:tcW w:w="7015" w:type="dxa"/>
          </w:tcPr>
          <w:p w14:paraId="6ECE9A3D"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October 25, 2019</w:t>
            </w:r>
          </w:p>
        </w:tc>
      </w:tr>
      <w:tr w:rsidR="00013344" w:rsidRPr="004C2719" w14:paraId="332036EF" w14:textId="77777777" w:rsidTr="00DB1EC4">
        <w:tc>
          <w:tcPr>
            <w:tcW w:w="2335" w:type="dxa"/>
          </w:tcPr>
          <w:p w14:paraId="299D6AF0"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Case Filing Date</w:t>
            </w:r>
          </w:p>
        </w:tc>
        <w:tc>
          <w:tcPr>
            <w:tcW w:w="7015" w:type="dxa"/>
          </w:tcPr>
          <w:p w14:paraId="171C48C4"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May 28, 2021</w:t>
            </w:r>
          </w:p>
        </w:tc>
      </w:tr>
      <w:tr w:rsidR="00013344" w:rsidRPr="004C2719" w14:paraId="6428A6EF" w14:textId="77777777" w:rsidTr="00DB1EC4">
        <w:tc>
          <w:tcPr>
            <w:tcW w:w="2335" w:type="dxa"/>
          </w:tcPr>
          <w:p w14:paraId="75E83D59"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SPAC Defendants</w:t>
            </w:r>
          </w:p>
        </w:tc>
        <w:tc>
          <w:tcPr>
            <w:tcW w:w="7015" w:type="dxa"/>
          </w:tcPr>
          <w:p w14:paraId="698666F5"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No</w:t>
            </w:r>
          </w:p>
        </w:tc>
      </w:tr>
    </w:tbl>
    <w:p w14:paraId="0699082D" w14:textId="77777777" w:rsidR="00013344" w:rsidRPr="006D6BFE" w:rsidRDefault="00013344" w:rsidP="00013344">
      <w:pPr>
        <w:rPr>
          <w:rFonts w:ascii="Arial" w:hAnsi="Arial" w:cs="Arial"/>
        </w:rPr>
      </w:pPr>
    </w:p>
    <w:p w14:paraId="37DB68A9" w14:textId="77777777" w:rsidR="00013344" w:rsidRPr="006D6BFE" w:rsidRDefault="00013344" w:rsidP="00013344">
      <w:pPr>
        <w:spacing w:line="360" w:lineRule="auto"/>
        <w:rPr>
          <w:rFonts w:ascii="Arial" w:hAnsi="Arial" w:cs="Arial"/>
        </w:rPr>
      </w:pPr>
      <w:r w:rsidRPr="006D6BFE">
        <w:rPr>
          <w:rFonts w:ascii="Arial" w:hAnsi="Arial" w:cs="Arial"/>
        </w:rPr>
        <w:t xml:space="preserve">Virgin Galactic is an aerospace company seeking to develop consumer space travel. The securities class action complaint was filed shortly after the company restated its financials in order to change its accounting treatment of warrants on its balance sheet (pursuant to the SEC’s April 2021 guidance on warrant accounting issues). </w:t>
      </w:r>
    </w:p>
    <w:p w14:paraId="774AEBB7" w14:textId="77777777" w:rsidR="00013344" w:rsidRPr="006D6BFE" w:rsidRDefault="00013344" w:rsidP="00013344">
      <w:pPr>
        <w:spacing w:line="360" w:lineRule="auto"/>
        <w:rPr>
          <w:rFonts w:ascii="Arial" w:hAnsi="Arial" w:cs="Arial"/>
        </w:rPr>
      </w:pPr>
      <w:r w:rsidRPr="006D6BFE">
        <w:rPr>
          <w:rFonts w:ascii="Arial" w:hAnsi="Arial" w:cs="Arial"/>
        </w:rPr>
        <w:t>The complaint purports to be filed on behalf of a class of investors who purchased Virgin Galactic securities between October 26, 2019 (the day the merged company’s securities began trading on the public markets) and April 30, 2021 (the day Virgin Galactic announced its reporting delay and restatement). The complaint asserts that during the class period, the defendants made false or misleading statements or failed to disclose that: “(i) for accounting purposes, SCH’s warrants were required to be treated as liabilities rather than equities; (ii) Virgin Galactic had deficient disclosure controls and procedures and internal control over financial reporting; (iii) as a result, the Company improperly accounting for SCH warrants that were outstanding at the time of the Business Combination; and (iv) as a result, the Company’s public statements were materially false and misleading at all relevant times.”</w:t>
      </w:r>
    </w:p>
    <w:p w14:paraId="1041C0E5" w14:textId="77777777" w:rsidR="00013344" w:rsidRPr="006D6BFE" w:rsidRDefault="00013344" w:rsidP="00013344">
      <w:pPr>
        <w:spacing w:line="360" w:lineRule="auto"/>
        <w:rPr>
          <w:rFonts w:ascii="Arial" w:hAnsi="Arial" w:cs="Arial"/>
        </w:rPr>
      </w:pPr>
      <w:r w:rsidRPr="006D6BFE">
        <w:rPr>
          <w:rFonts w:ascii="Arial" w:hAnsi="Arial" w:cs="Arial"/>
        </w:rPr>
        <w:t>The complaint alleges that the defendants’ statements or omissions violated Sections 10(b) and 20(a) of the Securities Exchange Act of 1934 and Rule 10b-5 thereunder. The complaint seeks to recover damages on behalf of the plaintiff class.</w:t>
      </w:r>
    </w:p>
    <w:p w14:paraId="4591DCF2" w14:textId="77777777" w:rsidR="00013344" w:rsidRPr="006D6BFE" w:rsidRDefault="00013344" w:rsidP="00013344">
      <w:pPr>
        <w:spacing w:line="360" w:lineRule="auto"/>
        <w:rPr>
          <w:rFonts w:ascii="Arial" w:hAnsi="Arial" w:cs="Arial"/>
        </w:rPr>
      </w:pPr>
      <w:r w:rsidRPr="006D6BFE">
        <w:rPr>
          <w:rFonts w:ascii="Arial" w:hAnsi="Arial" w:cs="Arial"/>
        </w:rPr>
        <w:t xml:space="preserve">For further information, please click here: </w:t>
      </w:r>
    </w:p>
    <w:p w14:paraId="07D5FBE5" w14:textId="77777777" w:rsidR="00013344" w:rsidRPr="006D6BFE" w:rsidRDefault="004C362E" w:rsidP="00013344">
      <w:pPr>
        <w:spacing w:line="360" w:lineRule="auto"/>
        <w:rPr>
          <w:rFonts w:ascii="Arial" w:hAnsi="Arial" w:cs="Arial"/>
        </w:rPr>
      </w:pPr>
      <w:hyperlink r:id="rId40" w:history="1">
        <w:r w:rsidR="00013344" w:rsidRPr="006D6BFE">
          <w:rPr>
            <w:rStyle w:val="Hyperlink"/>
            <w:rFonts w:ascii="Arial" w:hAnsi="Arial" w:cs="Arial"/>
          </w:rPr>
          <w:t>https://www.dandodiary.com/2021/05/articles/securities-litigation/virgin-galactic-hit-with-securities-suit-over-spac-warrant-accounting-issue/</w:t>
        </w:r>
      </w:hyperlink>
      <w:r w:rsidR="00013344" w:rsidRPr="006D6BFE">
        <w:rPr>
          <w:rFonts w:ascii="Arial" w:hAnsi="Arial" w:cs="Arial"/>
        </w:rPr>
        <w:t xml:space="preserve"> </w:t>
      </w:r>
    </w:p>
    <w:p w14:paraId="372D3AB6" w14:textId="77777777" w:rsidR="00013344" w:rsidRPr="006D6BFE" w:rsidRDefault="00013344" w:rsidP="00013344">
      <w:pPr>
        <w:rPr>
          <w:rFonts w:ascii="Arial" w:hAnsi="Arial" w:cs="Arial"/>
        </w:rPr>
      </w:pPr>
      <w:r w:rsidRPr="006D6BFE">
        <w:rPr>
          <w:rFonts w:ascii="Arial" w:hAnsi="Arial" w:cs="Arial"/>
        </w:rPr>
        <w:br w:type="page"/>
      </w:r>
    </w:p>
    <w:p w14:paraId="5D322CA3" w14:textId="77777777" w:rsidR="00013344" w:rsidRPr="006D6BFE" w:rsidRDefault="00013344" w:rsidP="00013344">
      <w:pPr>
        <w:rPr>
          <w:rFonts w:ascii="Arial" w:hAnsi="Arial" w:cs="Arial"/>
        </w:rPr>
      </w:pPr>
      <w:r w:rsidRPr="006D6BFE">
        <w:rPr>
          <w:rFonts w:ascii="Arial" w:hAnsi="Arial" w:cs="Arial"/>
          <w:noProof/>
        </w:rPr>
        <w:lastRenderedPageBreak/>
        <w:drawing>
          <wp:inline distT="0" distB="0" distL="0" distR="0" wp14:anchorId="34388843" wp14:editId="77D04069">
            <wp:extent cx="1371600" cy="95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371600" cy="95250"/>
                    </a:xfrm>
                    <a:prstGeom prst="rect">
                      <a:avLst/>
                    </a:prstGeom>
                  </pic:spPr>
                </pic:pic>
              </a:graphicData>
            </a:graphic>
          </wp:inline>
        </w:drawing>
      </w:r>
    </w:p>
    <w:tbl>
      <w:tblPr>
        <w:tblStyle w:val="TableGrid"/>
        <w:tblW w:w="0" w:type="auto"/>
        <w:tblLook w:val="04A0" w:firstRow="1" w:lastRow="0" w:firstColumn="1" w:lastColumn="0" w:noHBand="0" w:noVBand="1"/>
      </w:tblPr>
      <w:tblGrid>
        <w:gridCol w:w="2245"/>
        <w:gridCol w:w="7105"/>
      </w:tblGrid>
      <w:tr w:rsidR="00013344" w:rsidRPr="004C2719" w14:paraId="1DF45EFE" w14:textId="77777777" w:rsidTr="00DB1EC4">
        <w:tc>
          <w:tcPr>
            <w:tcW w:w="2245" w:type="dxa"/>
          </w:tcPr>
          <w:p w14:paraId="68E73EDB"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SPAC Name</w:t>
            </w:r>
          </w:p>
        </w:tc>
        <w:tc>
          <w:tcPr>
            <w:tcW w:w="7105" w:type="dxa"/>
          </w:tcPr>
          <w:p w14:paraId="0A634901"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Churchill Capital Acquisition Corp. IV</w:t>
            </w:r>
          </w:p>
        </w:tc>
      </w:tr>
      <w:tr w:rsidR="00013344" w:rsidRPr="004C2719" w14:paraId="1BD8AE35" w14:textId="77777777" w:rsidTr="00DB1EC4">
        <w:tc>
          <w:tcPr>
            <w:tcW w:w="2245" w:type="dxa"/>
          </w:tcPr>
          <w:p w14:paraId="42ECEF85"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Target Name</w:t>
            </w:r>
          </w:p>
        </w:tc>
        <w:tc>
          <w:tcPr>
            <w:tcW w:w="7105" w:type="dxa"/>
          </w:tcPr>
          <w:p w14:paraId="16AD9277"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Lucid Motors</w:t>
            </w:r>
          </w:p>
        </w:tc>
      </w:tr>
      <w:tr w:rsidR="00013344" w:rsidRPr="004C2719" w14:paraId="359B7B8D" w14:textId="77777777" w:rsidTr="00DB1EC4">
        <w:tc>
          <w:tcPr>
            <w:tcW w:w="2245" w:type="dxa"/>
          </w:tcPr>
          <w:p w14:paraId="629FEBF6"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SPAC IPO Date</w:t>
            </w:r>
          </w:p>
        </w:tc>
        <w:tc>
          <w:tcPr>
            <w:tcW w:w="7105" w:type="dxa"/>
          </w:tcPr>
          <w:p w14:paraId="2C2C2BDD"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July 30, 2020</w:t>
            </w:r>
          </w:p>
        </w:tc>
      </w:tr>
      <w:tr w:rsidR="00013344" w:rsidRPr="004C2719" w14:paraId="41F4E49B" w14:textId="77777777" w:rsidTr="00DB1EC4">
        <w:tc>
          <w:tcPr>
            <w:tcW w:w="2245" w:type="dxa"/>
          </w:tcPr>
          <w:p w14:paraId="28DFA7E4"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de-SPAC Date</w:t>
            </w:r>
          </w:p>
        </w:tc>
        <w:tc>
          <w:tcPr>
            <w:tcW w:w="7105" w:type="dxa"/>
          </w:tcPr>
          <w:p w14:paraId="27389D3D"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N/A</w:t>
            </w:r>
          </w:p>
        </w:tc>
      </w:tr>
      <w:tr w:rsidR="00013344" w:rsidRPr="004C2719" w14:paraId="689A91AE" w14:textId="77777777" w:rsidTr="00DB1EC4">
        <w:tc>
          <w:tcPr>
            <w:tcW w:w="2245" w:type="dxa"/>
          </w:tcPr>
          <w:p w14:paraId="6AF2F808"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Case Filing Date</w:t>
            </w:r>
          </w:p>
        </w:tc>
        <w:tc>
          <w:tcPr>
            <w:tcW w:w="7105" w:type="dxa"/>
          </w:tcPr>
          <w:p w14:paraId="06223010"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April 18, 2021</w:t>
            </w:r>
          </w:p>
        </w:tc>
      </w:tr>
      <w:tr w:rsidR="00013344" w:rsidRPr="004C2719" w14:paraId="2DD4D0C2" w14:textId="77777777" w:rsidTr="00DB1EC4">
        <w:tc>
          <w:tcPr>
            <w:tcW w:w="2245" w:type="dxa"/>
          </w:tcPr>
          <w:p w14:paraId="0CD39F13"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SPAC Defendants</w:t>
            </w:r>
          </w:p>
        </w:tc>
        <w:tc>
          <w:tcPr>
            <w:tcW w:w="7105" w:type="dxa"/>
          </w:tcPr>
          <w:p w14:paraId="2D8A4DBB" w14:textId="77777777" w:rsidR="00013344" w:rsidRPr="004C2719" w:rsidRDefault="00013344" w:rsidP="00DB1EC4">
            <w:pPr>
              <w:spacing w:line="360" w:lineRule="auto"/>
              <w:rPr>
                <w:rFonts w:ascii="Arial" w:hAnsi="Arial" w:cs="Arial"/>
                <w:b/>
                <w:bCs/>
                <w:sz w:val="20"/>
                <w:szCs w:val="20"/>
              </w:rPr>
            </w:pPr>
            <w:r w:rsidRPr="004C2719">
              <w:rPr>
                <w:rFonts w:ascii="Arial" w:hAnsi="Arial" w:cs="Arial"/>
                <w:b/>
                <w:bCs/>
                <w:sz w:val="20"/>
                <w:szCs w:val="20"/>
              </w:rPr>
              <w:t>Yes</w:t>
            </w:r>
          </w:p>
        </w:tc>
      </w:tr>
    </w:tbl>
    <w:p w14:paraId="58596370" w14:textId="77777777" w:rsidR="00013344" w:rsidRPr="006D6BFE" w:rsidRDefault="00013344" w:rsidP="00013344">
      <w:pPr>
        <w:rPr>
          <w:rFonts w:ascii="Arial" w:hAnsi="Arial" w:cs="Arial"/>
        </w:rPr>
      </w:pPr>
    </w:p>
    <w:p w14:paraId="7848AC08" w14:textId="77777777" w:rsidR="00013344" w:rsidRPr="006D6BFE" w:rsidRDefault="00013344" w:rsidP="00013344">
      <w:pPr>
        <w:spacing w:line="360" w:lineRule="auto"/>
        <w:rPr>
          <w:rFonts w:ascii="Arial" w:hAnsi="Arial" w:cs="Arial"/>
        </w:rPr>
      </w:pPr>
      <w:r w:rsidRPr="006D6BFE">
        <w:rPr>
          <w:rFonts w:ascii="Arial" w:hAnsi="Arial" w:cs="Arial"/>
        </w:rPr>
        <w:t xml:space="preserve">Lucid Motors is an electric automobile development and manufacturing company. On February 22, 2021, Lucid and Churchill Capital Acquisition Corp. IV announced their plan to merge, with Lucid to be the surviving public company. In the days before the merger was announced, the founder and CEO of Lucid had made several public statements about the companies planned vehicle production schedule and plans and rumors of Churchill IV’s possible acquisition of Lucid circulated in the financial press. The share price of Churchill IV soared. After the merger was announced, Lucid’s CEO made public statements with more modest projections of the planned production schedule, causing the share price of Churchill IV to slump. </w:t>
      </w:r>
    </w:p>
    <w:p w14:paraId="16FCA1C6" w14:textId="77777777" w:rsidR="00013344" w:rsidRPr="006D6BFE" w:rsidRDefault="00013344" w:rsidP="00013344">
      <w:pPr>
        <w:spacing w:line="360" w:lineRule="auto"/>
        <w:rPr>
          <w:rFonts w:ascii="Arial" w:hAnsi="Arial" w:cs="Arial"/>
        </w:rPr>
      </w:pPr>
      <w:r w:rsidRPr="006D6BFE">
        <w:rPr>
          <w:rFonts w:ascii="Arial" w:hAnsi="Arial" w:cs="Arial"/>
        </w:rPr>
        <w:t xml:space="preserve">On April 18, 2021 (that is, before the planned merger had been completed), Churchill IV investors filed a securities class action lawsuit against both the SPAC and Lucid, as well as against certain individual directors and officers of both companies. </w:t>
      </w:r>
    </w:p>
    <w:p w14:paraId="74D6EDF0" w14:textId="77777777" w:rsidR="00013344" w:rsidRPr="006D6BFE" w:rsidRDefault="00013344" w:rsidP="00013344">
      <w:pPr>
        <w:spacing w:line="360" w:lineRule="auto"/>
        <w:rPr>
          <w:rFonts w:ascii="Arial" w:hAnsi="Arial" w:cs="Arial"/>
        </w:rPr>
      </w:pPr>
      <w:r w:rsidRPr="006D6BFE">
        <w:rPr>
          <w:rFonts w:ascii="Arial" w:hAnsi="Arial" w:cs="Arial"/>
        </w:rPr>
        <w:t>The complaint purports to be filed on behalf of a class of investors who purchased Churchill IV securities between January 11, 2021 (the date of the Lucid CEO’s initial optimistic statements about Lucid’s planned production) and February 22, 2021 (the date the merger was announced). The complaint alleges that the defendants violated Sections 10(b) and 20(a) of the Securities Exchange Act of 1934 and Rule 10b-5 thereunder. The complaint seeks to recover damages on behalf of the plaintiff class.</w:t>
      </w:r>
    </w:p>
    <w:p w14:paraId="7472F530" w14:textId="77777777" w:rsidR="00013344" w:rsidRPr="006D6BFE" w:rsidRDefault="00013344" w:rsidP="00013344">
      <w:pPr>
        <w:spacing w:line="360" w:lineRule="auto"/>
        <w:rPr>
          <w:rFonts w:ascii="Arial" w:hAnsi="Arial" w:cs="Arial"/>
        </w:rPr>
      </w:pPr>
      <w:r w:rsidRPr="006D6BFE">
        <w:rPr>
          <w:rFonts w:ascii="Arial" w:hAnsi="Arial" w:cs="Arial"/>
        </w:rPr>
        <w:t xml:space="preserve">For further information, please click here: </w:t>
      </w:r>
    </w:p>
    <w:p w14:paraId="79352CF1" w14:textId="77777777" w:rsidR="00013344" w:rsidRPr="006D6BFE" w:rsidRDefault="004C362E" w:rsidP="00013344">
      <w:pPr>
        <w:spacing w:line="360" w:lineRule="auto"/>
        <w:rPr>
          <w:rFonts w:ascii="Arial" w:hAnsi="Arial" w:cs="Arial"/>
        </w:rPr>
      </w:pPr>
      <w:hyperlink r:id="rId42" w:history="1">
        <w:r w:rsidR="00013344" w:rsidRPr="006D6BFE">
          <w:rPr>
            <w:rStyle w:val="Hyperlink"/>
            <w:rFonts w:ascii="Arial" w:hAnsi="Arial" w:cs="Arial"/>
          </w:rPr>
          <w:t>https://www.dandodiary.com/2021/04/articles/securities-litigation/spac-and-target-company-hit-with-pre-merger-10b-5-class-action-suit/</w:t>
        </w:r>
      </w:hyperlink>
      <w:r w:rsidR="00013344" w:rsidRPr="006D6BFE">
        <w:rPr>
          <w:rFonts w:ascii="Arial" w:hAnsi="Arial" w:cs="Arial"/>
        </w:rPr>
        <w:t xml:space="preserve"> </w:t>
      </w:r>
    </w:p>
    <w:p w14:paraId="080A1928" w14:textId="77777777" w:rsidR="00013344" w:rsidRPr="006D6BFE" w:rsidRDefault="00013344" w:rsidP="00013344">
      <w:pPr>
        <w:rPr>
          <w:rFonts w:ascii="Arial" w:hAnsi="Arial" w:cs="Arial"/>
        </w:rPr>
      </w:pPr>
      <w:r w:rsidRPr="006D6BFE">
        <w:rPr>
          <w:rFonts w:ascii="Arial" w:hAnsi="Arial" w:cs="Arial"/>
        </w:rPr>
        <w:br w:type="page"/>
      </w:r>
    </w:p>
    <w:p w14:paraId="6DC1E002" w14:textId="77777777" w:rsidR="00FE7218" w:rsidRDefault="00FE7218" w:rsidP="00FE7218">
      <w:r>
        <w:rPr>
          <w:noProof/>
        </w:rPr>
        <w:lastRenderedPageBreak/>
        <w:drawing>
          <wp:inline distT="0" distB="0" distL="0" distR="0" wp14:anchorId="78146EEF" wp14:editId="42F0CC46">
            <wp:extent cx="1343025" cy="893722"/>
            <wp:effectExtent l="0" t="0" r="0" b="1905"/>
            <wp:docPr id="17" name="Picture 1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1367064" cy="909719"/>
                    </a:xfrm>
                    <a:prstGeom prst="rect">
                      <a:avLst/>
                    </a:prstGeom>
                  </pic:spPr>
                </pic:pic>
              </a:graphicData>
            </a:graphic>
          </wp:inline>
        </w:drawing>
      </w:r>
    </w:p>
    <w:tbl>
      <w:tblPr>
        <w:tblStyle w:val="TableGrid"/>
        <w:tblW w:w="0" w:type="auto"/>
        <w:tblLook w:val="04A0" w:firstRow="1" w:lastRow="0" w:firstColumn="1" w:lastColumn="0" w:noHBand="0" w:noVBand="1"/>
      </w:tblPr>
      <w:tblGrid>
        <w:gridCol w:w="2335"/>
        <w:gridCol w:w="7015"/>
      </w:tblGrid>
      <w:tr w:rsidR="00FE7218" w:rsidRPr="004C2719" w14:paraId="46C0D8B4" w14:textId="77777777" w:rsidTr="009E40A0">
        <w:tc>
          <w:tcPr>
            <w:tcW w:w="2335" w:type="dxa"/>
          </w:tcPr>
          <w:p w14:paraId="41BB90AE" w14:textId="77777777" w:rsidR="00FE7218" w:rsidRPr="0052743B" w:rsidRDefault="00FE7218" w:rsidP="009E40A0">
            <w:pPr>
              <w:spacing w:line="360" w:lineRule="auto"/>
              <w:rPr>
                <w:rFonts w:ascii="Arial" w:hAnsi="Arial" w:cs="Arial"/>
                <w:b/>
                <w:bCs/>
                <w:sz w:val="20"/>
                <w:szCs w:val="20"/>
              </w:rPr>
            </w:pPr>
            <w:r w:rsidRPr="0052743B">
              <w:rPr>
                <w:rFonts w:ascii="Arial" w:hAnsi="Arial" w:cs="Arial"/>
                <w:b/>
                <w:bCs/>
                <w:sz w:val="20"/>
                <w:szCs w:val="20"/>
              </w:rPr>
              <w:t>SPAC Name</w:t>
            </w:r>
          </w:p>
        </w:tc>
        <w:tc>
          <w:tcPr>
            <w:tcW w:w="7015" w:type="dxa"/>
          </w:tcPr>
          <w:p w14:paraId="53AA490A" w14:textId="77777777" w:rsidR="00FE7218" w:rsidRPr="0052743B" w:rsidRDefault="00FE7218" w:rsidP="009E40A0">
            <w:pPr>
              <w:spacing w:line="360" w:lineRule="auto"/>
              <w:rPr>
                <w:rFonts w:ascii="Arial" w:hAnsi="Arial" w:cs="Arial"/>
                <w:b/>
                <w:bCs/>
                <w:sz w:val="20"/>
                <w:szCs w:val="20"/>
              </w:rPr>
            </w:pPr>
            <w:r w:rsidRPr="0052743B">
              <w:rPr>
                <w:rFonts w:ascii="Arial" w:hAnsi="Arial" w:cs="Arial"/>
                <w:b/>
                <w:bCs/>
                <w:sz w:val="20"/>
                <w:szCs w:val="20"/>
              </w:rPr>
              <w:t>Centricus Acquisition Corp.</w:t>
            </w:r>
          </w:p>
        </w:tc>
      </w:tr>
      <w:tr w:rsidR="00FE7218" w:rsidRPr="004C2719" w14:paraId="7186FC59" w14:textId="77777777" w:rsidTr="009E40A0">
        <w:tc>
          <w:tcPr>
            <w:tcW w:w="2335" w:type="dxa"/>
          </w:tcPr>
          <w:p w14:paraId="6F464396" w14:textId="77777777" w:rsidR="00FE7218" w:rsidRPr="0052743B" w:rsidRDefault="00FE7218" w:rsidP="009E40A0">
            <w:pPr>
              <w:spacing w:line="360" w:lineRule="auto"/>
              <w:rPr>
                <w:rFonts w:ascii="Arial" w:hAnsi="Arial" w:cs="Arial"/>
                <w:b/>
                <w:bCs/>
                <w:sz w:val="20"/>
                <w:szCs w:val="20"/>
              </w:rPr>
            </w:pPr>
            <w:r w:rsidRPr="0052743B">
              <w:rPr>
                <w:rFonts w:ascii="Arial" w:hAnsi="Arial" w:cs="Arial"/>
                <w:b/>
                <w:bCs/>
                <w:sz w:val="20"/>
                <w:szCs w:val="20"/>
              </w:rPr>
              <w:t>Target Name</w:t>
            </w:r>
          </w:p>
        </w:tc>
        <w:tc>
          <w:tcPr>
            <w:tcW w:w="7015" w:type="dxa"/>
          </w:tcPr>
          <w:p w14:paraId="759BB54B" w14:textId="77777777" w:rsidR="00FE7218" w:rsidRPr="0052743B" w:rsidRDefault="00FE7218" w:rsidP="009E40A0">
            <w:pPr>
              <w:spacing w:line="360" w:lineRule="auto"/>
              <w:rPr>
                <w:rFonts w:ascii="Arial" w:hAnsi="Arial" w:cs="Arial"/>
                <w:b/>
                <w:bCs/>
                <w:sz w:val="20"/>
                <w:szCs w:val="20"/>
              </w:rPr>
            </w:pPr>
            <w:r w:rsidRPr="0052743B">
              <w:rPr>
                <w:rFonts w:ascii="Arial" w:hAnsi="Arial" w:cs="Arial"/>
                <w:b/>
                <w:bCs/>
                <w:sz w:val="20"/>
                <w:szCs w:val="20"/>
              </w:rPr>
              <w:t>Arquit Limited</w:t>
            </w:r>
          </w:p>
        </w:tc>
      </w:tr>
      <w:tr w:rsidR="00FE7218" w:rsidRPr="004C2719" w14:paraId="33538FEE" w14:textId="77777777" w:rsidTr="009E40A0">
        <w:tc>
          <w:tcPr>
            <w:tcW w:w="2335" w:type="dxa"/>
          </w:tcPr>
          <w:p w14:paraId="628BD725" w14:textId="77777777" w:rsidR="00FE7218" w:rsidRPr="0052743B" w:rsidRDefault="00FE7218" w:rsidP="009E40A0">
            <w:pPr>
              <w:spacing w:line="360" w:lineRule="auto"/>
              <w:rPr>
                <w:rFonts w:ascii="Arial" w:hAnsi="Arial" w:cs="Arial"/>
                <w:b/>
                <w:bCs/>
                <w:sz w:val="20"/>
                <w:szCs w:val="20"/>
              </w:rPr>
            </w:pPr>
            <w:r w:rsidRPr="0052743B">
              <w:rPr>
                <w:rFonts w:ascii="Arial" w:hAnsi="Arial" w:cs="Arial"/>
                <w:b/>
                <w:bCs/>
                <w:sz w:val="20"/>
                <w:szCs w:val="20"/>
              </w:rPr>
              <w:t>SPAC IPO Date</w:t>
            </w:r>
          </w:p>
        </w:tc>
        <w:tc>
          <w:tcPr>
            <w:tcW w:w="7015" w:type="dxa"/>
          </w:tcPr>
          <w:p w14:paraId="29C9872D" w14:textId="77777777" w:rsidR="00FE7218" w:rsidRPr="0052743B" w:rsidRDefault="00FE7218" w:rsidP="009E40A0">
            <w:pPr>
              <w:spacing w:line="360" w:lineRule="auto"/>
              <w:rPr>
                <w:rFonts w:ascii="Arial" w:hAnsi="Arial" w:cs="Arial"/>
                <w:b/>
                <w:bCs/>
                <w:sz w:val="20"/>
                <w:szCs w:val="20"/>
              </w:rPr>
            </w:pPr>
            <w:r w:rsidRPr="0052743B">
              <w:rPr>
                <w:rFonts w:ascii="Arial" w:hAnsi="Arial" w:cs="Arial"/>
                <w:b/>
                <w:bCs/>
                <w:sz w:val="20"/>
                <w:szCs w:val="20"/>
              </w:rPr>
              <w:t>February 28, 2021</w:t>
            </w:r>
          </w:p>
        </w:tc>
      </w:tr>
      <w:tr w:rsidR="00FE7218" w:rsidRPr="004C2719" w14:paraId="1F40676E" w14:textId="77777777" w:rsidTr="009E40A0">
        <w:tc>
          <w:tcPr>
            <w:tcW w:w="2335" w:type="dxa"/>
          </w:tcPr>
          <w:p w14:paraId="27C57B59" w14:textId="77777777" w:rsidR="00FE7218" w:rsidRPr="0052743B" w:rsidRDefault="00FE7218" w:rsidP="009E40A0">
            <w:pPr>
              <w:spacing w:line="360" w:lineRule="auto"/>
              <w:rPr>
                <w:rFonts w:ascii="Arial" w:hAnsi="Arial" w:cs="Arial"/>
                <w:b/>
                <w:bCs/>
                <w:sz w:val="20"/>
                <w:szCs w:val="20"/>
              </w:rPr>
            </w:pPr>
            <w:r w:rsidRPr="0052743B">
              <w:rPr>
                <w:rFonts w:ascii="Arial" w:hAnsi="Arial" w:cs="Arial"/>
                <w:b/>
                <w:bCs/>
                <w:sz w:val="20"/>
                <w:szCs w:val="20"/>
              </w:rPr>
              <w:t>de-SPAC Date</w:t>
            </w:r>
          </w:p>
        </w:tc>
        <w:tc>
          <w:tcPr>
            <w:tcW w:w="7015" w:type="dxa"/>
          </w:tcPr>
          <w:p w14:paraId="5E19CFA9" w14:textId="77777777" w:rsidR="00FE7218" w:rsidRPr="0052743B" w:rsidRDefault="00FE7218" w:rsidP="009E40A0">
            <w:pPr>
              <w:spacing w:line="360" w:lineRule="auto"/>
              <w:rPr>
                <w:rFonts w:ascii="Arial" w:hAnsi="Arial" w:cs="Arial"/>
                <w:b/>
                <w:bCs/>
                <w:sz w:val="20"/>
                <w:szCs w:val="20"/>
              </w:rPr>
            </w:pPr>
            <w:r w:rsidRPr="0052743B">
              <w:rPr>
                <w:rFonts w:ascii="Arial" w:hAnsi="Arial" w:cs="Arial"/>
                <w:b/>
                <w:bCs/>
                <w:sz w:val="20"/>
                <w:szCs w:val="20"/>
              </w:rPr>
              <w:t>September 3, 2021</w:t>
            </w:r>
          </w:p>
        </w:tc>
      </w:tr>
      <w:tr w:rsidR="00FE7218" w:rsidRPr="004C2719" w14:paraId="1BB0103D" w14:textId="77777777" w:rsidTr="009E40A0">
        <w:tc>
          <w:tcPr>
            <w:tcW w:w="2335" w:type="dxa"/>
          </w:tcPr>
          <w:p w14:paraId="04CCA30F" w14:textId="77777777" w:rsidR="00FE7218" w:rsidRPr="0052743B" w:rsidRDefault="00FE7218" w:rsidP="009E40A0">
            <w:pPr>
              <w:spacing w:line="360" w:lineRule="auto"/>
              <w:rPr>
                <w:rFonts w:ascii="Arial" w:hAnsi="Arial" w:cs="Arial"/>
                <w:b/>
                <w:bCs/>
                <w:sz w:val="20"/>
                <w:szCs w:val="20"/>
              </w:rPr>
            </w:pPr>
            <w:r w:rsidRPr="0052743B">
              <w:rPr>
                <w:rFonts w:ascii="Arial" w:hAnsi="Arial" w:cs="Arial"/>
                <w:b/>
                <w:bCs/>
                <w:sz w:val="20"/>
                <w:szCs w:val="20"/>
              </w:rPr>
              <w:t>Case Filing Date</w:t>
            </w:r>
          </w:p>
        </w:tc>
        <w:tc>
          <w:tcPr>
            <w:tcW w:w="7015" w:type="dxa"/>
          </w:tcPr>
          <w:p w14:paraId="39981D7D" w14:textId="77777777" w:rsidR="00FE7218" w:rsidRPr="0052743B" w:rsidRDefault="00FE7218" w:rsidP="009E40A0">
            <w:pPr>
              <w:spacing w:line="360" w:lineRule="auto"/>
              <w:rPr>
                <w:rFonts w:ascii="Arial" w:hAnsi="Arial" w:cs="Arial"/>
                <w:b/>
                <w:bCs/>
                <w:sz w:val="20"/>
                <w:szCs w:val="20"/>
              </w:rPr>
            </w:pPr>
            <w:r w:rsidRPr="0052743B">
              <w:rPr>
                <w:rFonts w:ascii="Arial" w:hAnsi="Arial" w:cs="Arial"/>
                <w:b/>
                <w:bCs/>
                <w:sz w:val="20"/>
                <w:szCs w:val="20"/>
              </w:rPr>
              <w:t>May 6, 2022</w:t>
            </w:r>
          </w:p>
        </w:tc>
      </w:tr>
      <w:tr w:rsidR="00FE7218" w:rsidRPr="004C2719" w14:paraId="7E413CEE" w14:textId="77777777" w:rsidTr="009E40A0">
        <w:tc>
          <w:tcPr>
            <w:tcW w:w="2335" w:type="dxa"/>
          </w:tcPr>
          <w:p w14:paraId="4C6BC71B" w14:textId="77777777" w:rsidR="00FE7218" w:rsidRPr="0052743B" w:rsidRDefault="00FE7218" w:rsidP="009E40A0">
            <w:pPr>
              <w:spacing w:line="360" w:lineRule="auto"/>
              <w:rPr>
                <w:rFonts w:ascii="Arial" w:hAnsi="Arial" w:cs="Arial"/>
                <w:b/>
                <w:bCs/>
                <w:sz w:val="20"/>
                <w:szCs w:val="20"/>
              </w:rPr>
            </w:pPr>
            <w:r w:rsidRPr="0052743B">
              <w:rPr>
                <w:rFonts w:ascii="Arial" w:hAnsi="Arial" w:cs="Arial"/>
                <w:b/>
                <w:bCs/>
                <w:sz w:val="20"/>
                <w:szCs w:val="20"/>
              </w:rPr>
              <w:t>SPAC Defendants</w:t>
            </w:r>
          </w:p>
        </w:tc>
        <w:tc>
          <w:tcPr>
            <w:tcW w:w="7015" w:type="dxa"/>
          </w:tcPr>
          <w:p w14:paraId="5DC23391" w14:textId="77777777" w:rsidR="00FE7218" w:rsidRPr="0052743B" w:rsidRDefault="00FE7218" w:rsidP="009E40A0">
            <w:pPr>
              <w:spacing w:line="360" w:lineRule="auto"/>
              <w:rPr>
                <w:rFonts w:ascii="Arial" w:hAnsi="Arial" w:cs="Arial"/>
                <w:b/>
                <w:bCs/>
                <w:sz w:val="20"/>
                <w:szCs w:val="20"/>
              </w:rPr>
            </w:pPr>
            <w:r w:rsidRPr="0052743B">
              <w:rPr>
                <w:rFonts w:ascii="Arial" w:hAnsi="Arial" w:cs="Arial"/>
                <w:b/>
                <w:bCs/>
                <w:sz w:val="20"/>
                <w:szCs w:val="20"/>
              </w:rPr>
              <w:t>Yes</w:t>
            </w:r>
          </w:p>
        </w:tc>
      </w:tr>
    </w:tbl>
    <w:p w14:paraId="27CB6EF3" w14:textId="77777777" w:rsidR="00FE7218" w:rsidRDefault="00FE7218" w:rsidP="00FE7218"/>
    <w:p w14:paraId="426C16C0" w14:textId="03DF021D" w:rsidR="00FE7218" w:rsidRDefault="00FE7218" w:rsidP="00FE7218">
      <w:pPr>
        <w:spacing w:line="360" w:lineRule="auto"/>
        <w:jc w:val="both"/>
        <w:rPr>
          <w:rFonts w:ascii="Arial" w:hAnsi="Arial" w:cs="Arial"/>
        </w:rPr>
      </w:pPr>
      <w:r w:rsidRPr="0052743B">
        <w:rPr>
          <w:rFonts w:ascii="Arial" w:hAnsi="Arial" w:cs="Arial"/>
        </w:rPr>
        <w:t>Arquit is a London-based cybersecurity company</w:t>
      </w:r>
      <w:r>
        <w:rPr>
          <w:rFonts w:ascii="Arial" w:hAnsi="Arial" w:cs="Arial"/>
        </w:rPr>
        <w:t xml:space="preserve"> that seeks to develop and market a unique encryption technology. The securities class action lawsuit was filed against Arquit after the Wall Street Journal published a critical article about the company, questioning the company’s capabilities, technology and revenues. The complaint purports to be filed on behalf of a class of investors who purchased the company’s shares between September 7, 2021 (the date the merged company’s shares began trading) and April 18, 2022 (the date the Journal published the article). </w:t>
      </w:r>
      <w:r w:rsidRPr="0052743B">
        <w:rPr>
          <w:rFonts w:ascii="Arial" w:hAnsi="Arial" w:cs="Arial"/>
        </w:rPr>
        <w:t>The complaint allege</w:t>
      </w:r>
      <w:r>
        <w:rPr>
          <w:rFonts w:ascii="Arial" w:hAnsi="Arial" w:cs="Arial"/>
        </w:rPr>
        <w:t xml:space="preserve">s, among other things, </w:t>
      </w:r>
      <w:r w:rsidRPr="0052743B">
        <w:rPr>
          <w:rFonts w:ascii="Arial" w:hAnsi="Arial" w:cs="Arial"/>
        </w:rPr>
        <w:t xml:space="preserve">that in the proxy statement and in SEC’s filings, the defendants failed to disclose that: “(1) Arquit’s proposed encryption technology would require widespread adoption of new protocols and standard of for [sic] telecommunications; (2) British cybersecurity officials questioned the viability of Arquit’s proposed encryption technology in a meeting in 2020; </w:t>
      </w:r>
      <w:r>
        <w:rPr>
          <w:rFonts w:ascii="Arial" w:hAnsi="Arial" w:cs="Arial"/>
        </w:rPr>
        <w:t>…</w:t>
      </w:r>
      <w:r w:rsidRPr="0052743B">
        <w:rPr>
          <w:rFonts w:ascii="Arial" w:hAnsi="Arial" w:cs="Arial"/>
        </w:rPr>
        <w:t xml:space="preserve"> (4) Arquit had little more than an early-stage prototype of its encryption system at the time of the Merger.” </w:t>
      </w:r>
    </w:p>
    <w:p w14:paraId="47B19F9D" w14:textId="77777777" w:rsidR="00FE7218" w:rsidRDefault="00FE7218" w:rsidP="00FE7218">
      <w:pPr>
        <w:spacing w:line="360" w:lineRule="auto"/>
        <w:jc w:val="both"/>
        <w:rPr>
          <w:rFonts w:ascii="Arial" w:hAnsi="Arial" w:cs="Arial"/>
        </w:rPr>
      </w:pPr>
      <w:r>
        <w:rPr>
          <w:rFonts w:ascii="Arial" w:hAnsi="Arial" w:cs="Arial"/>
        </w:rPr>
        <w:t>The complaint alleges that the defendants violated Sections 10(b), 14(a), and 20(a) of the Securities Exchange Act of 1934 and Rule 10b-5 thereunder. The complaint seeks to recover damages on behalf of the plaintiff class.</w:t>
      </w:r>
    </w:p>
    <w:p w14:paraId="75AD2627" w14:textId="77777777" w:rsidR="00013344" w:rsidRPr="006D6BFE" w:rsidRDefault="00013344" w:rsidP="00FE7218">
      <w:pPr>
        <w:spacing w:line="360" w:lineRule="auto"/>
        <w:jc w:val="both"/>
        <w:rPr>
          <w:rFonts w:ascii="Arial" w:hAnsi="Arial" w:cs="Arial"/>
        </w:rPr>
      </w:pPr>
      <w:r w:rsidRPr="006D6BFE">
        <w:rPr>
          <w:rFonts w:ascii="Arial" w:hAnsi="Arial" w:cs="Arial"/>
        </w:rPr>
        <w:t xml:space="preserve">For further information, please click here: </w:t>
      </w:r>
    </w:p>
    <w:p w14:paraId="4C9284ED" w14:textId="52FBECDA" w:rsidR="00FE7218" w:rsidRDefault="004C362E" w:rsidP="00013344">
      <w:pPr>
        <w:spacing w:line="360" w:lineRule="auto"/>
        <w:rPr>
          <w:rFonts w:ascii="Arial" w:hAnsi="Arial" w:cs="Arial"/>
        </w:rPr>
      </w:pPr>
      <w:hyperlink r:id="rId44" w:history="1">
        <w:r w:rsidR="00FE7218" w:rsidRPr="00467757">
          <w:rPr>
            <w:rStyle w:val="Hyperlink"/>
            <w:rFonts w:ascii="Arial" w:hAnsi="Arial" w:cs="Arial"/>
          </w:rPr>
          <w:t>https://www.dandodiary.com/2022/05/articles/securities-litigation/u-k-based-cybersecurity-firm-hit-with-spac-related-securities-suit/</w:t>
        </w:r>
      </w:hyperlink>
    </w:p>
    <w:p w14:paraId="0E9D8F85" w14:textId="063F7C5C" w:rsidR="00013344" w:rsidRDefault="00013344" w:rsidP="00013344">
      <w:pPr>
        <w:spacing w:line="360" w:lineRule="auto"/>
        <w:rPr>
          <w:rFonts w:ascii="Arial" w:hAnsi="Arial" w:cs="Arial"/>
        </w:rPr>
      </w:pPr>
      <w:r w:rsidRPr="006D6BFE">
        <w:rPr>
          <w:rFonts w:ascii="Arial" w:hAnsi="Arial" w:cs="Arial"/>
        </w:rPr>
        <w:br w:type="page"/>
      </w:r>
    </w:p>
    <w:p w14:paraId="4D97A3C7" w14:textId="77777777" w:rsidR="00013344" w:rsidRPr="00E71FEF" w:rsidRDefault="00013344" w:rsidP="00013344">
      <w:pPr>
        <w:spacing w:line="360" w:lineRule="auto"/>
        <w:jc w:val="both"/>
        <w:rPr>
          <w:rFonts w:ascii="Arial" w:hAnsi="Arial" w:cs="Arial"/>
        </w:rPr>
      </w:pPr>
      <w:r>
        <w:rPr>
          <w:rFonts w:ascii="Arial" w:hAnsi="Arial" w:cs="Arial"/>
          <w:noProof/>
        </w:rPr>
        <w:lastRenderedPageBreak/>
        <w:drawing>
          <wp:inline distT="0" distB="0" distL="0" distR="0" wp14:anchorId="54E25889" wp14:editId="0A6B5737">
            <wp:extent cx="1691587" cy="279779"/>
            <wp:effectExtent l="0" t="0" r="4445"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98277" cy="29742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425"/>
        <w:gridCol w:w="6925"/>
      </w:tblGrid>
      <w:tr w:rsidR="00013344" w:rsidRPr="00AD4310" w14:paraId="0151641F" w14:textId="77777777" w:rsidTr="00DB1EC4">
        <w:trPr>
          <w:trHeight w:val="288"/>
        </w:trPr>
        <w:tc>
          <w:tcPr>
            <w:tcW w:w="2425" w:type="dxa"/>
            <w:vAlign w:val="center"/>
          </w:tcPr>
          <w:p w14:paraId="4D72E78D"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SPAC Name</w:t>
            </w:r>
          </w:p>
        </w:tc>
        <w:tc>
          <w:tcPr>
            <w:tcW w:w="6925" w:type="dxa"/>
            <w:vAlign w:val="center"/>
          </w:tcPr>
          <w:p w14:paraId="4C29F965"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Health Sciences Acquisition Corp.</w:t>
            </w:r>
          </w:p>
        </w:tc>
      </w:tr>
      <w:tr w:rsidR="00013344" w:rsidRPr="00AD4310" w14:paraId="2232AA77" w14:textId="77777777" w:rsidTr="00DB1EC4">
        <w:tc>
          <w:tcPr>
            <w:tcW w:w="2425" w:type="dxa"/>
            <w:vAlign w:val="bottom"/>
          </w:tcPr>
          <w:p w14:paraId="2A7AB73B"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Target Name</w:t>
            </w:r>
          </w:p>
        </w:tc>
        <w:tc>
          <w:tcPr>
            <w:tcW w:w="6925" w:type="dxa"/>
            <w:vAlign w:val="bottom"/>
          </w:tcPr>
          <w:p w14:paraId="40D40E3A"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 xml:space="preserve">Immunovant Sciences, Ltd. </w:t>
            </w:r>
          </w:p>
        </w:tc>
      </w:tr>
      <w:tr w:rsidR="00013344" w:rsidRPr="00AD4310" w14:paraId="36908EF3" w14:textId="77777777" w:rsidTr="00DB1EC4">
        <w:tc>
          <w:tcPr>
            <w:tcW w:w="2425" w:type="dxa"/>
            <w:vAlign w:val="bottom"/>
          </w:tcPr>
          <w:p w14:paraId="0CC25BDE"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SPAC IPO Date</w:t>
            </w:r>
          </w:p>
        </w:tc>
        <w:tc>
          <w:tcPr>
            <w:tcW w:w="6925" w:type="dxa"/>
            <w:vAlign w:val="bottom"/>
          </w:tcPr>
          <w:p w14:paraId="174B15D0"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May 17, 2019</w:t>
            </w:r>
          </w:p>
        </w:tc>
      </w:tr>
      <w:tr w:rsidR="00013344" w:rsidRPr="00AD4310" w14:paraId="5B97E425" w14:textId="77777777" w:rsidTr="00DB1EC4">
        <w:tc>
          <w:tcPr>
            <w:tcW w:w="2425" w:type="dxa"/>
            <w:vAlign w:val="bottom"/>
          </w:tcPr>
          <w:p w14:paraId="62C8D791"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de-SPAC Date</w:t>
            </w:r>
          </w:p>
        </w:tc>
        <w:tc>
          <w:tcPr>
            <w:tcW w:w="6925" w:type="dxa"/>
            <w:vAlign w:val="bottom"/>
          </w:tcPr>
          <w:p w14:paraId="4E02C6F8"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December 19, 2020</w:t>
            </w:r>
          </w:p>
        </w:tc>
      </w:tr>
      <w:tr w:rsidR="00013344" w:rsidRPr="00AD4310" w14:paraId="124B080A" w14:textId="77777777" w:rsidTr="00DB1EC4">
        <w:tc>
          <w:tcPr>
            <w:tcW w:w="2425" w:type="dxa"/>
            <w:vAlign w:val="bottom"/>
          </w:tcPr>
          <w:p w14:paraId="6D18474A"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Case Filing Date</w:t>
            </w:r>
          </w:p>
        </w:tc>
        <w:tc>
          <w:tcPr>
            <w:tcW w:w="6925" w:type="dxa"/>
            <w:vAlign w:val="bottom"/>
          </w:tcPr>
          <w:p w14:paraId="5773D8A5"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February 19, 2021</w:t>
            </w:r>
          </w:p>
        </w:tc>
      </w:tr>
      <w:tr w:rsidR="00013344" w:rsidRPr="00AD4310" w14:paraId="43C90C5E" w14:textId="77777777" w:rsidTr="00DB1EC4">
        <w:tc>
          <w:tcPr>
            <w:tcW w:w="2425" w:type="dxa"/>
            <w:vAlign w:val="bottom"/>
          </w:tcPr>
          <w:p w14:paraId="63800FCB"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SPAC Defendants</w:t>
            </w:r>
          </w:p>
        </w:tc>
        <w:tc>
          <w:tcPr>
            <w:tcW w:w="6925" w:type="dxa"/>
            <w:vAlign w:val="bottom"/>
          </w:tcPr>
          <w:p w14:paraId="42EAC65F"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Yes, SPAC CEO</w:t>
            </w:r>
          </w:p>
        </w:tc>
      </w:tr>
    </w:tbl>
    <w:p w14:paraId="12EC5488" w14:textId="77777777" w:rsidR="00013344" w:rsidRDefault="00013344" w:rsidP="00013344">
      <w:pPr>
        <w:spacing w:line="360" w:lineRule="auto"/>
        <w:jc w:val="both"/>
        <w:rPr>
          <w:rFonts w:ascii="Arial" w:hAnsi="Arial" w:cs="Arial"/>
          <w:sz w:val="16"/>
          <w:szCs w:val="16"/>
        </w:rPr>
      </w:pPr>
    </w:p>
    <w:p w14:paraId="0F73ABD8" w14:textId="77777777" w:rsidR="00013344" w:rsidRPr="0011267B" w:rsidRDefault="00013344" w:rsidP="00013344">
      <w:pPr>
        <w:spacing w:line="360" w:lineRule="auto"/>
        <w:jc w:val="both"/>
        <w:rPr>
          <w:rFonts w:ascii="Arial" w:hAnsi="Arial" w:cs="Arial"/>
        </w:rPr>
      </w:pPr>
      <w:r w:rsidRPr="0011267B">
        <w:rPr>
          <w:rFonts w:ascii="Arial" w:hAnsi="Arial" w:cs="Arial"/>
        </w:rPr>
        <w:t>Immunovant is developing a human antibody therapy known as IMVT-1401</w:t>
      </w:r>
      <w:r>
        <w:rPr>
          <w:rFonts w:ascii="Arial" w:hAnsi="Arial" w:cs="Arial"/>
        </w:rPr>
        <w:t xml:space="preserve">. </w:t>
      </w:r>
      <w:r w:rsidRPr="0011267B">
        <w:rPr>
          <w:rFonts w:ascii="Arial" w:hAnsi="Arial" w:cs="Arial"/>
        </w:rPr>
        <w:t xml:space="preserve"> The treatment is in Phase II clinical trials. On February 2, 2021, Immunovant issued a</w:t>
      </w:r>
      <w:r>
        <w:rPr>
          <w:rFonts w:ascii="Arial" w:hAnsi="Arial" w:cs="Arial"/>
        </w:rPr>
        <w:t xml:space="preserve"> press release </w:t>
      </w:r>
      <w:r w:rsidRPr="0011267B">
        <w:rPr>
          <w:rFonts w:ascii="Arial" w:hAnsi="Arial" w:cs="Arial"/>
        </w:rPr>
        <w:t>in which it announced “a voluntary pause of dosing in the ongoing clinical trials for IMVT-1401.” </w:t>
      </w:r>
    </w:p>
    <w:p w14:paraId="6394270D" w14:textId="77777777" w:rsidR="00013344" w:rsidRDefault="00013344" w:rsidP="00013344">
      <w:pPr>
        <w:spacing w:line="360" w:lineRule="auto"/>
        <w:jc w:val="both"/>
        <w:rPr>
          <w:rFonts w:ascii="Arial" w:hAnsi="Arial" w:cs="Arial"/>
          <w:b/>
          <w:bCs/>
        </w:rPr>
      </w:pPr>
      <w:r w:rsidRPr="0011267B">
        <w:rPr>
          <w:rFonts w:ascii="Arial" w:hAnsi="Arial" w:cs="Arial"/>
        </w:rPr>
        <w:t>The complaint purports to be filed on behalf of a class of persons who purchased securities of Immunovant or pre-merger Health Sciences between October 2, 2019 (the date the merger was announced) and February 1, 2021</w:t>
      </w:r>
      <w:r>
        <w:rPr>
          <w:rFonts w:ascii="Arial" w:hAnsi="Arial" w:cs="Arial"/>
        </w:rPr>
        <w:t xml:space="preserve">. </w:t>
      </w:r>
      <w:r w:rsidRPr="0011267B">
        <w:rPr>
          <w:rFonts w:ascii="Arial" w:hAnsi="Arial" w:cs="Arial"/>
        </w:rPr>
        <w:t xml:space="preserve"> In her complaint, the plaintiff alleges that the during the class period defendants made false and/or misleading statements and/or failed to disclose that: “(i) HSAC had performed inadequate due diligence into Legacy Immunovant prior to the Merger, and/or ignored or failed to disclose safety issues associated with IMVT-1401; (ii) IMVT-1401 was less safe than the Company had led investors to believe, particularly with respect to treating [certain diseases under investigation]; (iii) the foregoing dimi</w:t>
      </w:r>
      <w:r>
        <w:rPr>
          <w:rFonts w:ascii="Arial" w:hAnsi="Arial" w:cs="Arial"/>
        </w:rPr>
        <w:t>ni</w:t>
      </w:r>
      <w:r w:rsidRPr="0011267B">
        <w:rPr>
          <w:rFonts w:ascii="Arial" w:hAnsi="Arial" w:cs="Arial"/>
        </w:rPr>
        <w:t>shed IMVT-1401’s prospects for regulatory approval, commercial viability, and profitability; and (iv) as a result, the Company’s public statements were materially false and misleading at all relevant times</w:t>
      </w:r>
      <w:r w:rsidRPr="0011267B">
        <w:rPr>
          <w:rFonts w:ascii="Arial" w:hAnsi="Arial" w:cs="Arial"/>
          <w:b/>
          <w:bCs/>
        </w:rPr>
        <w:t>.”</w:t>
      </w:r>
    </w:p>
    <w:p w14:paraId="45AB16A8" w14:textId="77777777" w:rsidR="00013344" w:rsidRDefault="00013344" w:rsidP="00013344">
      <w:pPr>
        <w:spacing w:line="360" w:lineRule="auto"/>
        <w:jc w:val="both"/>
        <w:rPr>
          <w:rFonts w:ascii="Arial" w:hAnsi="Arial" w:cs="Arial"/>
        </w:rPr>
      </w:pPr>
      <w:r>
        <w:rPr>
          <w:rFonts w:ascii="Arial" w:hAnsi="Arial" w:cs="Arial"/>
        </w:rPr>
        <w:t>For further information, please click here:</w:t>
      </w:r>
    </w:p>
    <w:p w14:paraId="4F910B50" w14:textId="77777777" w:rsidR="00013344" w:rsidRDefault="004C362E" w:rsidP="00013344">
      <w:pPr>
        <w:spacing w:line="360" w:lineRule="auto"/>
        <w:jc w:val="both"/>
        <w:rPr>
          <w:rStyle w:val="Hyperlink"/>
          <w:rFonts w:ascii="Arial" w:hAnsi="Arial" w:cs="Arial"/>
        </w:rPr>
      </w:pPr>
      <w:hyperlink r:id="rId46" w:history="1">
        <w:r w:rsidR="00013344" w:rsidRPr="00087F13">
          <w:rPr>
            <w:rStyle w:val="Hyperlink"/>
            <w:rFonts w:ascii="Arial" w:hAnsi="Arial" w:cs="Arial"/>
          </w:rPr>
          <w:t>https://www.dandodiary.com/2021/02/articles/securities-litigation/post-spac-acquired-biopharma-firm-hit-with-securities-suit/</w:t>
        </w:r>
      </w:hyperlink>
    </w:p>
    <w:p w14:paraId="0A6BE591" w14:textId="77777777" w:rsidR="00013344" w:rsidRDefault="00013344" w:rsidP="00013344">
      <w:pPr>
        <w:rPr>
          <w:rStyle w:val="Hyperlink"/>
          <w:rFonts w:ascii="Arial" w:hAnsi="Arial" w:cs="Arial"/>
        </w:rPr>
      </w:pPr>
      <w:r>
        <w:rPr>
          <w:rStyle w:val="Hyperlink"/>
          <w:rFonts w:ascii="Arial" w:hAnsi="Arial" w:cs="Arial"/>
        </w:rPr>
        <w:br w:type="page"/>
      </w:r>
    </w:p>
    <w:p w14:paraId="6852958F" w14:textId="77777777" w:rsidR="00013344" w:rsidRPr="00AD4310" w:rsidRDefault="00013344" w:rsidP="00013344">
      <w:pPr>
        <w:spacing w:line="360" w:lineRule="auto"/>
        <w:jc w:val="both"/>
        <w:rPr>
          <w:rFonts w:ascii="Arial" w:hAnsi="Arial" w:cs="Arial"/>
        </w:rPr>
      </w:pPr>
      <w:r>
        <w:rPr>
          <w:rFonts w:ascii="Arial" w:hAnsi="Arial" w:cs="Arial"/>
          <w:noProof/>
        </w:rPr>
        <w:lastRenderedPageBreak/>
        <w:drawing>
          <wp:inline distT="0" distB="0" distL="0" distR="0" wp14:anchorId="52FD8B7B" wp14:editId="63DCD7DB">
            <wp:extent cx="1105469" cy="25569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169852" cy="270581"/>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425"/>
        <w:gridCol w:w="6925"/>
      </w:tblGrid>
      <w:tr w:rsidR="00013344" w:rsidRPr="00AD4310" w14:paraId="471DB568" w14:textId="77777777" w:rsidTr="00DB1EC4">
        <w:tc>
          <w:tcPr>
            <w:tcW w:w="2425" w:type="dxa"/>
            <w:vAlign w:val="bottom"/>
          </w:tcPr>
          <w:p w14:paraId="43407D65"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SPAC Name</w:t>
            </w:r>
          </w:p>
        </w:tc>
        <w:tc>
          <w:tcPr>
            <w:tcW w:w="6925" w:type="dxa"/>
            <w:vAlign w:val="bottom"/>
          </w:tcPr>
          <w:p w14:paraId="1C175B7E"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Social Capital Hedosophia Holdings Corp. III</w:t>
            </w:r>
          </w:p>
        </w:tc>
      </w:tr>
      <w:tr w:rsidR="00013344" w:rsidRPr="00AD4310" w14:paraId="36172F49" w14:textId="77777777" w:rsidTr="00DB1EC4">
        <w:tc>
          <w:tcPr>
            <w:tcW w:w="2425" w:type="dxa"/>
            <w:vAlign w:val="bottom"/>
          </w:tcPr>
          <w:p w14:paraId="59C53F4E"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Target Name</w:t>
            </w:r>
          </w:p>
        </w:tc>
        <w:tc>
          <w:tcPr>
            <w:tcW w:w="6925" w:type="dxa"/>
            <w:vAlign w:val="bottom"/>
          </w:tcPr>
          <w:p w14:paraId="7F1A7C15"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Clover Health Investments, Corp.</w:t>
            </w:r>
          </w:p>
        </w:tc>
      </w:tr>
      <w:tr w:rsidR="00013344" w:rsidRPr="00AD4310" w14:paraId="10425FC3" w14:textId="77777777" w:rsidTr="00DB1EC4">
        <w:tc>
          <w:tcPr>
            <w:tcW w:w="2425" w:type="dxa"/>
            <w:vAlign w:val="bottom"/>
          </w:tcPr>
          <w:p w14:paraId="327DCE86"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SPAC IPO Date</w:t>
            </w:r>
          </w:p>
        </w:tc>
        <w:tc>
          <w:tcPr>
            <w:tcW w:w="6925" w:type="dxa"/>
            <w:vAlign w:val="bottom"/>
          </w:tcPr>
          <w:p w14:paraId="1F68BDB4"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October 9, 2020</w:t>
            </w:r>
          </w:p>
        </w:tc>
      </w:tr>
      <w:tr w:rsidR="00013344" w:rsidRPr="00AD4310" w14:paraId="5BE1B3B3" w14:textId="77777777" w:rsidTr="00DB1EC4">
        <w:tc>
          <w:tcPr>
            <w:tcW w:w="2425" w:type="dxa"/>
            <w:vAlign w:val="bottom"/>
          </w:tcPr>
          <w:p w14:paraId="5D60663F"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de-SPAC Date</w:t>
            </w:r>
          </w:p>
        </w:tc>
        <w:tc>
          <w:tcPr>
            <w:tcW w:w="6925" w:type="dxa"/>
            <w:vAlign w:val="bottom"/>
          </w:tcPr>
          <w:p w14:paraId="563F77BF"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January 7, 2021</w:t>
            </w:r>
          </w:p>
        </w:tc>
      </w:tr>
      <w:tr w:rsidR="00013344" w:rsidRPr="00AD4310" w14:paraId="231ADF77" w14:textId="77777777" w:rsidTr="00DB1EC4">
        <w:tc>
          <w:tcPr>
            <w:tcW w:w="2425" w:type="dxa"/>
            <w:vAlign w:val="bottom"/>
          </w:tcPr>
          <w:p w14:paraId="7CB7C7A5"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Case Filing Date</w:t>
            </w:r>
          </w:p>
        </w:tc>
        <w:tc>
          <w:tcPr>
            <w:tcW w:w="6925" w:type="dxa"/>
            <w:vAlign w:val="bottom"/>
          </w:tcPr>
          <w:p w14:paraId="3172FB2E"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February 5, 2021</w:t>
            </w:r>
          </w:p>
        </w:tc>
      </w:tr>
      <w:tr w:rsidR="00013344" w:rsidRPr="00AD4310" w14:paraId="0A76213D" w14:textId="77777777" w:rsidTr="00DB1EC4">
        <w:tc>
          <w:tcPr>
            <w:tcW w:w="2425" w:type="dxa"/>
            <w:vAlign w:val="bottom"/>
          </w:tcPr>
          <w:p w14:paraId="58FBA435"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SPAC Defendants</w:t>
            </w:r>
          </w:p>
        </w:tc>
        <w:tc>
          <w:tcPr>
            <w:tcW w:w="6925" w:type="dxa"/>
            <w:vAlign w:val="bottom"/>
          </w:tcPr>
          <w:p w14:paraId="48D76623" w14:textId="77777777" w:rsidR="00013344" w:rsidRPr="00AD4310" w:rsidRDefault="00013344" w:rsidP="00DB1EC4">
            <w:pPr>
              <w:spacing w:line="360" w:lineRule="auto"/>
              <w:rPr>
                <w:rFonts w:ascii="Arial" w:hAnsi="Arial" w:cs="Arial"/>
                <w:b/>
                <w:bCs/>
                <w:sz w:val="20"/>
                <w:szCs w:val="20"/>
              </w:rPr>
            </w:pPr>
            <w:r w:rsidRPr="00AD4310">
              <w:rPr>
                <w:rFonts w:ascii="Arial" w:hAnsi="Arial" w:cs="Arial"/>
                <w:b/>
                <w:bCs/>
                <w:sz w:val="20"/>
                <w:szCs w:val="20"/>
              </w:rPr>
              <w:t>Yes, SPAC CEO</w:t>
            </w:r>
          </w:p>
        </w:tc>
      </w:tr>
    </w:tbl>
    <w:p w14:paraId="70E5D070" w14:textId="77777777" w:rsidR="00013344" w:rsidRDefault="00013344" w:rsidP="00013344">
      <w:pPr>
        <w:spacing w:line="360" w:lineRule="auto"/>
        <w:jc w:val="both"/>
        <w:rPr>
          <w:rFonts w:ascii="Arial" w:hAnsi="Arial" w:cs="Arial"/>
          <w:b/>
          <w:bCs/>
        </w:rPr>
      </w:pPr>
    </w:p>
    <w:p w14:paraId="3B7A4A21" w14:textId="77777777" w:rsidR="00013344" w:rsidRPr="00E036BA" w:rsidRDefault="00013344" w:rsidP="00013344">
      <w:pPr>
        <w:spacing w:line="360" w:lineRule="auto"/>
        <w:jc w:val="both"/>
        <w:rPr>
          <w:rFonts w:ascii="Arial" w:hAnsi="Arial" w:cs="Arial"/>
        </w:rPr>
      </w:pPr>
      <w:r w:rsidRPr="00E036BA">
        <w:rPr>
          <w:rFonts w:ascii="Arial" w:hAnsi="Arial" w:cs="Arial"/>
        </w:rPr>
        <w:t>According to the Complaint, Clover Health Investments, Corp. purports to be a Medicare Advantage insurer that uses its software platform, the Clover Assistant, to provide America’s seniors with PPO and HMO insurance plans. On January 7, 2021, Clover merged with SPAC Social Capital Hedosophia Holdings Corp. III and began to trade under the symbol CLOV on NASDAQ. On February 4, 2021, Hindenburg Research issued a report stating that prior to the merger, Clover ha</w:t>
      </w:r>
      <w:r>
        <w:rPr>
          <w:rFonts w:ascii="Arial" w:hAnsi="Arial" w:cs="Arial"/>
        </w:rPr>
        <w:t>d</w:t>
      </w:r>
      <w:r w:rsidRPr="00E036BA">
        <w:rPr>
          <w:rFonts w:ascii="Arial" w:hAnsi="Arial" w:cs="Arial"/>
        </w:rPr>
        <w:t xml:space="preserve"> been under active investigation by the U.S. Department of Justice for issues ranging from kickbacks to marketing practices to undisclosed third-party deals.</w:t>
      </w:r>
    </w:p>
    <w:p w14:paraId="5D7AAE20" w14:textId="77777777" w:rsidR="00013344" w:rsidRDefault="00013344" w:rsidP="00013344">
      <w:pPr>
        <w:spacing w:line="360" w:lineRule="auto"/>
        <w:jc w:val="both"/>
        <w:rPr>
          <w:rFonts w:ascii="Arial" w:hAnsi="Arial" w:cs="Arial"/>
        </w:rPr>
      </w:pPr>
      <w:r w:rsidRPr="00E036BA">
        <w:rPr>
          <w:rFonts w:ascii="Arial" w:hAnsi="Arial" w:cs="Arial"/>
        </w:rPr>
        <w:t>The Complaint alleges that during the Class Period, Defendants misled investors by misrepresenting and/or failing to disclose that: (i) Clover was the recipient of a Civil Investigative Demand from the DOJ; (ii) much of Clover’s sales are driven by a major related party deal that Clover not only failed to disclose but took active steps to conceal; (iii) Clover’s subsidiary Seek Insurance failed to disclose its relationship with Clover and misled consumers as to its purported independence; (iv) Clover’s software was in fact rudimentary; and (v) as a result, the Company’s public statements were materially false and misleading at all relevant times.</w:t>
      </w:r>
    </w:p>
    <w:p w14:paraId="4676EF2C" w14:textId="77777777" w:rsidR="00013344" w:rsidRDefault="00013344" w:rsidP="00013344">
      <w:pPr>
        <w:spacing w:line="360" w:lineRule="auto"/>
        <w:jc w:val="both"/>
        <w:rPr>
          <w:rFonts w:ascii="Arial" w:hAnsi="Arial" w:cs="Arial"/>
        </w:rPr>
      </w:pPr>
      <w:r>
        <w:rPr>
          <w:rFonts w:ascii="Arial" w:hAnsi="Arial" w:cs="Arial"/>
        </w:rPr>
        <w:t>For further information, please click here:</w:t>
      </w:r>
    </w:p>
    <w:p w14:paraId="5BC233E3" w14:textId="77777777" w:rsidR="00013344" w:rsidRPr="00E71FEF" w:rsidRDefault="004C362E" w:rsidP="00013344">
      <w:pPr>
        <w:spacing w:line="360" w:lineRule="auto"/>
        <w:jc w:val="both"/>
        <w:rPr>
          <w:rStyle w:val="Hyperlink"/>
          <w:rFonts w:ascii="Arial" w:hAnsi="Arial" w:cs="Arial"/>
        </w:rPr>
      </w:pPr>
      <w:hyperlink r:id="rId48" w:history="1">
        <w:r w:rsidR="00013344" w:rsidRPr="00E71FEF">
          <w:rPr>
            <w:rStyle w:val="Hyperlink"/>
            <w:rFonts w:ascii="Arial" w:hAnsi="Arial" w:cs="Arial"/>
          </w:rPr>
          <w:t>https://www.dandodiary.com/2021/02/articles/securities-litigation/securities-suit-alleges-failure-to-disclose-doj-investigation-before-de-spac-transaction/</w:t>
        </w:r>
      </w:hyperlink>
    </w:p>
    <w:p w14:paraId="444D818D" w14:textId="77777777" w:rsidR="00013344" w:rsidRDefault="00013344" w:rsidP="00013344">
      <w:pPr>
        <w:rPr>
          <w:rFonts w:ascii="Arial" w:hAnsi="Arial" w:cs="Arial"/>
        </w:rPr>
      </w:pPr>
      <w:r>
        <w:rPr>
          <w:rFonts w:ascii="Arial" w:hAnsi="Arial" w:cs="Arial"/>
        </w:rPr>
        <w:br w:type="page"/>
      </w:r>
    </w:p>
    <w:p w14:paraId="6C6FE240" w14:textId="77777777" w:rsidR="00013344" w:rsidRDefault="00013344" w:rsidP="00013344">
      <w:pPr>
        <w:rPr>
          <w:rFonts w:ascii="Arial" w:hAnsi="Arial" w:cs="Arial"/>
        </w:rPr>
      </w:pPr>
      <w:r>
        <w:rPr>
          <w:rFonts w:ascii="Arial" w:hAnsi="Arial" w:cs="Arial"/>
          <w:noProof/>
        </w:rPr>
        <w:lastRenderedPageBreak/>
        <w:drawing>
          <wp:inline distT="0" distB="0" distL="0" distR="0" wp14:anchorId="2A51D529" wp14:editId="206B4F40">
            <wp:extent cx="1583140" cy="368431"/>
            <wp:effectExtent l="0" t="0" r="0"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22841" cy="37767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425"/>
        <w:gridCol w:w="6925"/>
      </w:tblGrid>
      <w:tr w:rsidR="00013344" w:rsidRPr="00AD4310" w14:paraId="6AE94F3A" w14:textId="77777777" w:rsidTr="00DB1EC4">
        <w:tc>
          <w:tcPr>
            <w:tcW w:w="2425" w:type="dxa"/>
          </w:tcPr>
          <w:p w14:paraId="1B479DE6"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SPAC Name</w:t>
            </w:r>
          </w:p>
        </w:tc>
        <w:tc>
          <w:tcPr>
            <w:tcW w:w="6925" w:type="dxa"/>
          </w:tcPr>
          <w:p w14:paraId="258142B8"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VectoIQ Acquisition Corp.</w:t>
            </w:r>
          </w:p>
        </w:tc>
      </w:tr>
      <w:tr w:rsidR="00013344" w:rsidRPr="00AD4310" w14:paraId="12E6C56D" w14:textId="77777777" w:rsidTr="00DB1EC4">
        <w:tc>
          <w:tcPr>
            <w:tcW w:w="2425" w:type="dxa"/>
          </w:tcPr>
          <w:p w14:paraId="139161BA"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Target Name</w:t>
            </w:r>
          </w:p>
        </w:tc>
        <w:tc>
          <w:tcPr>
            <w:tcW w:w="6925" w:type="dxa"/>
          </w:tcPr>
          <w:p w14:paraId="4B5EE793"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Nikola Corporation</w:t>
            </w:r>
          </w:p>
        </w:tc>
      </w:tr>
      <w:tr w:rsidR="00013344" w:rsidRPr="00AD4310" w14:paraId="1739265D" w14:textId="77777777" w:rsidTr="00DB1EC4">
        <w:tc>
          <w:tcPr>
            <w:tcW w:w="2425" w:type="dxa"/>
          </w:tcPr>
          <w:p w14:paraId="3A30A3F7"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SPAC IPO Date</w:t>
            </w:r>
          </w:p>
        </w:tc>
        <w:tc>
          <w:tcPr>
            <w:tcW w:w="6925" w:type="dxa"/>
          </w:tcPr>
          <w:p w14:paraId="770F0B80"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May 18, 2018</w:t>
            </w:r>
          </w:p>
        </w:tc>
      </w:tr>
      <w:tr w:rsidR="00013344" w:rsidRPr="00AD4310" w14:paraId="3C6B7623" w14:textId="77777777" w:rsidTr="00DB1EC4">
        <w:tc>
          <w:tcPr>
            <w:tcW w:w="2425" w:type="dxa"/>
          </w:tcPr>
          <w:p w14:paraId="068170D1"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de-SPAC Date</w:t>
            </w:r>
          </w:p>
        </w:tc>
        <w:tc>
          <w:tcPr>
            <w:tcW w:w="6925" w:type="dxa"/>
          </w:tcPr>
          <w:p w14:paraId="2ED1A9CA"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June 3, 2020</w:t>
            </w:r>
          </w:p>
        </w:tc>
      </w:tr>
      <w:tr w:rsidR="00013344" w:rsidRPr="00AD4310" w14:paraId="3E837298" w14:textId="77777777" w:rsidTr="00DB1EC4">
        <w:tc>
          <w:tcPr>
            <w:tcW w:w="2425" w:type="dxa"/>
          </w:tcPr>
          <w:p w14:paraId="019FE8B2"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Case Filing Date</w:t>
            </w:r>
          </w:p>
        </w:tc>
        <w:tc>
          <w:tcPr>
            <w:tcW w:w="6925" w:type="dxa"/>
          </w:tcPr>
          <w:p w14:paraId="6EAEAF2E"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September 15, 2020</w:t>
            </w:r>
          </w:p>
        </w:tc>
      </w:tr>
      <w:tr w:rsidR="00013344" w:rsidRPr="00AD4310" w14:paraId="7E7CD7EF" w14:textId="77777777" w:rsidTr="00DB1EC4">
        <w:tc>
          <w:tcPr>
            <w:tcW w:w="2425" w:type="dxa"/>
          </w:tcPr>
          <w:p w14:paraId="53D01266"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SPAC Defendants</w:t>
            </w:r>
          </w:p>
        </w:tc>
        <w:tc>
          <w:tcPr>
            <w:tcW w:w="6925" w:type="dxa"/>
          </w:tcPr>
          <w:p w14:paraId="705EC372"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Yes, SPAC CEO and CFO</w:t>
            </w:r>
          </w:p>
        </w:tc>
      </w:tr>
    </w:tbl>
    <w:p w14:paraId="1674DED8" w14:textId="77777777" w:rsidR="00013344" w:rsidRPr="00E036BA" w:rsidRDefault="00013344" w:rsidP="00013344">
      <w:pPr>
        <w:spacing w:line="360" w:lineRule="auto"/>
        <w:jc w:val="both"/>
        <w:rPr>
          <w:rFonts w:ascii="Arial" w:hAnsi="Arial" w:cs="Arial"/>
          <w:b/>
          <w:bCs/>
        </w:rPr>
      </w:pPr>
    </w:p>
    <w:p w14:paraId="1C95B10E" w14:textId="77777777" w:rsidR="00013344" w:rsidRPr="00E036BA" w:rsidRDefault="00013344" w:rsidP="00013344">
      <w:pPr>
        <w:spacing w:line="360" w:lineRule="auto"/>
        <w:jc w:val="both"/>
        <w:rPr>
          <w:rFonts w:ascii="Arial" w:hAnsi="Arial" w:cs="Arial"/>
        </w:rPr>
      </w:pPr>
      <w:r w:rsidRPr="00E036BA">
        <w:rPr>
          <w:rFonts w:ascii="Arial" w:hAnsi="Arial" w:cs="Arial"/>
        </w:rPr>
        <w:t>According to the Complaint, Nikola Corporation purports to operate as an integrated zero emissions transportation systems provider which designs and manufactures battery-electric and hydrogen-electric vehicles, electric vehicle drivetrains, vehicle components, energy storage systems, and hydrogen fueling station infrastructure.</w:t>
      </w:r>
    </w:p>
    <w:p w14:paraId="35B61C7C" w14:textId="77777777" w:rsidR="00013344" w:rsidRPr="00E036BA" w:rsidRDefault="00013344" w:rsidP="00013344">
      <w:pPr>
        <w:spacing w:line="360" w:lineRule="auto"/>
        <w:jc w:val="both"/>
        <w:rPr>
          <w:rFonts w:ascii="Arial" w:hAnsi="Arial" w:cs="Arial"/>
        </w:rPr>
      </w:pPr>
      <w:r w:rsidRPr="00E036BA">
        <w:rPr>
          <w:rFonts w:ascii="Arial" w:hAnsi="Arial" w:cs="Arial"/>
        </w:rPr>
        <w:t>The Complaint alleges that Defendants throughout the Class Period made false and/or misleading statements and/or failed to disclose that: (1) VectoIQ did not engage in proper due diligence regarding its merger with Nikola; (2) Nikola overstated its “in-house” design, manufacturing, and testing capabilities; (3) Nikola overstated its hydrogen production capabilities; (4) as a result, Nikola overstated its ability to lower the cost of hydrogen fuel; (5) Nikola's founder and Executive Chairman tweeted a misleading “test” video of the Company’s Nikola Two truck; (6) the work experience and background of key Nikola employees had been overstated and obfuscated; (7) Nikola did not have five Tre trucks completed; and (8) as a result, Defendants’ public statements were materially false and/or misleading at all relevant times.</w:t>
      </w:r>
    </w:p>
    <w:p w14:paraId="266F95F1" w14:textId="77777777" w:rsidR="00013344" w:rsidRDefault="00013344" w:rsidP="00013344">
      <w:pPr>
        <w:spacing w:line="360" w:lineRule="auto"/>
        <w:jc w:val="both"/>
        <w:rPr>
          <w:rFonts w:ascii="Arial" w:hAnsi="Arial" w:cs="Arial"/>
        </w:rPr>
      </w:pPr>
      <w:r w:rsidRPr="00E036BA">
        <w:rPr>
          <w:rFonts w:ascii="Arial" w:hAnsi="Arial" w:cs="Arial"/>
        </w:rPr>
        <w:t>On December 15, 2020, the Court issued an Order consolidating cases and appointing Lead Plaintiff and Counsel.</w:t>
      </w:r>
    </w:p>
    <w:p w14:paraId="21D810AD" w14:textId="77777777" w:rsidR="00013344" w:rsidRDefault="00013344" w:rsidP="00013344">
      <w:pPr>
        <w:spacing w:line="360" w:lineRule="auto"/>
        <w:jc w:val="both"/>
        <w:rPr>
          <w:rFonts w:ascii="Arial" w:hAnsi="Arial" w:cs="Arial"/>
        </w:rPr>
      </w:pPr>
      <w:r w:rsidRPr="00E71FEF">
        <w:rPr>
          <w:rFonts w:ascii="Arial" w:hAnsi="Arial" w:cs="Arial"/>
        </w:rPr>
        <w:t>For further information, please click here:</w:t>
      </w:r>
    </w:p>
    <w:p w14:paraId="79047351" w14:textId="77777777" w:rsidR="00013344" w:rsidRPr="00E71FEF" w:rsidRDefault="004C362E" w:rsidP="00013344">
      <w:pPr>
        <w:spacing w:line="360" w:lineRule="auto"/>
        <w:jc w:val="both"/>
        <w:rPr>
          <w:rStyle w:val="Hyperlink"/>
          <w:rFonts w:ascii="Arial" w:hAnsi="Arial" w:cs="Arial"/>
        </w:rPr>
      </w:pPr>
      <w:hyperlink r:id="rId50" w:history="1">
        <w:r w:rsidR="00013344" w:rsidRPr="00E71FEF">
          <w:rPr>
            <w:rStyle w:val="Hyperlink"/>
            <w:rFonts w:ascii="Arial" w:hAnsi="Arial" w:cs="Arial"/>
          </w:rPr>
          <w:t>https://www.dandodiary.com/2020/10/articles/director-and-officer-liability/rain-on-the-spac-parade/</w:t>
        </w:r>
      </w:hyperlink>
    </w:p>
    <w:p w14:paraId="3AC8ECA7" w14:textId="77777777" w:rsidR="00013344" w:rsidRDefault="00013344" w:rsidP="00013344">
      <w:pPr>
        <w:rPr>
          <w:rFonts w:ascii="Arial" w:hAnsi="Arial" w:cs="Arial"/>
        </w:rPr>
      </w:pPr>
      <w:r>
        <w:rPr>
          <w:rStyle w:val="Hyperlink"/>
        </w:rPr>
        <w:br w:type="page"/>
      </w:r>
    </w:p>
    <w:p w14:paraId="492B90D1" w14:textId="77777777" w:rsidR="00013344" w:rsidRDefault="00013344" w:rsidP="00013344">
      <w:pPr>
        <w:spacing w:line="360" w:lineRule="auto"/>
        <w:jc w:val="both"/>
        <w:rPr>
          <w:rFonts w:ascii="Arial" w:hAnsi="Arial" w:cs="Arial"/>
        </w:rPr>
      </w:pPr>
      <w:r>
        <w:rPr>
          <w:rFonts w:ascii="Arial" w:hAnsi="Arial" w:cs="Arial"/>
          <w:noProof/>
        </w:rPr>
        <w:lastRenderedPageBreak/>
        <w:drawing>
          <wp:inline distT="0" distB="0" distL="0" distR="0" wp14:anchorId="4FCC1D6B" wp14:editId="64918389">
            <wp:extent cx="1637731" cy="523260"/>
            <wp:effectExtent l="0" t="0" r="635"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65532" cy="532143"/>
                    </a:xfrm>
                    <a:prstGeom prst="rect">
                      <a:avLst/>
                    </a:prstGeom>
                    <a:noFill/>
                    <a:ln>
                      <a:noFill/>
                    </a:ln>
                  </pic:spPr>
                </pic:pic>
              </a:graphicData>
            </a:graphic>
          </wp:inline>
        </w:drawing>
      </w:r>
    </w:p>
    <w:tbl>
      <w:tblPr>
        <w:tblStyle w:val="TableGrid"/>
        <w:tblpPr w:leftFromText="180" w:rightFromText="180" w:vertAnchor="text" w:horzAnchor="margin" w:tblpY="-42"/>
        <w:tblW w:w="0" w:type="auto"/>
        <w:tblLook w:val="04A0" w:firstRow="1" w:lastRow="0" w:firstColumn="1" w:lastColumn="0" w:noHBand="0" w:noVBand="1"/>
      </w:tblPr>
      <w:tblGrid>
        <w:gridCol w:w="2425"/>
        <w:gridCol w:w="6925"/>
      </w:tblGrid>
      <w:tr w:rsidR="00013344" w:rsidRPr="00AD4310" w14:paraId="6AF1FA81" w14:textId="77777777" w:rsidTr="00DB1EC4">
        <w:tc>
          <w:tcPr>
            <w:tcW w:w="2425" w:type="dxa"/>
          </w:tcPr>
          <w:p w14:paraId="275F8D13"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SPAC Name</w:t>
            </w:r>
          </w:p>
        </w:tc>
        <w:tc>
          <w:tcPr>
            <w:tcW w:w="6925" w:type="dxa"/>
          </w:tcPr>
          <w:p w14:paraId="17B3E201"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Modern Media Acquisition Corp.</w:t>
            </w:r>
          </w:p>
        </w:tc>
      </w:tr>
      <w:tr w:rsidR="00013344" w:rsidRPr="00AD4310" w14:paraId="2726B8B8" w14:textId="77777777" w:rsidTr="00DB1EC4">
        <w:tc>
          <w:tcPr>
            <w:tcW w:w="2425" w:type="dxa"/>
          </w:tcPr>
          <w:p w14:paraId="60242544"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Target Name</w:t>
            </w:r>
          </w:p>
        </w:tc>
        <w:tc>
          <w:tcPr>
            <w:tcW w:w="6925" w:type="dxa"/>
          </w:tcPr>
          <w:p w14:paraId="65B68C06"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Akazoo, S.A.</w:t>
            </w:r>
          </w:p>
        </w:tc>
      </w:tr>
      <w:tr w:rsidR="00013344" w:rsidRPr="00AD4310" w14:paraId="071D2D5C" w14:textId="77777777" w:rsidTr="00DB1EC4">
        <w:tc>
          <w:tcPr>
            <w:tcW w:w="2425" w:type="dxa"/>
          </w:tcPr>
          <w:p w14:paraId="13892BF6"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SPAC IPO Date</w:t>
            </w:r>
          </w:p>
        </w:tc>
        <w:tc>
          <w:tcPr>
            <w:tcW w:w="6925" w:type="dxa"/>
          </w:tcPr>
          <w:p w14:paraId="106829ED"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May 17, 2017</w:t>
            </w:r>
          </w:p>
        </w:tc>
      </w:tr>
      <w:tr w:rsidR="00013344" w:rsidRPr="00AD4310" w14:paraId="0C00CFE5" w14:textId="77777777" w:rsidTr="00DB1EC4">
        <w:tc>
          <w:tcPr>
            <w:tcW w:w="2425" w:type="dxa"/>
          </w:tcPr>
          <w:p w14:paraId="0561E81C"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Date of de-SPAC</w:t>
            </w:r>
          </w:p>
        </w:tc>
        <w:tc>
          <w:tcPr>
            <w:tcW w:w="6925" w:type="dxa"/>
          </w:tcPr>
          <w:p w14:paraId="18122ACE"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September 11, 2019</w:t>
            </w:r>
          </w:p>
        </w:tc>
      </w:tr>
      <w:tr w:rsidR="00013344" w:rsidRPr="00AD4310" w14:paraId="33696533" w14:textId="77777777" w:rsidTr="00DB1EC4">
        <w:tc>
          <w:tcPr>
            <w:tcW w:w="2425" w:type="dxa"/>
          </w:tcPr>
          <w:p w14:paraId="16343A5E"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Case Filing Date</w:t>
            </w:r>
          </w:p>
        </w:tc>
        <w:tc>
          <w:tcPr>
            <w:tcW w:w="6925" w:type="dxa"/>
          </w:tcPr>
          <w:p w14:paraId="6CAFE823"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April 24, 2020</w:t>
            </w:r>
          </w:p>
        </w:tc>
      </w:tr>
      <w:tr w:rsidR="00013344" w:rsidRPr="00AD4310" w14:paraId="2276E4D6" w14:textId="77777777" w:rsidTr="00DB1EC4">
        <w:tc>
          <w:tcPr>
            <w:tcW w:w="2425" w:type="dxa"/>
          </w:tcPr>
          <w:p w14:paraId="6D5C3150"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SPAC Defendants</w:t>
            </w:r>
          </w:p>
        </w:tc>
        <w:tc>
          <w:tcPr>
            <w:tcW w:w="6925" w:type="dxa"/>
          </w:tcPr>
          <w:p w14:paraId="04DCB776" w14:textId="77777777" w:rsidR="00013344" w:rsidRPr="00AD4310" w:rsidRDefault="00013344" w:rsidP="00DB1EC4">
            <w:pPr>
              <w:spacing w:line="360" w:lineRule="auto"/>
              <w:jc w:val="both"/>
              <w:rPr>
                <w:rFonts w:ascii="Arial" w:hAnsi="Arial" w:cs="Arial"/>
                <w:b/>
                <w:bCs/>
                <w:sz w:val="20"/>
                <w:szCs w:val="20"/>
              </w:rPr>
            </w:pPr>
            <w:r w:rsidRPr="00AD4310">
              <w:rPr>
                <w:rFonts w:ascii="Arial" w:hAnsi="Arial" w:cs="Arial"/>
                <w:b/>
                <w:bCs/>
                <w:sz w:val="20"/>
                <w:szCs w:val="20"/>
              </w:rPr>
              <w:t>No</w:t>
            </w:r>
          </w:p>
        </w:tc>
      </w:tr>
    </w:tbl>
    <w:p w14:paraId="4635BDB5" w14:textId="77777777" w:rsidR="00013344" w:rsidRDefault="00013344" w:rsidP="00013344">
      <w:pPr>
        <w:spacing w:line="360" w:lineRule="auto"/>
        <w:jc w:val="both"/>
        <w:rPr>
          <w:rFonts w:ascii="Arial" w:hAnsi="Arial" w:cs="Arial"/>
        </w:rPr>
      </w:pPr>
      <w:r>
        <w:rPr>
          <w:rFonts w:ascii="Arial" w:hAnsi="Arial" w:cs="Arial"/>
        </w:rPr>
        <w:t xml:space="preserve">According to the complaint, Akazoo, S.A. purported to be a global music streaming service with subscribers in 25 countries on several continents. </w:t>
      </w:r>
    </w:p>
    <w:p w14:paraId="16BBAC09" w14:textId="77777777" w:rsidR="00013344" w:rsidRDefault="00013344" w:rsidP="00013344">
      <w:pPr>
        <w:spacing w:line="360" w:lineRule="auto"/>
        <w:jc w:val="both"/>
        <w:rPr>
          <w:rFonts w:ascii="Arial" w:hAnsi="Arial" w:cs="Arial"/>
        </w:rPr>
      </w:pPr>
      <w:r w:rsidRPr="00DA4EC7">
        <w:rPr>
          <w:rFonts w:ascii="Arial" w:hAnsi="Arial" w:cs="Arial"/>
        </w:rPr>
        <w:t>The Complaint alleges Defendants throughout the Class Period made false and/or misleading statements and/or failed to disclose that: (1) Akazoo overstated its revenue, profits, and cash holdings; (2) Akazoo holds significantly lesser music distribution rights than it has stated and implied; (3) as opposed to Akazoo’s continued statements, it does not operate in 25 countries; (4) Akazoo has a significantly smaller user base than it states; (5) Akazoo has closed its headquarters and other offices around the world; and (6) as a result, Defendants’ public statements were materially false and/or misleading at all relevant times. According to the suit, these true details were disclosed by a market research firm.</w:t>
      </w:r>
    </w:p>
    <w:p w14:paraId="38C3A299" w14:textId="77777777" w:rsidR="00013344" w:rsidRDefault="00013344" w:rsidP="00013344">
      <w:pPr>
        <w:spacing w:line="360" w:lineRule="auto"/>
        <w:jc w:val="both"/>
        <w:rPr>
          <w:rFonts w:ascii="Arial" w:hAnsi="Arial" w:cs="Arial"/>
        </w:rPr>
      </w:pPr>
      <w:r>
        <w:rPr>
          <w:rFonts w:ascii="Arial" w:hAnsi="Arial" w:cs="Arial"/>
        </w:rPr>
        <w:t xml:space="preserve">The complaint is noteworthy because it includes not only investors who purchased publicly traded securities of Akazoo and its predecessor in interest on the open market, but also includes investors who acquired securities in the pre-merger PIPE transaction, as well as purchasers of investors who purchased securities pursuant to the merger-related public securities issuance. </w:t>
      </w:r>
    </w:p>
    <w:p w14:paraId="44418C71" w14:textId="77777777" w:rsidR="00013344" w:rsidRPr="00B643FB" w:rsidRDefault="00013344" w:rsidP="00013344">
      <w:pPr>
        <w:spacing w:line="360" w:lineRule="auto"/>
        <w:jc w:val="both"/>
        <w:rPr>
          <w:rFonts w:ascii="Arial" w:hAnsi="Arial" w:cs="Arial"/>
        </w:rPr>
      </w:pPr>
      <w:r w:rsidRPr="00B643FB">
        <w:rPr>
          <w:rFonts w:ascii="Arial" w:hAnsi="Arial" w:cs="Arial"/>
        </w:rPr>
        <w:t xml:space="preserve">In April 2021, the parties entered an agreement to partially settle the action for a payment of $35 million, $30.1 million of which was to go to investors in the PIPE financing and $4.9 million was to go to open-market securities investors represented in the securities class action lawsuit. </w:t>
      </w:r>
    </w:p>
    <w:p w14:paraId="21B5A21F" w14:textId="77777777" w:rsidR="00013344" w:rsidRDefault="00013344" w:rsidP="00013344">
      <w:pPr>
        <w:spacing w:line="360" w:lineRule="auto"/>
        <w:jc w:val="both"/>
        <w:rPr>
          <w:rFonts w:ascii="Arial" w:hAnsi="Arial" w:cs="Arial"/>
        </w:rPr>
      </w:pPr>
      <w:r w:rsidRPr="00E71FEF">
        <w:rPr>
          <w:rFonts w:ascii="Arial" w:hAnsi="Arial" w:cs="Arial"/>
        </w:rPr>
        <w:t>For further information, please click here:</w:t>
      </w:r>
    </w:p>
    <w:p w14:paraId="50193549" w14:textId="77777777" w:rsidR="00013344" w:rsidRDefault="004C362E" w:rsidP="00013344">
      <w:pPr>
        <w:spacing w:line="360" w:lineRule="auto"/>
        <w:jc w:val="both"/>
        <w:rPr>
          <w:rFonts w:ascii="Arial" w:hAnsi="Arial" w:cs="Arial"/>
        </w:rPr>
      </w:pPr>
      <w:hyperlink r:id="rId52" w:history="1">
        <w:r w:rsidR="00013344" w:rsidRPr="00536509">
          <w:rPr>
            <w:rStyle w:val="Hyperlink"/>
            <w:rFonts w:ascii="Arial" w:hAnsi="Arial" w:cs="Arial"/>
          </w:rPr>
          <w:t>https://www.dandodiary.com/2021/04/articles/securities-litigation/akazoo-spac-related-litigation-partially-settled-for-35-million/</w:t>
        </w:r>
      </w:hyperlink>
    </w:p>
    <w:bookmarkEnd w:id="2"/>
    <w:p w14:paraId="2C2792BE" w14:textId="200C8599" w:rsidR="00E036BA" w:rsidRDefault="00E036BA">
      <w:pPr>
        <w:rPr>
          <w:rFonts w:ascii="Arial" w:eastAsia="Times New Roman" w:hAnsi="Arial" w:cs="Times New Roman"/>
          <w:b/>
          <w:bCs/>
          <w:smallCaps/>
          <w:color w:val="0067B1"/>
          <w:kern w:val="22"/>
          <w:sz w:val="28"/>
          <w:szCs w:val="28"/>
        </w:rPr>
      </w:pPr>
    </w:p>
    <w:p w14:paraId="655ECA70" w14:textId="77777777" w:rsidR="00013344" w:rsidRDefault="00013344">
      <w:pPr>
        <w:rPr>
          <w:rFonts w:ascii="Arial" w:eastAsia="Times New Roman" w:hAnsi="Arial" w:cs="Times New Roman"/>
          <w:b/>
          <w:bCs/>
          <w:smallCaps/>
          <w:color w:val="0067B1"/>
          <w:kern w:val="22"/>
          <w:sz w:val="28"/>
          <w:szCs w:val="28"/>
        </w:rPr>
      </w:pPr>
      <w:r>
        <w:rPr>
          <w:bCs/>
          <w:iCs/>
          <w:color w:val="0067B1"/>
          <w:kern w:val="22"/>
        </w:rPr>
        <w:br w:type="page"/>
      </w:r>
    </w:p>
    <w:p w14:paraId="6F3BADF3" w14:textId="1B6DFBBA" w:rsidR="00CB0D2D" w:rsidRDefault="00CB0D2D" w:rsidP="00CB0D2D">
      <w:pPr>
        <w:pStyle w:val="OBISChapterTitle"/>
        <w:rPr>
          <w:bCs/>
          <w:iCs w:val="0"/>
          <w:color w:val="0067B1"/>
          <w:kern w:val="22"/>
        </w:rPr>
      </w:pPr>
      <w:r>
        <w:rPr>
          <w:bCs/>
          <w:iCs w:val="0"/>
          <w:color w:val="0067B1"/>
          <w:kern w:val="22"/>
        </w:rPr>
        <w:lastRenderedPageBreak/>
        <w:t>V. Key de-SPAC Coverage Issues</w:t>
      </w:r>
    </w:p>
    <w:p w14:paraId="61508F1F" w14:textId="6138D007" w:rsidR="004E08A3" w:rsidRDefault="004E08A3" w:rsidP="004E08A3">
      <w:pPr>
        <w:spacing w:line="360" w:lineRule="auto"/>
        <w:jc w:val="both"/>
        <w:rPr>
          <w:rFonts w:ascii="Arial" w:hAnsi="Arial" w:cs="Arial"/>
          <w:color w:val="0067B1"/>
        </w:rPr>
      </w:pPr>
      <w:bookmarkStart w:id="5" w:name="_Hlk66077139"/>
      <w:r>
        <w:rPr>
          <w:rFonts w:ascii="Arial" w:hAnsi="Arial" w:cs="Arial"/>
          <w:color w:val="0067B1"/>
        </w:rPr>
        <w:t>SPAC / de-SPAC Lifecycle</w:t>
      </w:r>
    </w:p>
    <w:p w14:paraId="45663CE0" w14:textId="4792E5CC" w:rsidR="00CB0D2D" w:rsidRPr="00933DAC" w:rsidRDefault="000801F0" w:rsidP="00CB0D2D">
      <w:pPr>
        <w:spacing w:line="360" w:lineRule="auto"/>
        <w:jc w:val="both"/>
        <w:rPr>
          <w:rFonts w:ascii="Arial" w:hAnsi="Arial" w:cs="Arial"/>
          <w:color w:val="0067B1"/>
        </w:rPr>
      </w:pPr>
      <w:bookmarkStart w:id="6" w:name="_Hlk64868621"/>
      <w:r>
        <w:rPr>
          <w:noProof/>
        </w:rPr>
        <w:drawing>
          <wp:inline distT="0" distB="0" distL="0" distR="0" wp14:anchorId="69868BCA" wp14:editId="2900CBAB">
            <wp:extent cx="6323592" cy="2647666"/>
            <wp:effectExtent l="0" t="0" r="1270" b="635"/>
            <wp:docPr id="31" name="Picture 3">
              <a:extLst xmlns:a="http://schemas.openxmlformats.org/drawingml/2006/main">
                <a:ext uri="{FF2B5EF4-FFF2-40B4-BE49-F238E27FC236}">
                  <a16:creationId xmlns:a16="http://schemas.microsoft.com/office/drawing/2014/main" id="{8C37BA01-7F57-4ED5-BC13-7082CA4C8F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C37BA01-7F57-4ED5-BC13-7082CA4C8FB1}"/>
                        </a:ext>
                      </a:extLst>
                    </pic:cNvPr>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332889" cy="2651559"/>
                    </a:xfrm>
                    <a:prstGeom prst="rect">
                      <a:avLst/>
                    </a:prstGeom>
                  </pic:spPr>
                </pic:pic>
              </a:graphicData>
            </a:graphic>
          </wp:inline>
        </w:drawing>
      </w:r>
      <w:r w:rsidR="00CB0D2D">
        <w:rPr>
          <w:rFonts w:ascii="Arial" w:hAnsi="Arial" w:cs="Arial"/>
          <w:color w:val="0067B1"/>
        </w:rPr>
        <w:t>Prior Acts Coverage</w:t>
      </w:r>
    </w:p>
    <w:bookmarkEnd w:id="5"/>
    <w:p w14:paraId="2F3474A9" w14:textId="2822777E" w:rsidR="00CB0D2D" w:rsidRPr="004E08A3" w:rsidRDefault="00CB0D2D" w:rsidP="00AD61CE">
      <w:pPr>
        <w:pStyle w:val="ListParagraph"/>
        <w:numPr>
          <w:ilvl w:val="0"/>
          <w:numId w:val="12"/>
        </w:numPr>
        <w:spacing w:line="360" w:lineRule="auto"/>
        <w:jc w:val="both"/>
        <w:rPr>
          <w:rFonts w:ascii="Arial" w:hAnsi="Arial" w:cs="Arial"/>
        </w:rPr>
      </w:pPr>
      <w:r w:rsidRPr="004E08A3">
        <w:rPr>
          <w:rFonts w:ascii="Arial" w:hAnsi="Arial" w:cs="Arial"/>
        </w:rPr>
        <w:t xml:space="preserve">Aim to secure coverage </w:t>
      </w:r>
      <w:r w:rsidR="008F1897" w:rsidRPr="004E08A3">
        <w:rPr>
          <w:rFonts w:ascii="Arial" w:hAnsi="Arial" w:cs="Arial"/>
        </w:rPr>
        <w:t>fo</w:t>
      </w:r>
      <w:r w:rsidRPr="004E08A3">
        <w:rPr>
          <w:rFonts w:ascii="Arial" w:hAnsi="Arial" w:cs="Arial"/>
        </w:rPr>
        <w:t>r the target company in the go forward policy-</w:t>
      </w:r>
      <w:r w:rsidR="00A576AC" w:rsidRPr="004E08A3">
        <w:rPr>
          <w:rFonts w:ascii="Arial" w:hAnsi="Arial" w:cs="Arial"/>
        </w:rPr>
        <w:t>goal is to have uninterru</w:t>
      </w:r>
      <w:r w:rsidRPr="004E08A3">
        <w:rPr>
          <w:rFonts w:ascii="Arial" w:hAnsi="Arial" w:cs="Arial"/>
        </w:rPr>
        <w:t>pted coverage for public shareholder claims</w:t>
      </w:r>
      <w:r w:rsidR="00142B6D" w:rsidRPr="004E08A3">
        <w:rPr>
          <w:rFonts w:ascii="Arial" w:hAnsi="Arial" w:cs="Arial"/>
        </w:rPr>
        <w:t>.</w:t>
      </w:r>
    </w:p>
    <w:bookmarkEnd w:id="6"/>
    <w:p w14:paraId="7E3A448C" w14:textId="664C1974" w:rsidR="00CB0D2D" w:rsidRPr="004E08A3" w:rsidRDefault="00CB0D2D" w:rsidP="00AD61CE">
      <w:pPr>
        <w:pStyle w:val="ListParagraph"/>
        <w:numPr>
          <w:ilvl w:val="0"/>
          <w:numId w:val="12"/>
        </w:numPr>
        <w:spacing w:line="360" w:lineRule="auto"/>
        <w:jc w:val="both"/>
        <w:rPr>
          <w:rFonts w:ascii="Arial" w:hAnsi="Arial" w:cs="Arial"/>
        </w:rPr>
      </w:pPr>
      <w:r w:rsidRPr="004E08A3">
        <w:rPr>
          <w:rFonts w:ascii="Arial" w:hAnsi="Arial" w:cs="Arial"/>
        </w:rPr>
        <w:t>Purchase runoff coverage on private company D&amp;O program for the target company</w:t>
      </w:r>
      <w:r w:rsidR="00A576AC" w:rsidRPr="004E08A3">
        <w:rPr>
          <w:rFonts w:ascii="Arial" w:hAnsi="Arial" w:cs="Arial"/>
        </w:rPr>
        <w:t>-goal is to maintain coverage for claims that may not be covered by the go forward policy</w:t>
      </w:r>
      <w:r w:rsidR="004E08A3" w:rsidRPr="004E08A3">
        <w:rPr>
          <w:rFonts w:ascii="Arial" w:hAnsi="Arial" w:cs="Arial"/>
        </w:rPr>
        <w:t>-for example, claims brought by the SPAC against the directors and officers of the target company for misrepresentations in connection with the business combination transaction.  The go-forward de-SPAC coverage would likely exclude such a claim due to the Entity versus Insured exclusion.</w:t>
      </w:r>
    </w:p>
    <w:p w14:paraId="2D255006" w14:textId="65A04183" w:rsidR="00A576AC" w:rsidRDefault="00A576AC" w:rsidP="00AD61CE">
      <w:pPr>
        <w:pStyle w:val="ListParagraph"/>
        <w:numPr>
          <w:ilvl w:val="0"/>
          <w:numId w:val="12"/>
        </w:numPr>
        <w:spacing w:line="360" w:lineRule="auto"/>
        <w:jc w:val="both"/>
        <w:rPr>
          <w:rFonts w:ascii="Arial" w:hAnsi="Arial" w:cs="Arial"/>
        </w:rPr>
      </w:pPr>
      <w:r>
        <w:rPr>
          <w:rFonts w:ascii="Arial" w:hAnsi="Arial" w:cs="Arial"/>
        </w:rPr>
        <w:t>Coordinate the policies by aligning the “other insurance” exclusions in each policy</w:t>
      </w:r>
      <w:r w:rsidR="00142B6D">
        <w:rPr>
          <w:rFonts w:ascii="Arial" w:hAnsi="Arial" w:cs="Arial"/>
        </w:rPr>
        <w:t>.</w:t>
      </w:r>
    </w:p>
    <w:p w14:paraId="43D4874A" w14:textId="0545F762" w:rsidR="00A576AC" w:rsidRPr="00933DAC" w:rsidRDefault="00A576AC" w:rsidP="00A576AC">
      <w:pPr>
        <w:spacing w:line="360" w:lineRule="auto"/>
        <w:jc w:val="both"/>
        <w:rPr>
          <w:rFonts w:ascii="Arial" w:hAnsi="Arial" w:cs="Arial"/>
          <w:color w:val="0067B1"/>
        </w:rPr>
      </w:pPr>
      <w:r>
        <w:rPr>
          <w:rFonts w:ascii="Arial" w:hAnsi="Arial" w:cs="Arial"/>
          <w:color w:val="0067B1"/>
        </w:rPr>
        <w:t>Add additional Named Insureds to go forward policy</w:t>
      </w:r>
    </w:p>
    <w:p w14:paraId="4B56FFEB" w14:textId="4FFE2D55" w:rsidR="00A576AC" w:rsidRDefault="00A576AC" w:rsidP="00AD61CE">
      <w:pPr>
        <w:pStyle w:val="ListParagraph"/>
        <w:numPr>
          <w:ilvl w:val="0"/>
          <w:numId w:val="12"/>
        </w:numPr>
        <w:spacing w:line="360" w:lineRule="auto"/>
        <w:jc w:val="both"/>
        <w:rPr>
          <w:rFonts w:ascii="Arial" w:hAnsi="Arial" w:cs="Arial"/>
        </w:rPr>
      </w:pPr>
      <w:r>
        <w:rPr>
          <w:rFonts w:ascii="Arial" w:hAnsi="Arial" w:cs="Arial"/>
        </w:rPr>
        <w:t>Specifically add the target company as an Additional Named Insured to the go forward policy-adds certainty of prior acts coverage through the transaction changes</w:t>
      </w:r>
      <w:r w:rsidR="00142B6D">
        <w:rPr>
          <w:rFonts w:ascii="Arial" w:hAnsi="Arial" w:cs="Arial"/>
        </w:rPr>
        <w:t>.</w:t>
      </w:r>
    </w:p>
    <w:p w14:paraId="40AB9BF4" w14:textId="651E018D" w:rsidR="00A576AC" w:rsidRDefault="00A576AC" w:rsidP="00AD61CE">
      <w:pPr>
        <w:pStyle w:val="ListParagraph"/>
        <w:numPr>
          <w:ilvl w:val="0"/>
          <w:numId w:val="12"/>
        </w:numPr>
        <w:spacing w:line="360" w:lineRule="auto"/>
        <w:jc w:val="both"/>
        <w:rPr>
          <w:rFonts w:ascii="Arial" w:hAnsi="Arial" w:cs="Arial"/>
        </w:rPr>
      </w:pPr>
      <w:r>
        <w:rPr>
          <w:rFonts w:ascii="Arial" w:hAnsi="Arial" w:cs="Arial"/>
        </w:rPr>
        <w:t>Review org</w:t>
      </w:r>
      <w:r w:rsidR="004C0EBF">
        <w:rPr>
          <w:rFonts w:ascii="Arial" w:hAnsi="Arial" w:cs="Arial"/>
        </w:rPr>
        <w:t>anizational</w:t>
      </w:r>
      <w:r>
        <w:rPr>
          <w:rFonts w:ascii="Arial" w:hAnsi="Arial" w:cs="Arial"/>
        </w:rPr>
        <w:t xml:space="preserve"> charts to determine if any other entities should be </w:t>
      </w:r>
      <w:r w:rsidR="004C0EBF">
        <w:rPr>
          <w:rFonts w:ascii="Arial" w:hAnsi="Arial" w:cs="Arial"/>
        </w:rPr>
        <w:t xml:space="preserve">specifically </w:t>
      </w:r>
      <w:r>
        <w:rPr>
          <w:rFonts w:ascii="Arial" w:hAnsi="Arial" w:cs="Arial"/>
        </w:rPr>
        <w:t>added</w:t>
      </w:r>
      <w:r w:rsidR="00142B6D">
        <w:rPr>
          <w:rFonts w:ascii="Arial" w:hAnsi="Arial" w:cs="Arial"/>
        </w:rPr>
        <w:t>.</w:t>
      </w:r>
    </w:p>
    <w:p w14:paraId="6AA4C578" w14:textId="32BB9EAE" w:rsidR="00C5418E" w:rsidRDefault="00C5418E">
      <w:pPr>
        <w:rPr>
          <w:rFonts w:ascii="Arial" w:hAnsi="Arial" w:cs="Arial"/>
        </w:rPr>
      </w:pPr>
      <w:r>
        <w:rPr>
          <w:rFonts w:ascii="Arial" w:hAnsi="Arial" w:cs="Arial"/>
        </w:rPr>
        <w:br w:type="page"/>
      </w:r>
    </w:p>
    <w:p w14:paraId="5C9DA3FB" w14:textId="0E63947E" w:rsidR="00A576AC" w:rsidRPr="00933DAC" w:rsidRDefault="00A576AC" w:rsidP="00A576AC">
      <w:pPr>
        <w:spacing w:line="360" w:lineRule="auto"/>
        <w:jc w:val="both"/>
        <w:rPr>
          <w:rFonts w:ascii="Arial" w:hAnsi="Arial" w:cs="Arial"/>
          <w:color w:val="0067B1"/>
        </w:rPr>
      </w:pPr>
      <w:r>
        <w:rPr>
          <w:rFonts w:ascii="Arial" w:hAnsi="Arial" w:cs="Arial"/>
          <w:color w:val="0067B1"/>
        </w:rPr>
        <w:lastRenderedPageBreak/>
        <w:t>Obtain “Straddle” language and “Successor in Interest” (SII) language in SPAC runoff policy and “Straddle” language in the go forward policy</w:t>
      </w:r>
    </w:p>
    <w:p w14:paraId="26A8B225" w14:textId="0F2E71A3" w:rsidR="00A576AC" w:rsidRDefault="00A576AC" w:rsidP="00AD61CE">
      <w:pPr>
        <w:pStyle w:val="ListParagraph"/>
        <w:numPr>
          <w:ilvl w:val="0"/>
          <w:numId w:val="12"/>
        </w:numPr>
        <w:spacing w:line="360" w:lineRule="auto"/>
        <w:jc w:val="both"/>
        <w:rPr>
          <w:rFonts w:ascii="Arial" w:hAnsi="Arial" w:cs="Arial"/>
        </w:rPr>
      </w:pPr>
      <w:r>
        <w:rPr>
          <w:rFonts w:ascii="Arial" w:hAnsi="Arial" w:cs="Arial"/>
        </w:rPr>
        <w:t xml:space="preserve">Straddle language </w:t>
      </w:r>
      <w:r w:rsidR="00142B6D">
        <w:rPr>
          <w:rFonts w:ascii="Arial" w:hAnsi="Arial" w:cs="Arial"/>
        </w:rPr>
        <w:t>h</w:t>
      </w:r>
      <w:r>
        <w:rPr>
          <w:rFonts w:ascii="Arial" w:hAnsi="Arial" w:cs="Arial"/>
        </w:rPr>
        <w:t>elps to ensure claims that name both the go forward company and the SPAC and its insured persons are properly covered and don’t fall into a gap between two policies</w:t>
      </w:r>
      <w:r w:rsidR="00142B6D">
        <w:rPr>
          <w:rFonts w:ascii="Arial" w:hAnsi="Arial" w:cs="Arial"/>
        </w:rPr>
        <w:t>.</w:t>
      </w:r>
    </w:p>
    <w:p w14:paraId="5B870281" w14:textId="6C403627" w:rsidR="00A576AC" w:rsidRPr="00023DF1" w:rsidRDefault="00A576AC" w:rsidP="00AD61CE">
      <w:pPr>
        <w:pStyle w:val="ListParagraph"/>
        <w:numPr>
          <w:ilvl w:val="0"/>
          <w:numId w:val="12"/>
        </w:numPr>
        <w:spacing w:line="360" w:lineRule="auto"/>
        <w:jc w:val="both"/>
        <w:rPr>
          <w:rFonts w:ascii="Arial" w:hAnsi="Arial" w:cs="Arial"/>
        </w:rPr>
      </w:pPr>
      <w:r w:rsidRPr="00023DF1">
        <w:rPr>
          <w:rFonts w:ascii="Arial" w:hAnsi="Arial" w:cs="Arial"/>
        </w:rPr>
        <w:t xml:space="preserve">SII language </w:t>
      </w:r>
      <w:r w:rsidR="00AD4310" w:rsidRPr="00023DF1">
        <w:rPr>
          <w:rFonts w:ascii="Arial" w:hAnsi="Arial" w:cs="Arial"/>
        </w:rPr>
        <w:t>covers</w:t>
      </w:r>
      <w:r w:rsidRPr="00023DF1">
        <w:rPr>
          <w:rFonts w:ascii="Arial" w:hAnsi="Arial" w:cs="Arial"/>
        </w:rPr>
        <w:t xml:space="preserve"> the go forward company for its liability arising from the pr</w:t>
      </w:r>
      <w:r w:rsidR="00FE6CEE" w:rsidRPr="00023DF1">
        <w:rPr>
          <w:rFonts w:ascii="Arial" w:hAnsi="Arial" w:cs="Arial"/>
        </w:rPr>
        <w:t>e</w:t>
      </w:r>
      <w:r w:rsidRPr="00023DF1">
        <w:rPr>
          <w:rFonts w:ascii="Arial" w:hAnsi="Arial" w:cs="Arial"/>
        </w:rPr>
        <w:t xml:space="preserve">-transaction actions of the SPAC </w:t>
      </w:r>
      <w:r w:rsidR="00023DF1" w:rsidRPr="00023DF1">
        <w:rPr>
          <w:rFonts w:ascii="Arial" w:hAnsi="Arial" w:cs="Arial"/>
        </w:rPr>
        <w:t xml:space="preserve">and its </w:t>
      </w:r>
      <w:r w:rsidRPr="00023DF1">
        <w:rPr>
          <w:rFonts w:ascii="Arial" w:hAnsi="Arial" w:cs="Arial"/>
        </w:rPr>
        <w:t>insured persons</w:t>
      </w:r>
      <w:r w:rsidR="00142B6D">
        <w:rPr>
          <w:rFonts w:ascii="Arial" w:hAnsi="Arial" w:cs="Arial"/>
        </w:rPr>
        <w:t>.</w:t>
      </w:r>
    </w:p>
    <w:p w14:paraId="0CD76394" w14:textId="077C7E30" w:rsidR="00A576AC" w:rsidRPr="00933DAC" w:rsidRDefault="00A576AC" w:rsidP="00A576AC">
      <w:pPr>
        <w:spacing w:line="360" w:lineRule="auto"/>
        <w:jc w:val="both"/>
        <w:rPr>
          <w:rFonts w:ascii="Arial" w:hAnsi="Arial" w:cs="Arial"/>
          <w:color w:val="0067B1"/>
        </w:rPr>
      </w:pPr>
      <w:r>
        <w:rPr>
          <w:rFonts w:ascii="Arial" w:hAnsi="Arial" w:cs="Arial"/>
          <w:color w:val="0067B1"/>
        </w:rPr>
        <w:t>General D&amp;O Policy Improvements</w:t>
      </w:r>
    </w:p>
    <w:p w14:paraId="3E13E548" w14:textId="0FC2DF09" w:rsidR="00A576AC" w:rsidRDefault="00A576AC" w:rsidP="00AD61CE">
      <w:pPr>
        <w:pStyle w:val="ListParagraph"/>
        <w:numPr>
          <w:ilvl w:val="0"/>
          <w:numId w:val="12"/>
        </w:numPr>
        <w:spacing w:line="360" w:lineRule="auto"/>
        <w:jc w:val="both"/>
        <w:rPr>
          <w:rFonts w:ascii="Arial" w:hAnsi="Arial" w:cs="Arial"/>
        </w:rPr>
      </w:pPr>
      <w:r>
        <w:rPr>
          <w:rFonts w:ascii="Arial" w:hAnsi="Arial" w:cs="Arial"/>
        </w:rPr>
        <w:t>All of the traditional coverage enhancements remain important including application severability, the personal misconduct exclusions, breadth of the definitions of Claim, Loss and Wrongful Act, etc.</w:t>
      </w:r>
    </w:p>
    <w:p w14:paraId="261501B9" w14:textId="51909D14" w:rsidR="00CB0D2D" w:rsidRDefault="00CB0D2D" w:rsidP="00E40106">
      <w:pPr>
        <w:pStyle w:val="OBISChapterTitle"/>
        <w:rPr>
          <w:b w:val="0"/>
          <w:bCs/>
          <w:smallCaps w:val="0"/>
          <w:color w:val="0067B1"/>
          <w:kern w:val="22"/>
        </w:rPr>
      </w:pPr>
      <w:r>
        <w:rPr>
          <w:bCs/>
          <w:color w:val="0067B1"/>
          <w:kern w:val="22"/>
        </w:rPr>
        <w:br w:type="page"/>
      </w:r>
    </w:p>
    <w:p w14:paraId="74DA610D" w14:textId="77B470F0" w:rsidR="00B46B85" w:rsidRDefault="00B46B85" w:rsidP="00B46B85">
      <w:pPr>
        <w:pStyle w:val="OBISChapterTitle"/>
        <w:rPr>
          <w:bCs/>
          <w:iCs w:val="0"/>
          <w:color w:val="0067B1"/>
          <w:kern w:val="22"/>
        </w:rPr>
      </w:pPr>
      <w:r>
        <w:rPr>
          <w:bCs/>
          <w:iCs w:val="0"/>
          <w:color w:val="0067B1"/>
          <w:kern w:val="22"/>
        </w:rPr>
        <w:lastRenderedPageBreak/>
        <w:t>V</w:t>
      </w:r>
      <w:r w:rsidR="00E24567">
        <w:rPr>
          <w:bCs/>
          <w:iCs w:val="0"/>
          <w:color w:val="0067B1"/>
          <w:kern w:val="22"/>
        </w:rPr>
        <w:t>I</w:t>
      </w:r>
      <w:r>
        <w:rPr>
          <w:bCs/>
          <w:iCs w:val="0"/>
          <w:color w:val="0067B1"/>
          <w:kern w:val="22"/>
        </w:rPr>
        <w:t>. Placement Strategy</w:t>
      </w:r>
      <w:r w:rsidR="0060205A">
        <w:rPr>
          <w:bCs/>
          <w:iCs w:val="0"/>
          <w:color w:val="0067B1"/>
          <w:kern w:val="22"/>
        </w:rPr>
        <w:t xml:space="preserve"> </w:t>
      </w:r>
    </w:p>
    <w:p w14:paraId="78CA23EF" w14:textId="77777777" w:rsidR="00B46B85" w:rsidRDefault="00B46B85" w:rsidP="00B46B85">
      <w:pPr>
        <w:spacing w:after="120" w:line="360" w:lineRule="auto"/>
        <w:jc w:val="both"/>
        <w:rPr>
          <w:rFonts w:ascii="Arial" w:hAnsi="Arial"/>
        </w:rPr>
      </w:pPr>
      <w:r>
        <w:rPr>
          <w:noProof/>
        </w:rPr>
        <w:drawing>
          <wp:anchor distT="0" distB="0" distL="114300" distR="114300" simplePos="0" relativeHeight="251741184" behindDoc="1" locked="0" layoutInCell="1" allowOverlap="1" wp14:anchorId="57F4F33B" wp14:editId="6B240F20">
            <wp:simplePos x="0" y="0"/>
            <wp:positionH relativeFrom="margin">
              <wp:posOffset>-57150</wp:posOffset>
            </wp:positionH>
            <wp:positionV relativeFrom="margin">
              <wp:posOffset>300990</wp:posOffset>
            </wp:positionV>
            <wp:extent cx="1162685" cy="742950"/>
            <wp:effectExtent l="0" t="0" r="0" b="0"/>
            <wp:wrapTight wrapText="bothSides">
              <wp:wrapPolygon edited="0">
                <wp:start x="0" y="0"/>
                <wp:lineTo x="0" y="21046"/>
                <wp:lineTo x="21234" y="21046"/>
                <wp:lineTo x="21234" y="0"/>
                <wp:lineTo x="0" y="0"/>
              </wp:wrapPolygon>
            </wp:wrapTight>
            <wp:docPr id="65" name="Picture 65" descr="\\ctstore01\documents\jfagan\My Pictures\RT LOgos 2\BRIDG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tstore01\documents\jfagan\My Pictures\RT LOgos 2\BRIDGErt.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62685"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rPr>
        <w:t xml:space="preserve">We typically approach all of the carriers that are active in the public company D&amp;O marketplace in order to provide you with a comprehensive evaluation of your company from an underwriting perspective.  </w:t>
      </w:r>
      <w:r>
        <w:rPr>
          <w:rFonts w:ascii="Arial" w:hAnsi="Arial"/>
          <w:noProof/>
        </w:rPr>
        <w:t>There are</w:t>
      </w:r>
      <w:r>
        <w:rPr>
          <w:rFonts w:ascii="Arial" w:hAnsi="Arial"/>
        </w:rPr>
        <w:t xml:space="preserve"> four key areas that we target during the marketing process; while each is individually important, finding a carrier that can help us to meet all of these objectives on your behalf is our ultimate goal.  </w:t>
      </w:r>
    </w:p>
    <w:p w14:paraId="7DD17D88" w14:textId="77777777" w:rsidR="00B46B85" w:rsidRDefault="00B46B85" w:rsidP="00B46B85">
      <w:pPr>
        <w:spacing w:after="0" w:line="360" w:lineRule="auto"/>
        <w:jc w:val="both"/>
        <w:rPr>
          <w:rFonts w:ascii="Arial" w:hAnsi="Arial"/>
        </w:rPr>
      </w:pPr>
    </w:p>
    <w:p w14:paraId="68C9D865" w14:textId="77777777" w:rsidR="00B46B85" w:rsidRPr="003C476D" w:rsidRDefault="00B46B85" w:rsidP="006558D1">
      <w:pPr>
        <w:numPr>
          <w:ilvl w:val="0"/>
          <w:numId w:val="11"/>
        </w:numPr>
        <w:spacing w:after="240" w:line="360" w:lineRule="auto"/>
        <w:jc w:val="both"/>
        <w:rPr>
          <w:rFonts w:ascii="Arial" w:hAnsi="Arial"/>
          <w:bCs/>
        </w:rPr>
      </w:pPr>
      <w:r>
        <w:rPr>
          <w:rStyle w:val="OBISChapterTitleChar"/>
          <w:rFonts w:eastAsiaTheme="minorHAnsi"/>
          <w:bCs/>
          <w:iCs w:val="0"/>
          <w:color w:val="0067B1"/>
          <w:kern w:val="22"/>
          <w:sz w:val="24"/>
          <w:szCs w:val="24"/>
        </w:rPr>
        <w:t>Breadth of Coverage</w:t>
      </w:r>
      <w:r>
        <w:rPr>
          <w:rFonts w:ascii="Arial" w:hAnsi="Arial"/>
          <w:smallCaps/>
          <w:color w:val="0067B1"/>
        </w:rPr>
        <w:t xml:space="preserve">   </w:t>
      </w:r>
      <w:r>
        <w:rPr>
          <w:rFonts w:ascii="Arial" w:hAnsi="Arial"/>
        </w:rPr>
        <w:t>Continually re-evaluate the terms and conditions of the policy forms and coverage enhancement endorsements offered by the various carriers in the marketplace in order to ensure that you benefit from the broadest, most cutting edge coverage available.</w:t>
      </w:r>
    </w:p>
    <w:p w14:paraId="227F7CA0" w14:textId="77777777" w:rsidR="00B46B85" w:rsidRPr="003C476D" w:rsidRDefault="00B46B85" w:rsidP="006558D1">
      <w:pPr>
        <w:numPr>
          <w:ilvl w:val="0"/>
          <w:numId w:val="11"/>
        </w:numPr>
        <w:spacing w:after="240" w:line="360" w:lineRule="auto"/>
        <w:jc w:val="both"/>
        <w:rPr>
          <w:rFonts w:ascii="Arial" w:hAnsi="Arial"/>
          <w:bCs/>
        </w:rPr>
      </w:pPr>
      <w:r w:rsidRPr="00A01159">
        <w:rPr>
          <w:rStyle w:val="OBISChapterTitleChar"/>
          <w:rFonts w:eastAsiaTheme="minorHAnsi"/>
          <w:bCs/>
          <w:iCs w:val="0"/>
          <w:color w:val="0067B1"/>
          <w:kern w:val="22"/>
          <w:sz w:val="24"/>
          <w:szCs w:val="24"/>
        </w:rPr>
        <w:t>Insurer Quality</w:t>
      </w:r>
      <w:r w:rsidRPr="00A01159">
        <w:rPr>
          <w:rFonts w:ascii="Arial" w:hAnsi="Arial"/>
          <w:smallCaps/>
          <w:color w:val="0067B1"/>
        </w:rPr>
        <w:t xml:space="preserve">   </w:t>
      </w:r>
      <w:r w:rsidRPr="00E50D14">
        <w:rPr>
          <w:rFonts w:ascii="Arial" w:hAnsi="Arial"/>
        </w:rPr>
        <w:t xml:space="preserve">Confirm that the carriers remain committed </w:t>
      </w:r>
      <w:r w:rsidR="00365DBB">
        <w:rPr>
          <w:rFonts w:ascii="Arial" w:hAnsi="Arial"/>
        </w:rPr>
        <w:t xml:space="preserve">to </w:t>
      </w:r>
      <w:r w:rsidRPr="00E50D14">
        <w:rPr>
          <w:rFonts w:ascii="Arial" w:hAnsi="Arial"/>
        </w:rPr>
        <w:t xml:space="preserve">the D&amp;O product line, continue to exhibit a consistent approach to </w:t>
      </w:r>
      <w:r w:rsidR="00365DBB">
        <w:rPr>
          <w:rFonts w:ascii="Arial" w:hAnsi="Arial"/>
        </w:rPr>
        <w:t xml:space="preserve">their </w:t>
      </w:r>
      <w:r w:rsidRPr="00E50D14">
        <w:rPr>
          <w:rFonts w:ascii="Arial" w:hAnsi="Arial"/>
        </w:rPr>
        <w:t>renewals and have a healthy financial condition and a solid claims-paying reputation.</w:t>
      </w:r>
    </w:p>
    <w:p w14:paraId="0FDCC91D" w14:textId="77777777" w:rsidR="00B46B85" w:rsidRPr="003C476D" w:rsidRDefault="00B46B85" w:rsidP="006558D1">
      <w:pPr>
        <w:numPr>
          <w:ilvl w:val="0"/>
          <w:numId w:val="11"/>
        </w:numPr>
        <w:spacing w:after="240" w:line="360" w:lineRule="auto"/>
        <w:jc w:val="both"/>
        <w:rPr>
          <w:rFonts w:ascii="Arial" w:hAnsi="Arial"/>
          <w:bCs/>
        </w:rPr>
      </w:pPr>
      <w:r w:rsidRPr="00A01159">
        <w:rPr>
          <w:rStyle w:val="OBISChapterTitleChar"/>
          <w:rFonts w:eastAsiaTheme="minorHAnsi"/>
          <w:bCs/>
          <w:iCs w:val="0"/>
          <w:color w:val="0067B1"/>
          <w:kern w:val="22"/>
          <w:sz w:val="24"/>
          <w:szCs w:val="24"/>
        </w:rPr>
        <w:t>Structure of D&amp;O Program / Limit Selection</w:t>
      </w:r>
      <w:r w:rsidRPr="00A01159">
        <w:rPr>
          <w:rFonts w:ascii="Arial" w:hAnsi="Arial"/>
          <w:smallCaps/>
          <w:color w:val="0067B1"/>
        </w:rPr>
        <w:t xml:space="preserve">  </w:t>
      </w:r>
      <w:r>
        <w:rPr>
          <w:rFonts w:ascii="Arial" w:hAnsi="Arial"/>
          <w:smallCaps/>
          <w:color w:val="0067B1"/>
        </w:rPr>
        <w:t xml:space="preserve"> </w:t>
      </w:r>
      <w:r w:rsidRPr="00A01159">
        <w:rPr>
          <w:rFonts w:ascii="Arial" w:hAnsi="Arial"/>
          <w:smallCaps/>
          <w:color w:val="0067B1"/>
        </w:rPr>
        <w:t xml:space="preserve"> </w:t>
      </w:r>
      <w:r>
        <w:rPr>
          <w:rFonts w:ascii="Arial" w:hAnsi="Arial"/>
        </w:rPr>
        <w:t>Discuss</w:t>
      </w:r>
      <w:r w:rsidRPr="00E50D14">
        <w:rPr>
          <w:rFonts w:ascii="Arial" w:hAnsi="Arial"/>
        </w:rPr>
        <w:t xml:space="preserve"> the structure of your D&amp;O program, measuring the balance between protecting the personal assets of the directors and officers and the balance sheet of the corporate entity.  Given the fact that the materially broader terms and conditions will cause these policies to cover more than they ever have in the past, we must also be sure that the limit of liability remains appropriate.</w:t>
      </w:r>
    </w:p>
    <w:p w14:paraId="241C1FD9" w14:textId="77777777" w:rsidR="00B46B85" w:rsidRPr="003C476D" w:rsidRDefault="00B46B85" w:rsidP="006558D1">
      <w:pPr>
        <w:numPr>
          <w:ilvl w:val="0"/>
          <w:numId w:val="11"/>
        </w:numPr>
        <w:spacing w:after="240" w:line="360" w:lineRule="auto"/>
        <w:jc w:val="both"/>
        <w:rPr>
          <w:rFonts w:ascii="Arial" w:hAnsi="Arial"/>
          <w:bCs/>
        </w:rPr>
      </w:pPr>
      <w:r>
        <w:rPr>
          <w:rStyle w:val="OBISChapterTitleChar"/>
          <w:rFonts w:eastAsiaTheme="minorHAnsi"/>
          <w:bCs/>
          <w:iCs w:val="0"/>
          <w:color w:val="0067B1"/>
          <w:kern w:val="22"/>
          <w:sz w:val="24"/>
          <w:szCs w:val="24"/>
        </w:rPr>
        <w:t xml:space="preserve">Competitive </w:t>
      </w:r>
      <w:r w:rsidRPr="00A01159">
        <w:rPr>
          <w:rStyle w:val="OBISChapterTitleChar"/>
          <w:rFonts w:eastAsiaTheme="minorHAnsi"/>
          <w:bCs/>
          <w:iCs w:val="0"/>
          <w:color w:val="0067B1"/>
          <w:kern w:val="22"/>
          <w:sz w:val="24"/>
          <w:szCs w:val="24"/>
        </w:rPr>
        <w:t>Pr</w:t>
      </w:r>
      <w:r>
        <w:rPr>
          <w:rStyle w:val="OBISChapterTitleChar"/>
          <w:rFonts w:eastAsiaTheme="minorHAnsi"/>
          <w:bCs/>
          <w:iCs w:val="0"/>
          <w:color w:val="0067B1"/>
          <w:kern w:val="22"/>
          <w:sz w:val="24"/>
          <w:szCs w:val="24"/>
        </w:rPr>
        <w:t>icing</w:t>
      </w:r>
      <w:r w:rsidRPr="00A01159">
        <w:rPr>
          <w:rFonts w:ascii="Arial" w:hAnsi="Arial"/>
          <w:smallCaps/>
          <w:color w:val="0067B1"/>
        </w:rPr>
        <w:t xml:space="preserve"> </w:t>
      </w:r>
      <w:r>
        <w:rPr>
          <w:rFonts w:ascii="Arial" w:hAnsi="Arial"/>
          <w:smallCaps/>
        </w:rPr>
        <w:t xml:space="preserve">  </w:t>
      </w:r>
      <w:r w:rsidRPr="00E50D14">
        <w:rPr>
          <w:rFonts w:ascii="Arial" w:hAnsi="Arial"/>
        </w:rPr>
        <w:t>Ensure that we secure the best possible premium while not s</w:t>
      </w:r>
      <w:r>
        <w:rPr>
          <w:rFonts w:ascii="Arial" w:hAnsi="Arial"/>
        </w:rPr>
        <w:t>acrificing quality of coverage.</w:t>
      </w:r>
      <w:r w:rsidR="00413FE1">
        <w:rPr>
          <w:rFonts w:ascii="Arial" w:hAnsi="Arial"/>
        </w:rPr>
        <w:t xml:space="preserve">  In addition to using the power of the marketplace to drive the best available premiums, we also draw upon our extensive underwriting experience to pre-underwrite your risk prior to submitting your information to the insurers.  This allows us to identify your heightened risks and work with you to proactively develop </w:t>
      </w:r>
      <w:r w:rsidR="00553A4E">
        <w:rPr>
          <w:rFonts w:ascii="Arial" w:hAnsi="Arial"/>
        </w:rPr>
        <w:t xml:space="preserve">compelling explanations prior to discussions with the underwriters.  </w:t>
      </w:r>
    </w:p>
    <w:p w14:paraId="65FE9827" w14:textId="77777777" w:rsidR="00B46B85" w:rsidRDefault="00B46B85">
      <w:pPr>
        <w:rPr>
          <w:rFonts w:ascii="Arial" w:eastAsia="Times New Roman" w:hAnsi="Arial" w:cs="Arial"/>
          <w:b/>
          <w:smallCaps/>
          <w:color w:val="0067B1"/>
          <w:sz w:val="28"/>
          <w:szCs w:val="28"/>
        </w:rPr>
      </w:pPr>
      <w:r>
        <w:rPr>
          <w:rFonts w:ascii="Arial" w:eastAsia="Times New Roman" w:hAnsi="Arial" w:cs="Arial"/>
          <w:b/>
          <w:smallCaps/>
          <w:color w:val="0067B1"/>
          <w:sz w:val="28"/>
          <w:szCs w:val="28"/>
        </w:rPr>
        <w:br w:type="page"/>
      </w:r>
    </w:p>
    <w:p w14:paraId="43F3686B" w14:textId="3694FDCD" w:rsidR="00602FD5" w:rsidRPr="008B27AB" w:rsidRDefault="00602FD5" w:rsidP="001801F0">
      <w:pPr>
        <w:spacing w:after="0" w:line="240" w:lineRule="auto"/>
        <w:ind w:left="1440"/>
        <w:rPr>
          <w:rFonts w:ascii="Arial" w:eastAsia="Times New Roman" w:hAnsi="Arial" w:cs="Arial"/>
          <w:sz w:val="24"/>
          <w:szCs w:val="24"/>
        </w:rPr>
      </w:pPr>
    </w:p>
    <w:p w14:paraId="643F796C" w14:textId="7B4E26D8" w:rsidR="00386D0E" w:rsidRPr="001302F9" w:rsidRDefault="00386D0E" w:rsidP="00386D0E">
      <w:pPr>
        <w:spacing w:after="0" w:line="360" w:lineRule="auto"/>
        <w:jc w:val="both"/>
        <w:rPr>
          <w:rFonts w:ascii="Arial" w:eastAsia="Times New Roman" w:hAnsi="Arial" w:cs="Times New Roman"/>
          <w:color w:val="0067B1"/>
          <w:sz w:val="24"/>
          <w:szCs w:val="24"/>
        </w:rPr>
      </w:pPr>
      <w:r>
        <w:rPr>
          <w:rFonts w:ascii="Arial" w:eastAsia="Times New Roman" w:hAnsi="Arial" w:cs="Times New Roman"/>
          <w:i/>
          <w:color w:val="0067B1"/>
          <w:sz w:val="24"/>
          <w:szCs w:val="24"/>
        </w:rPr>
        <w:t>De-SPAC</w:t>
      </w:r>
      <w:r w:rsidRPr="001302F9">
        <w:rPr>
          <w:rFonts w:ascii="Arial" w:eastAsia="Times New Roman" w:hAnsi="Arial" w:cs="Times New Roman"/>
          <w:i/>
          <w:color w:val="0067B1"/>
          <w:sz w:val="24"/>
          <w:szCs w:val="24"/>
        </w:rPr>
        <w:t xml:space="preserve"> Timeline</w:t>
      </w:r>
      <w:r w:rsidR="00D32EA6">
        <w:rPr>
          <w:rFonts w:ascii="Arial" w:eastAsia="Times New Roman" w:hAnsi="Arial" w:cs="Times New Roman"/>
          <w:i/>
          <w:color w:val="0067B1"/>
          <w:sz w:val="24"/>
          <w:szCs w:val="24"/>
        </w:rPr>
        <w:t xml:space="preserve"> versus a traditional IPO</w:t>
      </w:r>
    </w:p>
    <w:p w14:paraId="6BF9AC6E" w14:textId="64BAA341" w:rsidR="00717562" w:rsidRDefault="006052C7" w:rsidP="00CD4F8B">
      <w:pPr>
        <w:spacing w:after="0" w:line="240" w:lineRule="auto"/>
        <w:jc w:val="both"/>
        <w:rPr>
          <w:rFonts w:ascii="Arial" w:eastAsia="Times New Roman" w:hAnsi="Arial" w:cs="Times New Roman"/>
          <w:b/>
          <w:color w:val="0067B1"/>
          <w:sz w:val="28"/>
          <w:szCs w:val="28"/>
        </w:rPr>
      </w:pPr>
      <w:r>
        <w:rPr>
          <w:rFonts w:ascii="Arial" w:eastAsia="Times New Roman" w:hAnsi="Arial" w:cs="Times New Roman"/>
          <w:b/>
          <w:noProof/>
          <w:color w:val="0067B1"/>
          <w:sz w:val="28"/>
          <w:szCs w:val="28"/>
        </w:rPr>
        <w:drawing>
          <wp:inline distT="0" distB="0" distL="0" distR="0" wp14:anchorId="67B86C31" wp14:editId="0FCAE128">
            <wp:extent cx="6191250" cy="391541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3129" r="3856"/>
                    <a:stretch/>
                  </pic:blipFill>
                  <pic:spPr bwMode="auto">
                    <a:xfrm>
                      <a:off x="0" y="0"/>
                      <a:ext cx="6206196" cy="3924862"/>
                    </a:xfrm>
                    <a:prstGeom prst="rect">
                      <a:avLst/>
                    </a:prstGeom>
                    <a:noFill/>
                    <a:ln>
                      <a:noFill/>
                    </a:ln>
                    <a:extLst>
                      <a:ext uri="{53640926-AAD7-44D8-BBD7-CCE9431645EC}">
                        <a14:shadowObscured xmlns:a14="http://schemas.microsoft.com/office/drawing/2010/main"/>
                      </a:ext>
                    </a:extLst>
                  </pic:spPr>
                </pic:pic>
              </a:graphicData>
            </a:graphic>
          </wp:inline>
        </w:drawing>
      </w:r>
    </w:p>
    <w:p w14:paraId="6C8030F8" w14:textId="329ED882" w:rsidR="00386D0E" w:rsidRPr="00D32EA6" w:rsidRDefault="00D32EA6" w:rsidP="00CD4F8B">
      <w:pPr>
        <w:spacing w:after="0" w:line="240" w:lineRule="auto"/>
        <w:jc w:val="both"/>
        <w:rPr>
          <w:rFonts w:ascii="Arial" w:eastAsia="Times New Roman" w:hAnsi="Arial" w:cs="Times New Roman"/>
          <w:bCs/>
          <w:i/>
          <w:iCs/>
          <w:sz w:val="20"/>
          <w:szCs w:val="20"/>
        </w:rPr>
      </w:pPr>
      <w:r w:rsidRPr="00D32EA6">
        <w:rPr>
          <w:rFonts w:ascii="Arial" w:eastAsia="Times New Roman" w:hAnsi="Arial" w:cs="Times New Roman"/>
          <w:bCs/>
          <w:i/>
          <w:iCs/>
          <w:sz w:val="20"/>
          <w:szCs w:val="20"/>
        </w:rPr>
        <w:t>Source: Mayer Brown</w:t>
      </w:r>
    </w:p>
    <w:p w14:paraId="12E4C07B" w14:textId="77777777" w:rsidR="00D32EA6" w:rsidRPr="00D32EA6" w:rsidRDefault="00D32EA6" w:rsidP="00CD4F8B">
      <w:pPr>
        <w:spacing w:after="0" w:line="240" w:lineRule="auto"/>
        <w:jc w:val="both"/>
        <w:rPr>
          <w:rFonts w:ascii="Arial" w:eastAsia="Times New Roman" w:hAnsi="Arial" w:cs="Times New Roman"/>
          <w:bCs/>
          <w:i/>
          <w:iCs/>
          <w:color w:val="0067B1"/>
          <w:sz w:val="20"/>
          <w:szCs w:val="20"/>
        </w:rPr>
      </w:pPr>
    </w:p>
    <w:p w14:paraId="25C4BAFE" w14:textId="77777777" w:rsidR="00DD49CC" w:rsidRDefault="00DD49CC" w:rsidP="00CD4F8B">
      <w:pPr>
        <w:spacing w:after="0" w:line="240" w:lineRule="auto"/>
        <w:jc w:val="both"/>
        <w:rPr>
          <w:rFonts w:ascii="Arial" w:eastAsia="Times New Roman" w:hAnsi="Arial" w:cs="Times New Roman"/>
          <w:b/>
          <w:color w:val="0067B1"/>
          <w:sz w:val="24"/>
          <w:szCs w:val="24"/>
        </w:rPr>
      </w:pPr>
    </w:p>
    <w:p w14:paraId="1E7A71AF" w14:textId="631B34C8" w:rsidR="00386D0E" w:rsidRDefault="00386D0E" w:rsidP="00CD4F8B">
      <w:pPr>
        <w:spacing w:after="0" w:line="240" w:lineRule="auto"/>
        <w:jc w:val="both"/>
        <w:rPr>
          <w:rFonts w:ascii="Arial" w:eastAsia="Times New Roman" w:hAnsi="Arial" w:cs="Times New Roman"/>
          <w:b/>
          <w:color w:val="0067B1"/>
          <w:sz w:val="24"/>
          <w:szCs w:val="24"/>
        </w:rPr>
      </w:pPr>
      <w:r>
        <w:rPr>
          <w:rFonts w:ascii="Arial" w:eastAsia="Times New Roman" w:hAnsi="Arial" w:cs="Times New Roman"/>
          <w:b/>
          <w:color w:val="0067B1"/>
          <w:sz w:val="24"/>
          <w:szCs w:val="24"/>
        </w:rPr>
        <w:t>De-SPAC Facts</w:t>
      </w:r>
    </w:p>
    <w:p w14:paraId="661546AC" w14:textId="77777777" w:rsidR="00386D0E" w:rsidRDefault="00386D0E" w:rsidP="00CD4F8B">
      <w:pPr>
        <w:spacing w:after="0" w:line="240" w:lineRule="auto"/>
        <w:jc w:val="both"/>
        <w:rPr>
          <w:rFonts w:ascii="Arial" w:eastAsia="Times New Roman" w:hAnsi="Arial" w:cs="Times New Roman"/>
          <w:b/>
          <w:color w:val="0067B1"/>
          <w:sz w:val="24"/>
          <w:szCs w:val="24"/>
        </w:rPr>
      </w:pPr>
    </w:p>
    <w:p w14:paraId="4EEE3824" w14:textId="766A75EB" w:rsidR="00386D0E" w:rsidRPr="00D32EA6" w:rsidRDefault="00386D0E" w:rsidP="00CD4F8B">
      <w:pPr>
        <w:spacing w:after="0" w:line="240" w:lineRule="auto"/>
        <w:jc w:val="both"/>
        <w:rPr>
          <w:rFonts w:ascii="Arial" w:eastAsia="Times New Roman" w:hAnsi="Arial" w:cs="Times New Roman"/>
          <w:bCs/>
          <w:color w:val="0067B1"/>
        </w:rPr>
      </w:pPr>
      <w:r w:rsidRPr="00D32EA6">
        <w:rPr>
          <w:rFonts w:ascii="Arial" w:eastAsia="Times New Roman" w:hAnsi="Arial" w:cs="Times New Roman"/>
          <w:bCs/>
          <w:color w:val="0067B1"/>
        </w:rPr>
        <w:t xml:space="preserve">For the 60 de-SPAC transactions closed in 2020, the average filing was 3.5 weeks after deal signing. </w:t>
      </w:r>
      <w:r w:rsidR="00142B6D">
        <w:rPr>
          <w:rFonts w:ascii="Arial" w:eastAsia="Times New Roman" w:hAnsi="Arial" w:cs="Times New Roman"/>
          <w:bCs/>
          <w:color w:val="0067B1"/>
        </w:rPr>
        <w:t xml:space="preserve"> </w:t>
      </w:r>
      <w:r w:rsidRPr="00D32EA6">
        <w:rPr>
          <w:rFonts w:ascii="Arial" w:eastAsia="Times New Roman" w:hAnsi="Arial" w:cs="Times New Roman"/>
          <w:bCs/>
          <w:color w:val="0067B1"/>
        </w:rPr>
        <w:t xml:space="preserve">The shortest was 5 days. </w:t>
      </w:r>
    </w:p>
    <w:p w14:paraId="4521C11F" w14:textId="77777777" w:rsidR="00386D0E" w:rsidRPr="00D32EA6" w:rsidRDefault="00386D0E" w:rsidP="00CD4F8B">
      <w:pPr>
        <w:spacing w:after="0" w:line="240" w:lineRule="auto"/>
        <w:jc w:val="both"/>
        <w:rPr>
          <w:rFonts w:ascii="Arial" w:eastAsia="Times New Roman" w:hAnsi="Arial" w:cs="Times New Roman"/>
          <w:bCs/>
          <w:color w:val="0067B1"/>
        </w:rPr>
      </w:pPr>
    </w:p>
    <w:p w14:paraId="41876D51" w14:textId="2EE2D371" w:rsidR="00386D0E" w:rsidRPr="00D32EA6" w:rsidRDefault="00386D0E" w:rsidP="00CD4F8B">
      <w:pPr>
        <w:spacing w:after="0" w:line="240" w:lineRule="auto"/>
        <w:jc w:val="both"/>
        <w:rPr>
          <w:rFonts w:ascii="Arial" w:eastAsia="Times New Roman" w:hAnsi="Arial" w:cs="Times New Roman"/>
          <w:bCs/>
          <w:color w:val="0067B1"/>
        </w:rPr>
      </w:pPr>
      <w:r w:rsidRPr="00D32EA6">
        <w:rPr>
          <w:rFonts w:ascii="Arial" w:eastAsia="Times New Roman" w:hAnsi="Arial" w:cs="Times New Roman"/>
          <w:bCs/>
          <w:color w:val="0067B1"/>
        </w:rPr>
        <w:t>69% of deals were supported by a PIPE offering</w:t>
      </w:r>
      <w:r w:rsidR="00DD49CC">
        <w:rPr>
          <w:rFonts w:ascii="Arial" w:eastAsia="Times New Roman" w:hAnsi="Arial" w:cs="Times New Roman"/>
          <w:bCs/>
          <w:color w:val="0067B1"/>
        </w:rPr>
        <w:t xml:space="preserve">.  </w:t>
      </w:r>
      <w:r w:rsidRPr="00D32EA6">
        <w:rPr>
          <w:rFonts w:ascii="Arial" w:eastAsia="Times New Roman" w:hAnsi="Arial" w:cs="Times New Roman"/>
          <w:bCs/>
          <w:color w:val="0067B1"/>
        </w:rPr>
        <w:t>The average PIPE in 2020 was $288M and the median was $160M.</w:t>
      </w:r>
    </w:p>
    <w:p w14:paraId="3ACAA88D" w14:textId="0BB0EFE2" w:rsidR="00386D0E" w:rsidRPr="00D32EA6" w:rsidRDefault="00386D0E" w:rsidP="00CD4F8B">
      <w:pPr>
        <w:spacing w:after="0" w:line="240" w:lineRule="auto"/>
        <w:jc w:val="both"/>
        <w:rPr>
          <w:rFonts w:ascii="Arial" w:eastAsia="Times New Roman" w:hAnsi="Arial" w:cs="Times New Roman"/>
          <w:bCs/>
          <w:color w:val="0067B1"/>
        </w:rPr>
      </w:pPr>
    </w:p>
    <w:p w14:paraId="1DEF6F98" w14:textId="3B02367E" w:rsidR="00386D0E" w:rsidRPr="00D32EA6" w:rsidRDefault="00386D0E" w:rsidP="00CD4F8B">
      <w:pPr>
        <w:spacing w:after="0" w:line="240" w:lineRule="auto"/>
        <w:jc w:val="both"/>
        <w:rPr>
          <w:rFonts w:ascii="Arial" w:eastAsia="Times New Roman" w:hAnsi="Arial" w:cs="Times New Roman"/>
          <w:bCs/>
          <w:color w:val="0067B1"/>
        </w:rPr>
      </w:pPr>
      <w:r w:rsidRPr="00D32EA6">
        <w:rPr>
          <w:rFonts w:ascii="Arial" w:eastAsia="Times New Roman" w:hAnsi="Arial" w:cs="Times New Roman"/>
          <w:bCs/>
          <w:color w:val="0067B1"/>
        </w:rPr>
        <w:t>2020 SPAC’s saw an average of 97% approval by shareholders.</w:t>
      </w:r>
    </w:p>
    <w:p w14:paraId="5EF14C80" w14:textId="6A10A456" w:rsidR="00386D0E" w:rsidRPr="00D32EA6" w:rsidRDefault="00386D0E" w:rsidP="00CD4F8B">
      <w:pPr>
        <w:spacing w:after="0" w:line="240" w:lineRule="auto"/>
        <w:jc w:val="both"/>
        <w:rPr>
          <w:rFonts w:ascii="Arial" w:eastAsia="Times New Roman" w:hAnsi="Arial" w:cs="Times New Roman"/>
          <w:bCs/>
          <w:color w:val="0067B1"/>
        </w:rPr>
      </w:pPr>
    </w:p>
    <w:p w14:paraId="1B7D6F48" w14:textId="50C9B32E" w:rsidR="00386D0E" w:rsidRPr="00D32EA6" w:rsidRDefault="00386D0E" w:rsidP="00CD4F8B">
      <w:pPr>
        <w:spacing w:after="0" w:line="240" w:lineRule="auto"/>
        <w:jc w:val="both"/>
        <w:rPr>
          <w:rFonts w:ascii="Arial" w:eastAsia="Times New Roman" w:hAnsi="Arial" w:cs="Times New Roman"/>
          <w:bCs/>
          <w:color w:val="0067B1"/>
        </w:rPr>
      </w:pPr>
      <w:r w:rsidRPr="00D32EA6">
        <w:rPr>
          <w:rFonts w:ascii="Arial" w:eastAsia="Times New Roman" w:hAnsi="Arial" w:cs="Times New Roman"/>
          <w:bCs/>
          <w:color w:val="0067B1"/>
        </w:rPr>
        <w:t xml:space="preserve">The listing market for </w:t>
      </w:r>
      <w:r w:rsidR="00DD49CC">
        <w:rPr>
          <w:rFonts w:ascii="Arial" w:eastAsia="Times New Roman" w:hAnsi="Arial" w:cs="Times New Roman"/>
          <w:bCs/>
          <w:color w:val="0067B1"/>
        </w:rPr>
        <w:t>d</w:t>
      </w:r>
      <w:r w:rsidRPr="00D32EA6">
        <w:rPr>
          <w:rFonts w:ascii="Arial" w:eastAsia="Times New Roman" w:hAnsi="Arial" w:cs="Times New Roman"/>
          <w:bCs/>
          <w:color w:val="0067B1"/>
        </w:rPr>
        <w:t>e</w:t>
      </w:r>
      <w:r w:rsidR="00DD49CC">
        <w:rPr>
          <w:rFonts w:ascii="Arial" w:eastAsia="Times New Roman" w:hAnsi="Arial" w:cs="Times New Roman"/>
          <w:bCs/>
          <w:color w:val="0067B1"/>
        </w:rPr>
        <w:t>-</w:t>
      </w:r>
      <w:r w:rsidRPr="00D32EA6">
        <w:rPr>
          <w:rFonts w:ascii="Arial" w:eastAsia="Times New Roman" w:hAnsi="Arial" w:cs="Times New Roman"/>
          <w:bCs/>
          <w:color w:val="0067B1"/>
        </w:rPr>
        <w:t>SPACs was 72% NASDAQ and 28% NYSE for 2020.</w:t>
      </w:r>
    </w:p>
    <w:p w14:paraId="12ADA153" w14:textId="77777777" w:rsidR="00386D0E" w:rsidRDefault="00386D0E">
      <w:pPr>
        <w:rPr>
          <w:rFonts w:ascii="Arial" w:eastAsia="Times New Roman" w:hAnsi="Arial" w:cs="Times New Roman"/>
          <w:i/>
          <w:color w:val="0067B1"/>
          <w:sz w:val="24"/>
          <w:szCs w:val="24"/>
        </w:rPr>
      </w:pPr>
      <w:r>
        <w:rPr>
          <w:rFonts w:ascii="Arial" w:eastAsia="Times New Roman" w:hAnsi="Arial" w:cs="Times New Roman"/>
          <w:i/>
          <w:color w:val="0067B1"/>
          <w:sz w:val="24"/>
          <w:szCs w:val="24"/>
        </w:rPr>
        <w:br w:type="page"/>
      </w:r>
    </w:p>
    <w:p w14:paraId="21B4CAC1" w14:textId="0128BB7F" w:rsidR="00AF54DF" w:rsidRPr="001302F9" w:rsidRDefault="00AF54DF" w:rsidP="00AF54DF">
      <w:pPr>
        <w:spacing w:after="0" w:line="360" w:lineRule="auto"/>
        <w:jc w:val="both"/>
        <w:rPr>
          <w:rFonts w:ascii="Arial" w:eastAsia="Times New Roman" w:hAnsi="Arial" w:cs="Times New Roman"/>
          <w:color w:val="0067B1"/>
          <w:sz w:val="24"/>
          <w:szCs w:val="24"/>
        </w:rPr>
      </w:pPr>
      <w:r w:rsidRPr="001302F9">
        <w:rPr>
          <w:rFonts w:ascii="Arial" w:eastAsia="Times New Roman" w:hAnsi="Arial" w:cs="Times New Roman"/>
          <w:i/>
          <w:color w:val="0067B1"/>
          <w:sz w:val="24"/>
          <w:szCs w:val="24"/>
        </w:rPr>
        <w:lastRenderedPageBreak/>
        <w:t>Proposed Placement Timeline</w:t>
      </w:r>
    </w:p>
    <w:p w14:paraId="2FD312E6" w14:textId="77777777" w:rsidR="00AF54DF" w:rsidRPr="008E6D16" w:rsidRDefault="00AF54DF" w:rsidP="00AF54DF">
      <w:pPr>
        <w:tabs>
          <w:tab w:val="left" w:pos="1332"/>
          <w:tab w:val="left" w:pos="2412"/>
        </w:tabs>
        <w:spacing w:before="60" w:after="60" w:line="240" w:lineRule="auto"/>
        <w:rPr>
          <w:rFonts w:ascii="Arial" w:eastAsia="Times New Roman" w:hAnsi="Arial" w:cs="Arial"/>
          <w:i/>
          <w:iCs/>
          <w:sz w:val="20"/>
          <w:szCs w:val="20"/>
        </w:rPr>
      </w:pPr>
      <w:r w:rsidRPr="008E6D16">
        <w:rPr>
          <w:rFonts w:ascii="Arial" w:eastAsia="Times New Roman" w:hAnsi="Arial" w:cs="Arial"/>
          <w:i/>
          <w:iCs/>
          <w:sz w:val="20"/>
          <w:szCs w:val="20"/>
        </w:rPr>
        <w:t xml:space="preserve">(To be </w:t>
      </w:r>
      <w:r w:rsidR="00D87610">
        <w:rPr>
          <w:rFonts w:ascii="Arial" w:eastAsia="Times New Roman" w:hAnsi="Arial" w:cs="Arial"/>
          <w:i/>
          <w:iCs/>
          <w:sz w:val="20"/>
          <w:szCs w:val="20"/>
        </w:rPr>
        <w:t xml:space="preserve">amended and </w:t>
      </w:r>
      <w:r w:rsidRPr="008E6D16">
        <w:rPr>
          <w:rFonts w:ascii="Arial" w:eastAsia="Times New Roman" w:hAnsi="Arial" w:cs="Arial"/>
          <w:i/>
          <w:iCs/>
          <w:sz w:val="20"/>
          <w:szCs w:val="20"/>
        </w:rPr>
        <w:t>finalized based on discussions with you.)</w:t>
      </w:r>
    </w:p>
    <w:tbl>
      <w:tblPr>
        <w:tblpPr w:leftFromText="180" w:rightFromText="180" w:vertAnchor="text" w:horzAnchor="margin" w:tblpY="84"/>
        <w:tblOverlap w:val="never"/>
        <w:tblW w:w="7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5727"/>
      </w:tblGrid>
      <w:tr w:rsidR="00386D0E" w:rsidRPr="008E6D16" w14:paraId="4968D9B9" w14:textId="77777777" w:rsidTr="00474573">
        <w:tc>
          <w:tcPr>
            <w:tcW w:w="2268" w:type="dxa"/>
            <w:shd w:val="clear" w:color="auto" w:fill="D9D9D9"/>
          </w:tcPr>
          <w:p w14:paraId="56A4698E" w14:textId="77777777" w:rsidR="00386D0E" w:rsidRPr="008E6D16" w:rsidRDefault="00386D0E" w:rsidP="00474573">
            <w:pPr>
              <w:spacing w:before="60" w:after="60" w:line="240" w:lineRule="auto"/>
              <w:jc w:val="center"/>
              <w:rPr>
                <w:rFonts w:ascii="Arial" w:eastAsia="Times New Roman" w:hAnsi="Arial" w:cs="Arial"/>
                <w:b/>
                <w:bCs/>
                <w:sz w:val="24"/>
                <w:szCs w:val="24"/>
              </w:rPr>
            </w:pPr>
            <w:r w:rsidRPr="008E6D16">
              <w:rPr>
                <w:rFonts w:ascii="Arial" w:eastAsia="Times New Roman" w:hAnsi="Arial" w:cs="Arial"/>
                <w:b/>
                <w:bCs/>
                <w:sz w:val="24"/>
                <w:szCs w:val="24"/>
              </w:rPr>
              <w:t>Date</w:t>
            </w:r>
          </w:p>
        </w:tc>
        <w:tc>
          <w:tcPr>
            <w:tcW w:w="5727" w:type="dxa"/>
            <w:shd w:val="clear" w:color="auto" w:fill="D9D9D9"/>
          </w:tcPr>
          <w:p w14:paraId="7C725662" w14:textId="77777777" w:rsidR="00386D0E" w:rsidRPr="008E6D16" w:rsidRDefault="00386D0E" w:rsidP="00474573">
            <w:pPr>
              <w:spacing w:before="60" w:after="60" w:line="240" w:lineRule="auto"/>
              <w:jc w:val="center"/>
              <w:rPr>
                <w:rFonts w:ascii="Arial" w:eastAsia="Times New Roman" w:hAnsi="Arial" w:cs="Arial"/>
                <w:b/>
                <w:bCs/>
                <w:sz w:val="24"/>
                <w:szCs w:val="24"/>
              </w:rPr>
            </w:pPr>
            <w:r w:rsidRPr="008E6D16">
              <w:rPr>
                <w:rFonts w:ascii="Arial" w:eastAsia="Times New Roman" w:hAnsi="Arial" w:cs="Arial"/>
                <w:b/>
                <w:bCs/>
                <w:sz w:val="24"/>
                <w:szCs w:val="24"/>
              </w:rPr>
              <w:t>Action</w:t>
            </w:r>
          </w:p>
        </w:tc>
      </w:tr>
      <w:tr w:rsidR="00386D0E" w:rsidRPr="008E6D16" w14:paraId="622F442C" w14:textId="77777777" w:rsidTr="00474573">
        <w:tc>
          <w:tcPr>
            <w:tcW w:w="2268" w:type="dxa"/>
          </w:tcPr>
          <w:p w14:paraId="56756C3E" w14:textId="2F745212" w:rsidR="00386D0E" w:rsidRDefault="00386D0E" w:rsidP="00474573">
            <w:pPr>
              <w:spacing w:before="60" w:after="60" w:line="240" w:lineRule="auto"/>
              <w:rPr>
                <w:rFonts w:ascii="Arial" w:eastAsia="Times New Roman" w:hAnsi="Arial" w:cs="Arial"/>
                <w:sz w:val="24"/>
                <w:szCs w:val="24"/>
              </w:rPr>
            </w:pPr>
            <w:r>
              <w:rPr>
                <w:rFonts w:ascii="Arial" w:eastAsia="Times New Roman" w:hAnsi="Arial" w:cs="Arial"/>
                <w:sz w:val="24"/>
                <w:szCs w:val="24"/>
              </w:rPr>
              <w:t>Deal sign</w:t>
            </w:r>
            <w:r w:rsidR="00D32EA6">
              <w:rPr>
                <w:rFonts w:ascii="Arial" w:eastAsia="Times New Roman" w:hAnsi="Arial" w:cs="Arial"/>
                <w:sz w:val="24"/>
                <w:szCs w:val="24"/>
              </w:rPr>
              <w:t>ed and announced</w:t>
            </w:r>
          </w:p>
        </w:tc>
        <w:tc>
          <w:tcPr>
            <w:tcW w:w="5727" w:type="dxa"/>
          </w:tcPr>
          <w:p w14:paraId="71C65EC9" w14:textId="0AAE2941" w:rsidR="00386D0E" w:rsidRPr="008E6D16" w:rsidRDefault="00386D0E" w:rsidP="00474573">
            <w:pPr>
              <w:spacing w:before="60" w:after="60" w:line="240" w:lineRule="auto"/>
              <w:rPr>
                <w:rFonts w:ascii="Arial" w:eastAsia="Times New Roman" w:hAnsi="Arial" w:cs="Arial"/>
                <w:sz w:val="24"/>
                <w:szCs w:val="24"/>
              </w:rPr>
            </w:pPr>
            <w:r>
              <w:rPr>
                <w:rFonts w:ascii="Arial" w:eastAsia="Times New Roman" w:hAnsi="Arial" w:cs="Arial"/>
                <w:sz w:val="24"/>
                <w:szCs w:val="24"/>
              </w:rPr>
              <w:t>You provide us with draft deal documents</w:t>
            </w:r>
          </w:p>
        </w:tc>
      </w:tr>
      <w:tr w:rsidR="00386D0E" w:rsidRPr="008E6D16" w14:paraId="294324C4" w14:textId="77777777" w:rsidTr="00474573">
        <w:tc>
          <w:tcPr>
            <w:tcW w:w="2268" w:type="dxa"/>
          </w:tcPr>
          <w:p w14:paraId="4A572F44" w14:textId="77777777" w:rsidR="00386D0E" w:rsidRPr="008E6D16" w:rsidRDefault="00386D0E" w:rsidP="00474573">
            <w:pPr>
              <w:spacing w:before="60" w:after="60" w:line="240" w:lineRule="auto"/>
              <w:rPr>
                <w:rFonts w:ascii="Arial" w:eastAsia="Times New Roman" w:hAnsi="Arial" w:cs="Arial"/>
                <w:sz w:val="24"/>
                <w:szCs w:val="24"/>
              </w:rPr>
            </w:pPr>
            <w:r>
              <w:rPr>
                <w:rFonts w:ascii="Arial" w:eastAsia="Times New Roman" w:hAnsi="Arial" w:cs="Arial"/>
                <w:sz w:val="24"/>
                <w:szCs w:val="24"/>
              </w:rPr>
              <w:t>TBD</w:t>
            </w:r>
          </w:p>
        </w:tc>
        <w:tc>
          <w:tcPr>
            <w:tcW w:w="5727" w:type="dxa"/>
          </w:tcPr>
          <w:p w14:paraId="0DBD1108" w14:textId="77777777" w:rsidR="00386D0E" w:rsidRPr="008E6D16" w:rsidRDefault="00386D0E" w:rsidP="00474573">
            <w:pPr>
              <w:spacing w:before="60" w:after="60" w:line="240" w:lineRule="auto"/>
              <w:rPr>
                <w:rFonts w:ascii="Arial" w:eastAsia="Times New Roman" w:hAnsi="Arial" w:cs="Arial"/>
                <w:sz w:val="24"/>
                <w:szCs w:val="24"/>
              </w:rPr>
            </w:pPr>
            <w:r>
              <w:rPr>
                <w:rFonts w:ascii="Arial" w:eastAsia="Times New Roman" w:hAnsi="Arial" w:cs="Arial"/>
                <w:sz w:val="24"/>
                <w:szCs w:val="24"/>
              </w:rPr>
              <w:t>We pre-underwrite your risk profile and conduct a call with you to discuss items which will be potential underwriting concerns</w:t>
            </w:r>
          </w:p>
        </w:tc>
      </w:tr>
      <w:tr w:rsidR="00386D0E" w:rsidRPr="008E6D16" w14:paraId="1A8FDB8F" w14:textId="77777777" w:rsidTr="00474573">
        <w:tc>
          <w:tcPr>
            <w:tcW w:w="2268" w:type="dxa"/>
          </w:tcPr>
          <w:p w14:paraId="0FE64A46" w14:textId="77777777" w:rsidR="00386D0E" w:rsidRPr="008E6D16" w:rsidRDefault="00386D0E" w:rsidP="00474573">
            <w:pPr>
              <w:spacing w:before="60" w:after="60" w:line="240" w:lineRule="auto"/>
              <w:rPr>
                <w:rFonts w:ascii="Arial" w:eastAsia="Times New Roman" w:hAnsi="Arial" w:cs="Arial"/>
                <w:sz w:val="24"/>
                <w:szCs w:val="24"/>
              </w:rPr>
            </w:pPr>
            <w:r>
              <w:rPr>
                <w:rFonts w:ascii="Arial" w:eastAsia="Times New Roman" w:hAnsi="Arial" w:cs="Arial"/>
                <w:sz w:val="24"/>
                <w:szCs w:val="24"/>
              </w:rPr>
              <w:t>TBD</w:t>
            </w:r>
          </w:p>
        </w:tc>
        <w:tc>
          <w:tcPr>
            <w:tcW w:w="5727" w:type="dxa"/>
          </w:tcPr>
          <w:p w14:paraId="10BC1575" w14:textId="77777777" w:rsidR="00386D0E" w:rsidRPr="008E6D16" w:rsidRDefault="00386D0E" w:rsidP="00474573">
            <w:pPr>
              <w:spacing w:before="60" w:after="60" w:line="240" w:lineRule="auto"/>
              <w:rPr>
                <w:rFonts w:ascii="Arial" w:eastAsia="Times New Roman" w:hAnsi="Arial" w:cs="Arial"/>
                <w:sz w:val="24"/>
                <w:szCs w:val="24"/>
              </w:rPr>
            </w:pPr>
            <w:r w:rsidRPr="008E6D16">
              <w:rPr>
                <w:rFonts w:ascii="Arial" w:eastAsia="Times New Roman" w:hAnsi="Arial" w:cs="Arial"/>
                <w:sz w:val="24"/>
                <w:szCs w:val="24"/>
              </w:rPr>
              <w:t xml:space="preserve">Initial submission to </w:t>
            </w:r>
            <w:r>
              <w:rPr>
                <w:rFonts w:ascii="Arial" w:eastAsia="Times New Roman" w:hAnsi="Arial" w:cs="Arial"/>
                <w:sz w:val="24"/>
                <w:szCs w:val="24"/>
              </w:rPr>
              <w:t>D&amp;O market including our coordinated discussion of potential underwriting issues</w:t>
            </w:r>
          </w:p>
        </w:tc>
      </w:tr>
      <w:tr w:rsidR="00386D0E" w:rsidRPr="008E6D16" w14:paraId="67D7B0A6" w14:textId="77777777" w:rsidTr="00474573">
        <w:tc>
          <w:tcPr>
            <w:tcW w:w="2268" w:type="dxa"/>
          </w:tcPr>
          <w:p w14:paraId="1BE6BD51" w14:textId="77777777" w:rsidR="00386D0E" w:rsidRPr="008E6D16" w:rsidRDefault="00386D0E" w:rsidP="00474573">
            <w:pPr>
              <w:spacing w:before="60" w:after="60" w:line="240" w:lineRule="auto"/>
              <w:rPr>
                <w:rFonts w:ascii="Arial" w:eastAsia="Times New Roman" w:hAnsi="Arial" w:cs="Arial"/>
                <w:sz w:val="24"/>
                <w:szCs w:val="24"/>
              </w:rPr>
            </w:pPr>
            <w:r>
              <w:rPr>
                <w:rFonts w:ascii="Arial" w:eastAsia="Times New Roman" w:hAnsi="Arial" w:cs="Arial"/>
                <w:sz w:val="24"/>
                <w:szCs w:val="24"/>
              </w:rPr>
              <w:t>TBD</w:t>
            </w:r>
          </w:p>
        </w:tc>
        <w:tc>
          <w:tcPr>
            <w:tcW w:w="5727" w:type="dxa"/>
          </w:tcPr>
          <w:p w14:paraId="7DF98106" w14:textId="77777777" w:rsidR="00386D0E" w:rsidRPr="008E6D16" w:rsidRDefault="00386D0E" w:rsidP="00474573">
            <w:pPr>
              <w:spacing w:before="60" w:after="60" w:line="240" w:lineRule="auto"/>
              <w:rPr>
                <w:rFonts w:ascii="Arial" w:eastAsia="Times New Roman" w:hAnsi="Arial" w:cs="Arial"/>
                <w:sz w:val="24"/>
                <w:szCs w:val="24"/>
              </w:rPr>
            </w:pPr>
            <w:r w:rsidRPr="008E6D16">
              <w:rPr>
                <w:rFonts w:ascii="Arial" w:eastAsia="Times New Roman" w:hAnsi="Arial" w:cs="Arial"/>
                <w:sz w:val="24"/>
                <w:szCs w:val="24"/>
              </w:rPr>
              <w:t>Underwriter meet</w:t>
            </w:r>
            <w:r>
              <w:rPr>
                <w:rFonts w:ascii="Arial" w:eastAsia="Times New Roman" w:hAnsi="Arial" w:cs="Arial"/>
                <w:sz w:val="24"/>
                <w:szCs w:val="24"/>
              </w:rPr>
              <w:t>ings/conference calls as needed</w:t>
            </w:r>
          </w:p>
        </w:tc>
      </w:tr>
      <w:tr w:rsidR="00386D0E" w:rsidRPr="008E6D16" w14:paraId="4EB1591C" w14:textId="77777777" w:rsidTr="00474573">
        <w:tc>
          <w:tcPr>
            <w:tcW w:w="2268" w:type="dxa"/>
          </w:tcPr>
          <w:p w14:paraId="58A0B8AE" w14:textId="77777777" w:rsidR="00386D0E" w:rsidRPr="008E6D16" w:rsidRDefault="00386D0E" w:rsidP="00474573">
            <w:pPr>
              <w:spacing w:before="60" w:after="60" w:line="240" w:lineRule="auto"/>
              <w:rPr>
                <w:rFonts w:ascii="Arial" w:eastAsia="Times New Roman" w:hAnsi="Arial" w:cs="Arial"/>
                <w:sz w:val="24"/>
                <w:szCs w:val="24"/>
              </w:rPr>
            </w:pPr>
            <w:r>
              <w:rPr>
                <w:rFonts w:ascii="Arial" w:eastAsia="Times New Roman" w:hAnsi="Arial" w:cs="Arial"/>
                <w:sz w:val="24"/>
                <w:szCs w:val="24"/>
              </w:rPr>
              <w:t>TBD</w:t>
            </w:r>
          </w:p>
        </w:tc>
        <w:tc>
          <w:tcPr>
            <w:tcW w:w="5727" w:type="dxa"/>
          </w:tcPr>
          <w:p w14:paraId="28D9C607" w14:textId="77777777" w:rsidR="00386D0E" w:rsidRPr="008E6D16" w:rsidRDefault="00386D0E" w:rsidP="00474573">
            <w:pPr>
              <w:spacing w:before="60" w:after="60" w:line="240" w:lineRule="auto"/>
              <w:rPr>
                <w:rFonts w:ascii="Arial" w:eastAsia="Times New Roman" w:hAnsi="Arial" w:cs="Arial"/>
                <w:sz w:val="24"/>
                <w:szCs w:val="24"/>
              </w:rPr>
            </w:pPr>
            <w:r w:rsidRPr="008E6D16">
              <w:rPr>
                <w:rFonts w:ascii="Arial" w:eastAsia="Times New Roman" w:hAnsi="Arial" w:cs="Arial"/>
                <w:sz w:val="24"/>
                <w:szCs w:val="24"/>
              </w:rPr>
              <w:t xml:space="preserve">Marketing update </w:t>
            </w:r>
          </w:p>
          <w:p w14:paraId="458EB3B7" w14:textId="77777777" w:rsidR="00386D0E" w:rsidRPr="008E6D16" w:rsidRDefault="00386D0E" w:rsidP="00474573">
            <w:pPr>
              <w:numPr>
                <w:ilvl w:val="0"/>
                <w:numId w:val="9"/>
              </w:numPr>
              <w:spacing w:before="60" w:after="60" w:line="240" w:lineRule="auto"/>
              <w:rPr>
                <w:rFonts w:ascii="Arial" w:eastAsia="Times New Roman" w:hAnsi="Arial" w:cs="Arial"/>
                <w:sz w:val="24"/>
                <w:szCs w:val="24"/>
              </w:rPr>
            </w:pPr>
            <w:r>
              <w:rPr>
                <w:rFonts w:ascii="Arial" w:eastAsia="Times New Roman" w:hAnsi="Arial" w:cs="Arial"/>
                <w:sz w:val="24"/>
                <w:szCs w:val="24"/>
              </w:rPr>
              <w:t>Consider primary quotations</w:t>
            </w:r>
          </w:p>
          <w:p w14:paraId="0E913DAA" w14:textId="77777777" w:rsidR="00386D0E" w:rsidRPr="008E6D16" w:rsidRDefault="00386D0E" w:rsidP="00474573">
            <w:pPr>
              <w:numPr>
                <w:ilvl w:val="0"/>
                <w:numId w:val="9"/>
              </w:numPr>
              <w:spacing w:before="60" w:after="60" w:line="240" w:lineRule="auto"/>
              <w:rPr>
                <w:rFonts w:ascii="Arial" w:eastAsia="Times New Roman" w:hAnsi="Arial" w:cs="Arial"/>
                <w:sz w:val="24"/>
                <w:szCs w:val="24"/>
              </w:rPr>
            </w:pPr>
            <w:r w:rsidRPr="008E6D16">
              <w:rPr>
                <w:rFonts w:ascii="Arial" w:eastAsia="Times New Roman" w:hAnsi="Arial" w:cs="Arial"/>
                <w:sz w:val="24"/>
                <w:szCs w:val="24"/>
              </w:rPr>
              <w:t>Select primary option(s) from which to build excess program</w:t>
            </w:r>
          </w:p>
          <w:p w14:paraId="74F74F7D" w14:textId="77777777" w:rsidR="00386D0E" w:rsidRPr="008E6D16" w:rsidRDefault="00386D0E" w:rsidP="00474573">
            <w:pPr>
              <w:numPr>
                <w:ilvl w:val="0"/>
                <w:numId w:val="10"/>
              </w:numPr>
              <w:spacing w:before="60" w:after="60" w:line="240" w:lineRule="auto"/>
              <w:rPr>
                <w:rFonts w:ascii="Arial" w:eastAsia="Times New Roman" w:hAnsi="Arial" w:cs="Arial"/>
                <w:sz w:val="24"/>
                <w:szCs w:val="24"/>
              </w:rPr>
            </w:pPr>
            <w:r w:rsidRPr="008E6D16">
              <w:rPr>
                <w:rFonts w:ascii="Arial" w:eastAsia="Times New Roman" w:hAnsi="Arial" w:cs="Arial"/>
                <w:sz w:val="24"/>
                <w:szCs w:val="24"/>
              </w:rPr>
              <w:t>Evaluate possible excess structures based on quotes negotiated to date</w:t>
            </w:r>
          </w:p>
        </w:tc>
      </w:tr>
      <w:tr w:rsidR="00386D0E" w:rsidRPr="008E6D16" w14:paraId="2E7F54F9" w14:textId="77777777" w:rsidTr="00474573">
        <w:tc>
          <w:tcPr>
            <w:tcW w:w="2268" w:type="dxa"/>
          </w:tcPr>
          <w:p w14:paraId="04B453D4" w14:textId="77777777" w:rsidR="00386D0E" w:rsidRDefault="00386D0E" w:rsidP="00474573">
            <w:pPr>
              <w:spacing w:before="60" w:after="60" w:line="240" w:lineRule="auto"/>
              <w:rPr>
                <w:rFonts w:ascii="Arial" w:eastAsia="Times New Roman" w:hAnsi="Arial" w:cs="Arial"/>
                <w:sz w:val="24"/>
                <w:szCs w:val="24"/>
              </w:rPr>
            </w:pPr>
            <w:r>
              <w:rPr>
                <w:rFonts w:ascii="Arial" w:eastAsia="Times New Roman" w:hAnsi="Arial" w:cs="Arial"/>
                <w:sz w:val="24"/>
                <w:szCs w:val="24"/>
              </w:rPr>
              <w:t>TBD</w:t>
            </w:r>
          </w:p>
        </w:tc>
        <w:tc>
          <w:tcPr>
            <w:tcW w:w="5727" w:type="dxa"/>
          </w:tcPr>
          <w:p w14:paraId="15009887" w14:textId="77777777" w:rsidR="00386D0E" w:rsidRDefault="00386D0E" w:rsidP="00AD61CE">
            <w:pPr>
              <w:pStyle w:val="ListParagraph"/>
              <w:numPr>
                <w:ilvl w:val="0"/>
                <w:numId w:val="14"/>
              </w:numPr>
              <w:spacing w:before="60" w:after="60" w:line="240" w:lineRule="auto"/>
              <w:rPr>
                <w:rFonts w:ascii="Arial" w:eastAsia="Times New Roman" w:hAnsi="Arial" w:cs="Arial"/>
                <w:sz w:val="24"/>
                <w:szCs w:val="24"/>
              </w:rPr>
            </w:pPr>
            <w:r w:rsidRPr="00D87610">
              <w:rPr>
                <w:rFonts w:ascii="Arial" w:eastAsia="Times New Roman" w:hAnsi="Arial" w:cs="Arial"/>
                <w:sz w:val="24"/>
                <w:szCs w:val="24"/>
              </w:rPr>
              <w:t>Discussion with your counsel regarding primary coverage terms, if desired</w:t>
            </w:r>
          </w:p>
          <w:p w14:paraId="52E82279" w14:textId="77777777" w:rsidR="00386D0E" w:rsidRPr="00D87610" w:rsidRDefault="00386D0E" w:rsidP="00AD61CE">
            <w:pPr>
              <w:pStyle w:val="ListParagraph"/>
              <w:numPr>
                <w:ilvl w:val="0"/>
                <w:numId w:val="14"/>
              </w:numPr>
              <w:spacing w:before="60" w:after="60" w:line="240" w:lineRule="auto"/>
              <w:rPr>
                <w:rFonts w:ascii="Arial" w:eastAsia="Times New Roman" w:hAnsi="Arial" w:cs="Arial"/>
                <w:sz w:val="24"/>
                <w:szCs w:val="24"/>
              </w:rPr>
            </w:pPr>
            <w:r>
              <w:rPr>
                <w:rFonts w:ascii="Arial" w:eastAsia="Times New Roman" w:hAnsi="Arial" w:cs="Arial"/>
                <w:sz w:val="24"/>
                <w:szCs w:val="24"/>
              </w:rPr>
              <w:t>Negotiate excess and Side A quotations</w:t>
            </w:r>
          </w:p>
        </w:tc>
      </w:tr>
      <w:tr w:rsidR="00386D0E" w:rsidRPr="008E6D16" w14:paraId="48652D30" w14:textId="77777777" w:rsidTr="00474573">
        <w:tc>
          <w:tcPr>
            <w:tcW w:w="2268" w:type="dxa"/>
          </w:tcPr>
          <w:p w14:paraId="65EBA634" w14:textId="77777777" w:rsidR="00386D0E" w:rsidRPr="008E6D16" w:rsidRDefault="00386D0E" w:rsidP="00474573">
            <w:pPr>
              <w:spacing w:before="60" w:after="60" w:line="240" w:lineRule="auto"/>
              <w:rPr>
                <w:rFonts w:ascii="Arial" w:eastAsia="Times New Roman" w:hAnsi="Arial" w:cs="Arial"/>
                <w:sz w:val="24"/>
                <w:szCs w:val="24"/>
              </w:rPr>
            </w:pPr>
            <w:r>
              <w:rPr>
                <w:rFonts w:ascii="Arial" w:eastAsia="Times New Roman" w:hAnsi="Arial" w:cs="Arial"/>
                <w:sz w:val="24"/>
                <w:szCs w:val="24"/>
              </w:rPr>
              <w:t>TBD</w:t>
            </w:r>
          </w:p>
        </w:tc>
        <w:tc>
          <w:tcPr>
            <w:tcW w:w="5727" w:type="dxa"/>
          </w:tcPr>
          <w:p w14:paraId="1C53F940" w14:textId="77777777" w:rsidR="00386D0E" w:rsidRDefault="00386D0E" w:rsidP="00474573">
            <w:pPr>
              <w:spacing w:before="60" w:after="60" w:line="240" w:lineRule="auto"/>
              <w:rPr>
                <w:rFonts w:ascii="Arial" w:eastAsia="Times New Roman" w:hAnsi="Arial" w:cs="Arial"/>
                <w:sz w:val="24"/>
                <w:szCs w:val="24"/>
              </w:rPr>
            </w:pPr>
            <w:r w:rsidRPr="008E6D16">
              <w:rPr>
                <w:rFonts w:ascii="Arial" w:eastAsia="Times New Roman" w:hAnsi="Arial" w:cs="Arial"/>
                <w:sz w:val="24"/>
                <w:szCs w:val="24"/>
              </w:rPr>
              <w:t xml:space="preserve">Final presentation </w:t>
            </w:r>
            <w:r>
              <w:rPr>
                <w:rFonts w:ascii="Arial" w:eastAsia="Times New Roman" w:hAnsi="Arial" w:cs="Arial"/>
                <w:sz w:val="24"/>
                <w:szCs w:val="24"/>
              </w:rPr>
              <w:t>to you and satisfaction of</w:t>
            </w:r>
            <w:r w:rsidRPr="008E6D16">
              <w:rPr>
                <w:rFonts w:ascii="Arial" w:eastAsia="Times New Roman" w:hAnsi="Arial" w:cs="Arial"/>
                <w:sz w:val="24"/>
                <w:szCs w:val="24"/>
              </w:rPr>
              <w:t xml:space="preserve"> subjectivities (prior to start of road show)</w:t>
            </w:r>
          </w:p>
          <w:p w14:paraId="5C8DD65A" w14:textId="77777777" w:rsidR="00386D0E" w:rsidRPr="008E6D16" w:rsidRDefault="00386D0E" w:rsidP="00474573">
            <w:pPr>
              <w:spacing w:before="60" w:after="60" w:line="240" w:lineRule="auto"/>
              <w:rPr>
                <w:rFonts w:ascii="Arial" w:eastAsia="Times New Roman" w:hAnsi="Arial" w:cs="Arial"/>
                <w:sz w:val="24"/>
                <w:szCs w:val="24"/>
              </w:rPr>
            </w:pPr>
            <w:r>
              <w:rPr>
                <w:rFonts w:ascii="Arial" w:eastAsia="Times New Roman" w:hAnsi="Arial" w:cs="Arial"/>
                <w:sz w:val="24"/>
                <w:szCs w:val="24"/>
              </w:rPr>
              <w:t>We are available for discussions with your board, if desired</w:t>
            </w:r>
          </w:p>
        </w:tc>
      </w:tr>
      <w:tr w:rsidR="00386D0E" w:rsidRPr="008E6D16" w14:paraId="4E2FBD23" w14:textId="77777777" w:rsidTr="00474573">
        <w:tc>
          <w:tcPr>
            <w:tcW w:w="2268" w:type="dxa"/>
          </w:tcPr>
          <w:p w14:paraId="6C8352E4" w14:textId="6C49539D" w:rsidR="00386D0E" w:rsidRPr="008E6D16" w:rsidRDefault="00386D0E" w:rsidP="00474573">
            <w:pPr>
              <w:spacing w:before="60" w:after="60" w:line="240" w:lineRule="auto"/>
              <w:rPr>
                <w:rFonts w:ascii="Arial" w:eastAsia="Times New Roman" w:hAnsi="Arial" w:cs="Arial"/>
                <w:sz w:val="24"/>
                <w:szCs w:val="24"/>
              </w:rPr>
            </w:pPr>
            <w:r w:rsidRPr="008E6D16">
              <w:rPr>
                <w:rFonts w:ascii="Arial" w:eastAsia="Times New Roman" w:hAnsi="Arial" w:cs="Arial"/>
                <w:sz w:val="24"/>
                <w:szCs w:val="24"/>
              </w:rPr>
              <w:t xml:space="preserve">Day before </w:t>
            </w:r>
            <w:r w:rsidR="00D32EA6">
              <w:rPr>
                <w:rFonts w:ascii="Arial" w:eastAsia="Times New Roman" w:hAnsi="Arial" w:cs="Arial"/>
                <w:sz w:val="24"/>
                <w:szCs w:val="24"/>
              </w:rPr>
              <w:t>deal close</w:t>
            </w:r>
          </w:p>
        </w:tc>
        <w:tc>
          <w:tcPr>
            <w:tcW w:w="5727" w:type="dxa"/>
          </w:tcPr>
          <w:p w14:paraId="050FE779" w14:textId="2941360A" w:rsidR="00386D0E" w:rsidRPr="008E6D16" w:rsidRDefault="00D32EA6" w:rsidP="00474573">
            <w:pPr>
              <w:spacing w:before="60" w:after="60" w:line="240" w:lineRule="auto"/>
              <w:rPr>
                <w:rFonts w:ascii="Arial" w:eastAsia="Times New Roman" w:hAnsi="Arial" w:cs="Arial"/>
                <w:sz w:val="24"/>
                <w:szCs w:val="24"/>
              </w:rPr>
            </w:pPr>
            <w:r>
              <w:rPr>
                <w:rFonts w:ascii="Arial" w:eastAsia="Times New Roman" w:hAnsi="Arial" w:cs="Arial"/>
                <w:sz w:val="24"/>
                <w:szCs w:val="24"/>
              </w:rPr>
              <w:t>Insurers prepped and made ready to bind.</w:t>
            </w:r>
          </w:p>
        </w:tc>
      </w:tr>
      <w:tr w:rsidR="00386D0E" w:rsidRPr="008E6D16" w14:paraId="35780E16" w14:textId="77777777" w:rsidTr="00474573">
        <w:tc>
          <w:tcPr>
            <w:tcW w:w="2268" w:type="dxa"/>
            <w:tcBorders>
              <w:bottom w:val="single" w:sz="4" w:space="0" w:color="auto"/>
            </w:tcBorders>
          </w:tcPr>
          <w:p w14:paraId="1877B9B0" w14:textId="1BC78FD6" w:rsidR="00386D0E" w:rsidRPr="008E6D16" w:rsidRDefault="00D32EA6" w:rsidP="00474573">
            <w:pPr>
              <w:spacing w:before="60" w:after="60" w:line="240" w:lineRule="auto"/>
              <w:rPr>
                <w:rFonts w:ascii="Arial" w:eastAsia="Times New Roman" w:hAnsi="Arial" w:cs="Arial"/>
                <w:sz w:val="24"/>
                <w:szCs w:val="24"/>
              </w:rPr>
            </w:pPr>
            <w:r>
              <w:rPr>
                <w:rFonts w:ascii="Arial" w:eastAsia="Times New Roman" w:hAnsi="Arial" w:cs="Arial"/>
                <w:sz w:val="24"/>
                <w:szCs w:val="24"/>
              </w:rPr>
              <w:t>Deal closes</w:t>
            </w:r>
          </w:p>
          <w:p w14:paraId="441B63D6" w14:textId="54199FA0" w:rsidR="00386D0E" w:rsidRPr="008E6D16" w:rsidRDefault="00386D0E" w:rsidP="00474573">
            <w:pPr>
              <w:spacing w:before="60" w:after="60" w:line="240" w:lineRule="auto"/>
              <w:rPr>
                <w:rFonts w:ascii="Arial" w:eastAsia="Times New Roman" w:hAnsi="Arial" w:cs="Arial"/>
                <w:sz w:val="24"/>
                <w:szCs w:val="24"/>
              </w:rPr>
            </w:pPr>
          </w:p>
        </w:tc>
        <w:tc>
          <w:tcPr>
            <w:tcW w:w="5727" w:type="dxa"/>
            <w:tcBorders>
              <w:bottom w:val="single" w:sz="4" w:space="0" w:color="auto"/>
            </w:tcBorders>
          </w:tcPr>
          <w:p w14:paraId="69D1ECD8" w14:textId="25768F75" w:rsidR="00386D0E" w:rsidRPr="008E6D16" w:rsidRDefault="00D32EA6" w:rsidP="00474573">
            <w:pPr>
              <w:spacing w:before="60" w:after="60" w:line="240" w:lineRule="auto"/>
              <w:rPr>
                <w:rFonts w:ascii="Arial" w:eastAsia="Times New Roman" w:hAnsi="Arial" w:cs="Arial"/>
                <w:sz w:val="24"/>
                <w:szCs w:val="24"/>
              </w:rPr>
            </w:pPr>
            <w:r>
              <w:rPr>
                <w:rFonts w:ascii="Arial" w:eastAsia="Times New Roman" w:hAnsi="Arial" w:cs="Arial"/>
                <w:sz w:val="24"/>
                <w:szCs w:val="24"/>
              </w:rPr>
              <w:t xml:space="preserve">Bind orders placed.  </w:t>
            </w:r>
            <w:r w:rsidR="00386D0E" w:rsidRPr="008E6D16">
              <w:rPr>
                <w:rFonts w:ascii="Arial" w:eastAsia="Times New Roman" w:hAnsi="Arial" w:cs="Arial"/>
                <w:sz w:val="24"/>
                <w:szCs w:val="24"/>
              </w:rPr>
              <w:t>Inception of D&amp;O program</w:t>
            </w:r>
            <w:r>
              <w:rPr>
                <w:rFonts w:ascii="Arial" w:eastAsia="Times New Roman" w:hAnsi="Arial" w:cs="Arial"/>
                <w:sz w:val="24"/>
                <w:szCs w:val="24"/>
              </w:rPr>
              <w:t xml:space="preserve"> for merged company</w:t>
            </w:r>
            <w:r w:rsidR="00386D0E" w:rsidRPr="008E6D16">
              <w:rPr>
                <w:rFonts w:ascii="Arial" w:eastAsia="Times New Roman" w:hAnsi="Arial" w:cs="Arial"/>
                <w:sz w:val="24"/>
                <w:szCs w:val="24"/>
              </w:rPr>
              <w:t xml:space="preserve">.  </w:t>
            </w:r>
          </w:p>
        </w:tc>
      </w:tr>
      <w:tr w:rsidR="00386D0E" w:rsidRPr="008E6D16" w14:paraId="180B7EE6" w14:textId="77777777" w:rsidTr="00474573">
        <w:tc>
          <w:tcPr>
            <w:tcW w:w="2268" w:type="dxa"/>
            <w:shd w:val="clear" w:color="auto" w:fill="D9D9D9"/>
          </w:tcPr>
          <w:p w14:paraId="59C11FE2" w14:textId="77777777" w:rsidR="00386D0E" w:rsidRPr="008E6D16" w:rsidRDefault="00386D0E" w:rsidP="00474573">
            <w:pPr>
              <w:spacing w:before="60" w:after="60" w:line="240" w:lineRule="auto"/>
              <w:rPr>
                <w:rFonts w:ascii="Arial" w:eastAsia="Times New Roman" w:hAnsi="Arial" w:cs="Arial"/>
                <w:sz w:val="24"/>
                <w:szCs w:val="24"/>
              </w:rPr>
            </w:pPr>
          </w:p>
        </w:tc>
        <w:tc>
          <w:tcPr>
            <w:tcW w:w="5727" w:type="dxa"/>
            <w:shd w:val="clear" w:color="auto" w:fill="D9D9D9"/>
          </w:tcPr>
          <w:p w14:paraId="60F0FC4A" w14:textId="77777777" w:rsidR="00386D0E" w:rsidRPr="008E6D16" w:rsidRDefault="00386D0E" w:rsidP="00474573">
            <w:pPr>
              <w:spacing w:before="60" w:after="60" w:line="240" w:lineRule="auto"/>
              <w:rPr>
                <w:rFonts w:ascii="Arial" w:eastAsia="Times New Roman" w:hAnsi="Arial" w:cs="Arial"/>
                <w:sz w:val="24"/>
                <w:szCs w:val="24"/>
              </w:rPr>
            </w:pPr>
          </w:p>
        </w:tc>
      </w:tr>
    </w:tbl>
    <w:p w14:paraId="5E4B7986" w14:textId="77777777" w:rsidR="00E24567" w:rsidRPr="00E24567" w:rsidRDefault="00E24567" w:rsidP="00E24567">
      <w:pPr>
        <w:kinsoku w:val="0"/>
        <w:overflowPunct w:val="0"/>
        <w:autoSpaceDE w:val="0"/>
        <w:autoSpaceDN w:val="0"/>
        <w:adjustRightInd w:val="0"/>
        <w:spacing w:after="1" w:line="240" w:lineRule="auto"/>
        <w:rPr>
          <w:rFonts w:ascii="Times New Roman" w:hAnsi="Times New Roman" w:cs="Times New Roman"/>
          <w:sz w:val="20"/>
          <w:szCs w:val="20"/>
        </w:rPr>
      </w:pPr>
    </w:p>
    <w:p w14:paraId="042B5593" w14:textId="77777777" w:rsidR="00E24567" w:rsidRDefault="00E24567">
      <w:pPr>
        <w:rPr>
          <w:rFonts w:ascii="Arial" w:eastAsia="Times New Roman" w:hAnsi="Arial" w:cs="Times New Roman"/>
          <w:sz w:val="24"/>
          <w:szCs w:val="24"/>
        </w:rPr>
      </w:pPr>
    </w:p>
    <w:p w14:paraId="411CAFFD" w14:textId="257DFF05" w:rsidR="00AF54DF" w:rsidRPr="005A3A95" w:rsidRDefault="00E24567" w:rsidP="005A3A95">
      <w:pPr>
        <w:rPr>
          <w:rFonts w:ascii="Arial" w:eastAsia="Times New Roman" w:hAnsi="Arial" w:cs="Times New Roman"/>
          <w:sz w:val="24"/>
          <w:szCs w:val="24"/>
        </w:rPr>
      </w:pPr>
      <w:r>
        <w:rPr>
          <w:rFonts w:ascii="Arial" w:eastAsia="Times New Roman" w:hAnsi="Arial" w:cs="Times New Roman"/>
          <w:sz w:val="24"/>
          <w:szCs w:val="24"/>
        </w:rPr>
        <w:br w:type="page"/>
      </w:r>
    </w:p>
    <w:p w14:paraId="53BFDC9A" w14:textId="24523B10" w:rsidR="00C163F3" w:rsidRPr="00C163F3" w:rsidRDefault="00CD4F8B" w:rsidP="00C163F3">
      <w:pPr>
        <w:pStyle w:val="OBISChapterTitle"/>
        <w:rPr>
          <w:bCs/>
          <w:iCs w:val="0"/>
          <w:color w:val="0067B1"/>
          <w:kern w:val="22"/>
        </w:rPr>
      </w:pPr>
      <w:r w:rsidRPr="00A94665">
        <w:rPr>
          <w:bCs/>
          <w:iCs w:val="0"/>
          <w:color w:val="0067B1"/>
          <w:kern w:val="22"/>
        </w:rPr>
        <w:lastRenderedPageBreak/>
        <w:t>V</w:t>
      </w:r>
      <w:r w:rsidR="005A3A95">
        <w:rPr>
          <w:bCs/>
          <w:iCs w:val="0"/>
          <w:color w:val="0067B1"/>
          <w:kern w:val="22"/>
        </w:rPr>
        <w:t>I</w:t>
      </w:r>
      <w:r w:rsidRPr="00A94665">
        <w:rPr>
          <w:bCs/>
          <w:iCs w:val="0"/>
          <w:color w:val="0067B1"/>
          <w:kern w:val="22"/>
        </w:rPr>
        <w:t>I</w:t>
      </w:r>
      <w:r w:rsidR="00246DE1" w:rsidRPr="00A94665">
        <w:rPr>
          <w:bCs/>
          <w:iCs w:val="0"/>
          <w:color w:val="0067B1"/>
          <w:kern w:val="22"/>
        </w:rPr>
        <w:t xml:space="preserve">. </w:t>
      </w:r>
      <w:r w:rsidR="005943D2" w:rsidRPr="00A94665">
        <w:rPr>
          <w:bCs/>
          <w:iCs w:val="0"/>
          <w:color w:val="0067B1"/>
          <w:kern w:val="22"/>
        </w:rPr>
        <w:t>Limits Modeling data</w:t>
      </w:r>
      <w:bookmarkStart w:id="7" w:name="_Toc210108513"/>
      <w:bookmarkStart w:id="8" w:name="_Toc210108730"/>
    </w:p>
    <w:p w14:paraId="2076875F" w14:textId="77777777" w:rsidR="00DB38FC" w:rsidRDefault="00DB38FC" w:rsidP="00DB38FC">
      <w:pPr>
        <w:pStyle w:val="OBISBodyCopy"/>
      </w:pPr>
      <w:r>
        <w:rPr>
          <w:kern w:val="22"/>
        </w:rPr>
        <w:t xml:space="preserve">When considering the appropriate limit of liability for a D&amp;O program, we look to two main factors for guidance.  First, we look at historical statistics on past settlement values for shareholder class action claims.  We then look to the purchasing patterns of companies with similar market capitalizations. Bear in mind that we recommend that our clients speak to their outside securities counsel for their valuable advice. </w:t>
      </w:r>
    </w:p>
    <w:p w14:paraId="7E33F969" w14:textId="77777777" w:rsidR="00DB38FC" w:rsidRDefault="00DB38FC" w:rsidP="00DB38FC">
      <w:pPr>
        <w:pStyle w:val="OBISSubhead2"/>
        <w:outlineLvl w:val="0"/>
        <w:rPr>
          <w:rStyle w:val="OBISBodyCopyChar"/>
          <w:i w:val="0"/>
          <w:color w:val="auto"/>
        </w:rPr>
      </w:pPr>
      <w:bookmarkStart w:id="9" w:name="_Toc210108725"/>
      <w:bookmarkStart w:id="10" w:name="_Toc210108508"/>
      <w:r>
        <w:rPr>
          <w:i w:val="0"/>
          <w:color w:val="0067B1"/>
        </w:rPr>
        <w:t xml:space="preserve">Industry Perspective </w:t>
      </w:r>
      <w:r>
        <w:rPr>
          <w:b/>
          <w:color w:val="0067B1"/>
        </w:rPr>
        <w:t xml:space="preserve"> </w:t>
      </w:r>
      <w:bookmarkEnd w:id="9"/>
      <w:bookmarkEnd w:id="10"/>
      <w:r>
        <w:rPr>
          <w:rStyle w:val="OBISBodyCopyChar"/>
          <w:i w:val="0"/>
          <w:smallCaps w:val="0"/>
          <w:color w:val="auto"/>
        </w:rPr>
        <w:t>While companies in every industry find themselves targets of shareholder class actions, there are clearly sectors that stand out as perennial favorite targets for the plaintiffs’ bar.  As usual, in 2021, the consumer non-cyclical industry sector had the most suits-brought, primarily against pharmaceutical, biotechnology and healthcare companies.  Claims against financial companies receded to the lowest level in recent memory.  And, as in years past, utilities, energy and basic materials companies remained the least sued business classes.</w:t>
      </w:r>
      <w:r>
        <w:rPr>
          <w:rStyle w:val="OBISBodyCopyChar"/>
          <w:i w:val="0"/>
          <w:color w:val="auto"/>
        </w:rPr>
        <w:t xml:space="preserve"> </w:t>
      </w:r>
    </w:p>
    <w:p w14:paraId="2AF4304D" w14:textId="77777777" w:rsidR="00DB38FC" w:rsidRDefault="00DB38FC" w:rsidP="00DB38FC">
      <w:pPr>
        <w:pStyle w:val="OBISSubhead2"/>
        <w:outlineLvl w:val="0"/>
        <w:rPr>
          <w:rFonts w:cs="Arial"/>
          <w:color w:val="000000"/>
        </w:rPr>
      </w:pPr>
    </w:p>
    <w:tbl>
      <w:tblPr>
        <w:tblW w:w="7974" w:type="dxa"/>
        <w:jc w:val="center"/>
        <w:tblBorders>
          <w:insideH w:val="single" w:sz="4" w:space="0" w:color="auto"/>
        </w:tblBorders>
        <w:tblLook w:val="01E0" w:firstRow="1" w:lastRow="1" w:firstColumn="1" w:lastColumn="1" w:noHBand="0" w:noVBand="0"/>
      </w:tblPr>
      <w:tblGrid>
        <w:gridCol w:w="4167"/>
        <w:gridCol w:w="1859"/>
        <w:gridCol w:w="974"/>
        <w:gridCol w:w="974"/>
      </w:tblGrid>
      <w:tr w:rsidR="00DB38FC" w14:paraId="6244EAAE" w14:textId="77777777" w:rsidTr="00363B3B">
        <w:trPr>
          <w:jc w:val="center"/>
        </w:trPr>
        <w:tc>
          <w:tcPr>
            <w:tcW w:w="4167" w:type="dxa"/>
            <w:tcBorders>
              <w:top w:val="nil"/>
              <w:left w:val="nil"/>
              <w:bottom w:val="single" w:sz="6" w:space="0" w:color="auto"/>
              <w:right w:val="nil"/>
            </w:tcBorders>
            <w:shd w:val="clear" w:color="auto" w:fill="E0E0E0"/>
            <w:vAlign w:val="center"/>
            <w:hideMark/>
          </w:tcPr>
          <w:p w14:paraId="74EDB6E3" w14:textId="77777777" w:rsidR="00DB38FC" w:rsidRDefault="00DB38FC" w:rsidP="00363B3B">
            <w:pPr>
              <w:widowControl w:val="0"/>
              <w:autoSpaceDE w:val="0"/>
              <w:autoSpaceDN w:val="0"/>
              <w:adjustRightInd w:val="0"/>
              <w:spacing w:before="120" w:after="120" w:line="240" w:lineRule="auto"/>
              <w:rPr>
                <w:rFonts w:ascii="Arial" w:eastAsia="Times New Roman" w:hAnsi="Arial" w:cs="Arial"/>
                <w:b/>
                <w:smallCaps/>
                <w:color w:val="006666"/>
                <w:sz w:val="20"/>
                <w:szCs w:val="20"/>
              </w:rPr>
            </w:pPr>
            <w:r>
              <w:rPr>
                <w:rFonts w:ascii="Arial" w:eastAsia="Times New Roman" w:hAnsi="Arial" w:cs="Arial"/>
                <w:b/>
                <w:smallCaps/>
                <w:color w:val="0067B1"/>
                <w:sz w:val="20"/>
                <w:szCs w:val="20"/>
              </w:rPr>
              <w:t>Core Filings by Industry</w:t>
            </w:r>
          </w:p>
        </w:tc>
        <w:tc>
          <w:tcPr>
            <w:tcW w:w="1859" w:type="dxa"/>
            <w:tcBorders>
              <w:top w:val="nil"/>
              <w:left w:val="nil"/>
              <w:bottom w:val="single" w:sz="6" w:space="0" w:color="auto"/>
              <w:right w:val="nil"/>
            </w:tcBorders>
            <w:shd w:val="clear" w:color="auto" w:fill="E0E0E0"/>
            <w:vAlign w:val="center"/>
            <w:hideMark/>
          </w:tcPr>
          <w:p w14:paraId="5E8E1627" w14:textId="77777777" w:rsidR="00DB38FC" w:rsidRDefault="00DB38FC" w:rsidP="00363B3B">
            <w:pPr>
              <w:widowControl w:val="0"/>
              <w:autoSpaceDE w:val="0"/>
              <w:autoSpaceDN w:val="0"/>
              <w:adjustRightInd w:val="0"/>
              <w:spacing w:before="120" w:after="120" w:line="24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Average</w:t>
            </w:r>
          </w:p>
          <w:p w14:paraId="0BF4C165" w14:textId="77777777" w:rsidR="00DB38FC" w:rsidRDefault="00DB38FC" w:rsidP="00363B3B">
            <w:pPr>
              <w:widowControl w:val="0"/>
              <w:autoSpaceDE w:val="0"/>
              <w:autoSpaceDN w:val="0"/>
              <w:adjustRightInd w:val="0"/>
              <w:spacing w:before="120" w:after="120" w:line="24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1997-2020</w:t>
            </w:r>
          </w:p>
        </w:tc>
        <w:tc>
          <w:tcPr>
            <w:tcW w:w="974" w:type="dxa"/>
            <w:tcBorders>
              <w:top w:val="nil"/>
              <w:left w:val="nil"/>
              <w:bottom w:val="single" w:sz="6" w:space="0" w:color="auto"/>
              <w:right w:val="nil"/>
            </w:tcBorders>
            <w:shd w:val="clear" w:color="auto" w:fill="E0E0E0"/>
            <w:vAlign w:val="center"/>
            <w:hideMark/>
          </w:tcPr>
          <w:p w14:paraId="47ABF065" w14:textId="77777777" w:rsidR="00DB38FC" w:rsidRDefault="00DB38FC" w:rsidP="00363B3B">
            <w:pPr>
              <w:widowControl w:val="0"/>
              <w:autoSpaceDE w:val="0"/>
              <w:autoSpaceDN w:val="0"/>
              <w:adjustRightInd w:val="0"/>
              <w:spacing w:before="120" w:after="120" w:line="24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2020</w:t>
            </w:r>
          </w:p>
        </w:tc>
        <w:tc>
          <w:tcPr>
            <w:tcW w:w="974" w:type="dxa"/>
            <w:tcBorders>
              <w:top w:val="nil"/>
              <w:left w:val="nil"/>
              <w:bottom w:val="single" w:sz="6" w:space="0" w:color="auto"/>
              <w:right w:val="nil"/>
            </w:tcBorders>
            <w:shd w:val="clear" w:color="auto" w:fill="E0E0E0"/>
            <w:vAlign w:val="center"/>
            <w:hideMark/>
          </w:tcPr>
          <w:p w14:paraId="2A322F14" w14:textId="77777777" w:rsidR="00DB38FC" w:rsidRDefault="00DB38FC" w:rsidP="00363B3B">
            <w:pPr>
              <w:widowControl w:val="0"/>
              <w:autoSpaceDE w:val="0"/>
              <w:autoSpaceDN w:val="0"/>
              <w:adjustRightInd w:val="0"/>
              <w:spacing w:before="120" w:after="120" w:line="24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2021</w:t>
            </w:r>
          </w:p>
        </w:tc>
      </w:tr>
      <w:tr w:rsidR="00DB38FC" w14:paraId="6A5166C7" w14:textId="77777777" w:rsidTr="00363B3B">
        <w:trPr>
          <w:jc w:val="center"/>
        </w:trPr>
        <w:tc>
          <w:tcPr>
            <w:tcW w:w="4167" w:type="dxa"/>
            <w:tcBorders>
              <w:top w:val="single" w:sz="6" w:space="0" w:color="auto"/>
              <w:left w:val="nil"/>
              <w:bottom w:val="single" w:sz="6" w:space="0" w:color="808080"/>
              <w:right w:val="nil"/>
            </w:tcBorders>
            <w:tcMar>
              <w:top w:w="72" w:type="dxa"/>
              <w:left w:w="108" w:type="dxa"/>
              <w:bottom w:w="72" w:type="dxa"/>
              <w:right w:w="108" w:type="dxa"/>
            </w:tcMar>
            <w:vAlign w:val="center"/>
            <w:hideMark/>
          </w:tcPr>
          <w:p w14:paraId="08EBFBF1" w14:textId="77777777" w:rsidR="00DB38FC" w:rsidRDefault="00DB38FC" w:rsidP="00363B3B">
            <w:pPr>
              <w:widowControl w:val="0"/>
              <w:autoSpaceDE w:val="0"/>
              <w:autoSpaceDN w:val="0"/>
              <w:adjustRightInd w:val="0"/>
              <w:spacing w:after="0" w:line="240" w:lineRule="auto"/>
              <w:jc w:val="both"/>
              <w:rPr>
                <w:rFonts w:ascii="Arial" w:eastAsia="Times New Roman" w:hAnsi="Arial" w:cs="Arial"/>
                <w:color w:val="000000"/>
                <w:sz w:val="20"/>
                <w:szCs w:val="20"/>
              </w:rPr>
            </w:pPr>
            <w:r>
              <w:rPr>
                <w:rFonts w:ascii="Arial" w:eastAsia="Times New Roman" w:hAnsi="Arial" w:cs="Arial"/>
                <w:color w:val="000000"/>
                <w:sz w:val="20"/>
                <w:szCs w:val="20"/>
              </w:rPr>
              <w:t>Financial</w:t>
            </w:r>
          </w:p>
        </w:tc>
        <w:tc>
          <w:tcPr>
            <w:tcW w:w="1859" w:type="dxa"/>
            <w:tcBorders>
              <w:top w:val="single" w:sz="6" w:space="0" w:color="auto"/>
              <w:left w:val="nil"/>
              <w:bottom w:val="single" w:sz="6" w:space="0" w:color="808080"/>
              <w:right w:val="nil"/>
            </w:tcBorders>
            <w:hideMark/>
          </w:tcPr>
          <w:p w14:paraId="602D0126"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30</w:t>
            </w:r>
          </w:p>
        </w:tc>
        <w:tc>
          <w:tcPr>
            <w:tcW w:w="974" w:type="dxa"/>
            <w:tcBorders>
              <w:top w:val="single" w:sz="6" w:space="0" w:color="auto"/>
              <w:left w:val="nil"/>
              <w:bottom w:val="single" w:sz="6" w:space="0" w:color="808080"/>
              <w:right w:val="nil"/>
            </w:tcBorders>
          </w:tcPr>
          <w:p w14:paraId="3991FC47"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29</w:t>
            </w:r>
          </w:p>
        </w:tc>
        <w:tc>
          <w:tcPr>
            <w:tcW w:w="974" w:type="dxa"/>
            <w:tcBorders>
              <w:top w:val="single" w:sz="6" w:space="0" w:color="auto"/>
              <w:left w:val="nil"/>
              <w:bottom w:val="single" w:sz="6" w:space="0" w:color="808080"/>
              <w:right w:val="nil"/>
            </w:tcBorders>
            <w:hideMark/>
          </w:tcPr>
          <w:p w14:paraId="3087F1BB"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18</w:t>
            </w:r>
          </w:p>
        </w:tc>
      </w:tr>
      <w:tr w:rsidR="00DB38FC" w14:paraId="2B3E27DF" w14:textId="77777777" w:rsidTr="00363B3B">
        <w:trPr>
          <w:jc w:val="center"/>
        </w:trPr>
        <w:tc>
          <w:tcPr>
            <w:tcW w:w="4167" w:type="dxa"/>
            <w:tcBorders>
              <w:top w:val="single" w:sz="6" w:space="0" w:color="808080"/>
              <w:left w:val="nil"/>
              <w:bottom w:val="single" w:sz="6" w:space="0" w:color="808080"/>
              <w:right w:val="nil"/>
            </w:tcBorders>
            <w:tcMar>
              <w:top w:w="72" w:type="dxa"/>
              <w:left w:w="108" w:type="dxa"/>
              <w:bottom w:w="72" w:type="dxa"/>
              <w:right w:w="108" w:type="dxa"/>
            </w:tcMar>
            <w:vAlign w:val="center"/>
            <w:hideMark/>
          </w:tcPr>
          <w:p w14:paraId="4FE0C3F2" w14:textId="77777777" w:rsidR="00DB38FC" w:rsidRDefault="00DB38FC" w:rsidP="00363B3B">
            <w:pPr>
              <w:widowControl w:val="0"/>
              <w:autoSpaceDE w:val="0"/>
              <w:autoSpaceDN w:val="0"/>
              <w:adjustRightInd w:val="0"/>
              <w:spacing w:after="0" w:line="240" w:lineRule="auto"/>
              <w:jc w:val="both"/>
              <w:rPr>
                <w:rFonts w:ascii="Arial" w:eastAsia="Times New Roman" w:hAnsi="Arial" w:cs="Arial"/>
                <w:color w:val="000000"/>
                <w:sz w:val="20"/>
                <w:szCs w:val="20"/>
              </w:rPr>
            </w:pPr>
            <w:r>
              <w:rPr>
                <w:rFonts w:ascii="Arial" w:eastAsia="Times New Roman" w:hAnsi="Arial" w:cs="Arial"/>
                <w:color w:val="000000"/>
                <w:sz w:val="20"/>
                <w:szCs w:val="20"/>
              </w:rPr>
              <w:t>Consumer Non-Cyclical</w:t>
            </w:r>
          </w:p>
        </w:tc>
        <w:tc>
          <w:tcPr>
            <w:tcW w:w="1859" w:type="dxa"/>
            <w:tcBorders>
              <w:top w:val="single" w:sz="6" w:space="0" w:color="808080"/>
              <w:left w:val="nil"/>
              <w:bottom w:val="single" w:sz="6" w:space="0" w:color="808080"/>
              <w:right w:val="nil"/>
            </w:tcBorders>
            <w:hideMark/>
          </w:tcPr>
          <w:p w14:paraId="7CCA0B14"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52</w:t>
            </w:r>
          </w:p>
        </w:tc>
        <w:tc>
          <w:tcPr>
            <w:tcW w:w="974" w:type="dxa"/>
            <w:tcBorders>
              <w:top w:val="single" w:sz="6" w:space="0" w:color="808080"/>
              <w:left w:val="nil"/>
              <w:bottom w:val="single" w:sz="6" w:space="0" w:color="808080"/>
              <w:right w:val="nil"/>
            </w:tcBorders>
          </w:tcPr>
          <w:p w14:paraId="6E17FB3E"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66</w:t>
            </w:r>
          </w:p>
        </w:tc>
        <w:tc>
          <w:tcPr>
            <w:tcW w:w="974" w:type="dxa"/>
            <w:tcBorders>
              <w:top w:val="single" w:sz="6" w:space="0" w:color="808080"/>
              <w:left w:val="nil"/>
              <w:bottom w:val="single" w:sz="6" w:space="0" w:color="808080"/>
              <w:right w:val="nil"/>
            </w:tcBorders>
            <w:hideMark/>
          </w:tcPr>
          <w:p w14:paraId="290E78D4"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68</w:t>
            </w:r>
          </w:p>
        </w:tc>
      </w:tr>
      <w:tr w:rsidR="00DB38FC" w14:paraId="6A334C76" w14:textId="77777777" w:rsidTr="00363B3B">
        <w:trPr>
          <w:jc w:val="center"/>
        </w:trPr>
        <w:tc>
          <w:tcPr>
            <w:tcW w:w="4167" w:type="dxa"/>
            <w:tcBorders>
              <w:top w:val="single" w:sz="6" w:space="0" w:color="808080"/>
              <w:left w:val="nil"/>
              <w:bottom w:val="single" w:sz="6" w:space="0" w:color="808080"/>
              <w:right w:val="nil"/>
            </w:tcBorders>
            <w:tcMar>
              <w:top w:w="72" w:type="dxa"/>
              <w:left w:w="108" w:type="dxa"/>
              <w:bottom w:w="72" w:type="dxa"/>
              <w:right w:w="108" w:type="dxa"/>
            </w:tcMar>
            <w:vAlign w:val="center"/>
            <w:hideMark/>
          </w:tcPr>
          <w:p w14:paraId="0A8C5B19" w14:textId="77777777" w:rsidR="00DB38FC" w:rsidRDefault="00DB38FC" w:rsidP="00363B3B">
            <w:pPr>
              <w:widowControl w:val="0"/>
              <w:autoSpaceDE w:val="0"/>
              <w:autoSpaceDN w:val="0"/>
              <w:adjustRightInd w:val="0"/>
              <w:spacing w:after="0" w:line="240" w:lineRule="auto"/>
              <w:jc w:val="both"/>
              <w:rPr>
                <w:rFonts w:ascii="Arial" w:eastAsia="Times New Roman" w:hAnsi="Arial" w:cs="Arial"/>
                <w:color w:val="000000"/>
                <w:sz w:val="20"/>
                <w:szCs w:val="20"/>
              </w:rPr>
            </w:pPr>
            <w:r>
              <w:rPr>
                <w:rFonts w:ascii="Arial" w:eastAsia="Times New Roman" w:hAnsi="Arial" w:cs="Arial"/>
                <w:color w:val="000000"/>
                <w:sz w:val="20"/>
                <w:szCs w:val="20"/>
              </w:rPr>
              <w:t>Industrial</w:t>
            </w:r>
          </w:p>
        </w:tc>
        <w:tc>
          <w:tcPr>
            <w:tcW w:w="1859" w:type="dxa"/>
            <w:tcBorders>
              <w:top w:val="single" w:sz="6" w:space="0" w:color="808080"/>
              <w:left w:val="nil"/>
              <w:bottom w:val="single" w:sz="6" w:space="0" w:color="808080"/>
              <w:right w:val="nil"/>
            </w:tcBorders>
            <w:hideMark/>
          </w:tcPr>
          <w:p w14:paraId="458F93B1"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17</w:t>
            </w:r>
          </w:p>
        </w:tc>
        <w:tc>
          <w:tcPr>
            <w:tcW w:w="974" w:type="dxa"/>
            <w:tcBorders>
              <w:top w:val="single" w:sz="6" w:space="0" w:color="808080"/>
              <w:left w:val="nil"/>
              <w:bottom w:val="single" w:sz="6" w:space="0" w:color="808080"/>
              <w:right w:val="nil"/>
            </w:tcBorders>
          </w:tcPr>
          <w:p w14:paraId="3021BD53"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13</w:t>
            </w:r>
          </w:p>
        </w:tc>
        <w:tc>
          <w:tcPr>
            <w:tcW w:w="974" w:type="dxa"/>
            <w:tcBorders>
              <w:top w:val="single" w:sz="6" w:space="0" w:color="808080"/>
              <w:left w:val="nil"/>
              <w:bottom w:val="single" w:sz="6" w:space="0" w:color="808080"/>
              <w:right w:val="nil"/>
            </w:tcBorders>
            <w:hideMark/>
          </w:tcPr>
          <w:p w14:paraId="1968F2B2"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10</w:t>
            </w:r>
          </w:p>
        </w:tc>
      </w:tr>
      <w:tr w:rsidR="00DB38FC" w14:paraId="2627024E" w14:textId="77777777" w:rsidTr="00363B3B">
        <w:trPr>
          <w:jc w:val="center"/>
        </w:trPr>
        <w:tc>
          <w:tcPr>
            <w:tcW w:w="4167" w:type="dxa"/>
            <w:tcBorders>
              <w:top w:val="single" w:sz="6" w:space="0" w:color="808080"/>
              <w:left w:val="nil"/>
              <w:bottom w:val="single" w:sz="6" w:space="0" w:color="808080"/>
              <w:right w:val="nil"/>
            </w:tcBorders>
            <w:tcMar>
              <w:top w:w="72" w:type="dxa"/>
              <w:left w:w="108" w:type="dxa"/>
              <w:bottom w:w="72" w:type="dxa"/>
              <w:right w:w="108" w:type="dxa"/>
            </w:tcMar>
            <w:vAlign w:val="center"/>
            <w:hideMark/>
          </w:tcPr>
          <w:p w14:paraId="4D0934BE" w14:textId="77777777" w:rsidR="00DB38FC" w:rsidRDefault="00DB38FC" w:rsidP="00363B3B">
            <w:pPr>
              <w:widowControl w:val="0"/>
              <w:autoSpaceDE w:val="0"/>
              <w:autoSpaceDN w:val="0"/>
              <w:adjustRightInd w:val="0"/>
              <w:spacing w:after="0" w:line="240" w:lineRule="auto"/>
              <w:jc w:val="both"/>
              <w:rPr>
                <w:rFonts w:ascii="Arial" w:eastAsia="Times New Roman" w:hAnsi="Arial" w:cs="Arial"/>
                <w:color w:val="000000"/>
                <w:sz w:val="20"/>
                <w:szCs w:val="20"/>
              </w:rPr>
            </w:pPr>
            <w:r>
              <w:rPr>
                <w:rFonts w:ascii="Arial" w:eastAsia="Times New Roman" w:hAnsi="Arial" w:cs="Arial"/>
                <w:color w:val="000000"/>
                <w:sz w:val="20"/>
                <w:szCs w:val="20"/>
              </w:rPr>
              <w:t>Technology</w:t>
            </w:r>
          </w:p>
        </w:tc>
        <w:tc>
          <w:tcPr>
            <w:tcW w:w="1859" w:type="dxa"/>
            <w:tcBorders>
              <w:top w:val="single" w:sz="6" w:space="0" w:color="808080"/>
              <w:left w:val="nil"/>
              <w:bottom w:val="single" w:sz="6" w:space="0" w:color="808080"/>
              <w:right w:val="nil"/>
            </w:tcBorders>
            <w:hideMark/>
          </w:tcPr>
          <w:p w14:paraId="753929BF"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23</w:t>
            </w:r>
          </w:p>
        </w:tc>
        <w:tc>
          <w:tcPr>
            <w:tcW w:w="974" w:type="dxa"/>
            <w:tcBorders>
              <w:top w:val="single" w:sz="6" w:space="0" w:color="808080"/>
              <w:left w:val="nil"/>
              <w:bottom w:val="single" w:sz="6" w:space="0" w:color="808080"/>
              <w:right w:val="nil"/>
            </w:tcBorders>
          </w:tcPr>
          <w:p w14:paraId="2D038497"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28</w:t>
            </w:r>
          </w:p>
        </w:tc>
        <w:tc>
          <w:tcPr>
            <w:tcW w:w="974" w:type="dxa"/>
            <w:tcBorders>
              <w:top w:val="single" w:sz="6" w:space="0" w:color="808080"/>
              <w:left w:val="nil"/>
              <w:bottom w:val="single" w:sz="6" w:space="0" w:color="808080"/>
              <w:right w:val="nil"/>
            </w:tcBorders>
            <w:hideMark/>
          </w:tcPr>
          <w:p w14:paraId="7B026699"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29</w:t>
            </w:r>
          </w:p>
        </w:tc>
      </w:tr>
      <w:tr w:rsidR="00DB38FC" w14:paraId="23FB15B0" w14:textId="77777777" w:rsidTr="00363B3B">
        <w:trPr>
          <w:jc w:val="center"/>
        </w:trPr>
        <w:tc>
          <w:tcPr>
            <w:tcW w:w="4167" w:type="dxa"/>
            <w:tcBorders>
              <w:top w:val="nil"/>
              <w:left w:val="nil"/>
              <w:bottom w:val="single" w:sz="6" w:space="0" w:color="808080"/>
              <w:right w:val="nil"/>
            </w:tcBorders>
            <w:tcMar>
              <w:top w:w="72" w:type="dxa"/>
              <w:left w:w="108" w:type="dxa"/>
              <w:bottom w:w="72" w:type="dxa"/>
              <w:right w:w="108" w:type="dxa"/>
            </w:tcMar>
            <w:vAlign w:val="center"/>
            <w:hideMark/>
          </w:tcPr>
          <w:p w14:paraId="41903497" w14:textId="77777777" w:rsidR="00DB38FC" w:rsidRDefault="00DB38FC" w:rsidP="00363B3B">
            <w:pPr>
              <w:widowControl w:val="0"/>
              <w:autoSpaceDE w:val="0"/>
              <w:autoSpaceDN w:val="0"/>
              <w:adjustRightInd w:val="0"/>
              <w:spacing w:after="0" w:line="240" w:lineRule="auto"/>
              <w:jc w:val="both"/>
              <w:rPr>
                <w:rFonts w:ascii="Arial" w:eastAsia="Times New Roman" w:hAnsi="Arial" w:cs="Arial"/>
                <w:color w:val="000000"/>
                <w:sz w:val="20"/>
                <w:szCs w:val="20"/>
              </w:rPr>
            </w:pPr>
            <w:r>
              <w:rPr>
                <w:rFonts w:ascii="Arial" w:eastAsia="Times New Roman" w:hAnsi="Arial" w:cs="Arial"/>
                <w:color w:val="000000"/>
                <w:sz w:val="20"/>
                <w:szCs w:val="20"/>
              </w:rPr>
              <w:t>Consumer Cyclical</w:t>
            </w:r>
          </w:p>
        </w:tc>
        <w:tc>
          <w:tcPr>
            <w:tcW w:w="1859" w:type="dxa"/>
            <w:tcBorders>
              <w:top w:val="nil"/>
              <w:left w:val="nil"/>
              <w:bottom w:val="single" w:sz="6" w:space="0" w:color="808080"/>
              <w:right w:val="nil"/>
            </w:tcBorders>
            <w:hideMark/>
          </w:tcPr>
          <w:p w14:paraId="543E5EEB"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20</w:t>
            </w:r>
          </w:p>
        </w:tc>
        <w:tc>
          <w:tcPr>
            <w:tcW w:w="974" w:type="dxa"/>
            <w:tcBorders>
              <w:top w:val="nil"/>
              <w:left w:val="nil"/>
              <w:bottom w:val="single" w:sz="6" w:space="0" w:color="808080"/>
              <w:right w:val="nil"/>
            </w:tcBorders>
          </w:tcPr>
          <w:p w14:paraId="77CC43F2"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26</w:t>
            </w:r>
          </w:p>
        </w:tc>
        <w:tc>
          <w:tcPr>
            <w:tcW w:w="974" w:type="dxa"/>
            <w:tcBorders>
              <w:top w:val="nil"/>
              <w:left w:val="nil"/>
              <w:bottom w:val="single" w:sz="6" w:space="0" w:color="808080"/>
              <w:right w:val="nil"/>
            </w:tcBorders>
            <w:hideMark/>
          </w:tcPr>
          <w:p w14:paraId="72578E4D"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24</w:t>
            </w:r>
          </w:p>
        </w:tc>
      </w:tr>
      <w:tr w:rsidR="00DB38FC" w14:paraId="2F50DF11" w14:textId="77777777" w:rsidTr="00363B3B">
        <w:trPr>
          <w:jc w:val="center"/>
        </w:trPr>
        <w:tc>
          <w:tcPr>
            <w:tcW w:w="4167" w:type="dxa"/>
            <w:tcBorders>
              <w:top w:val="single" w:sz="6" w:space="0" w:color="808080"/>
              <w:left w:val="nil"/>
              <w:bottom w:val="single" w:sz="6" w:space="0" w:color="808080"/>
              <w:right w:val="nil"/>
            </w:tcBorders>
            <w:tcMar>
              <w:top w:w="72" w:type="dxa"/>
              <w:left w:w="108" w:type="dxa"/>
              <w:bottom w:w="72" w:type="dxa"/>
              <w:right w:w="108" w:type="dxa"/>
            </w:tcMar>
            <w:vAlign w:val="center"/>
            <w:hideMark/>
          </w:tcPr>
          <w:p w14:paraId="727BC233" w14:textId="77777777" w:rsidR="00DB38FC" w:rsidRDefault="00DB38FC" w:rsidP="00363B3B">
            <w:pPr>
              <w:widowControl w:val="0"/>
              <w:autoSpaceDE w:val="0"/>
              <w:autoSpaceDN w:val="0"/>
              <w:adjustRightInd w:val="0"/>
              <w:spacing w:after="0" w:line="240" w:lineRule="auto"/>
              <w:jc w:val="both"/>
              <w:rPr>
                <w:rFonts w:ascii="Arial" w:eastAsia="Times New Roman" w:hAnsi="Arial" w:cs="Arial"/>
                <w:sz w:val="20"/>
                <w:szCs w:val="20"/>
              </w:rPr>
            </w:pPr>
            <w:r>
              <w:rPr>
                <w:rFonts w:ascii="Arial" w:eastAsia="Times New Roman" w:hAnsi="Arial" w:cs="Arial"/>
                <w:sz w:val="20"/>
                <w:szCs w:val="20"/>
              </w:rPr>
              <w:t>Communications</w:t>
            </w:r>
          </w:p>
        </w:tc>
        <w:tc>
          <w:tcPr>
            <w:tcW w:w="1859" w:type="dxa"/>
            <w:tcBorders>
              <w:top w:val="single" w:sz="6" w:space="0" w:color="808080"/>
              <w:left w:val="nil"/>
              <w:bottom w:val="single" w:sz="6" w:space="0" w:color="808080"/>
              <w:right w:val="nil"/>
            </w:tcBorders>
            <w:hideMark/>
          </w:tcPr>
          <w:p w14:paraId="10D60063"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sz w:val="20"/>
                <w:szCs w:val="20"/>
              </w:rPr>
            </w:pPr>
            <w:r>
              <w:rPr>
                <w:rFonts w:ascii="Arial" w:eastAsia="Times New Roman" w:hAnsi="Arial" w:cs="Arial"/>
                <w:sz w:val="20"/>
                <w:szCs w:val="20"/>
              </w:rPr>
              <w:t>27</w:t>
            </w:r>
          </w:p>
        </w:tc>
        <w:tc>
          <w:tcPr>
            <w:tcW w:w="974" w:type="dxa"/>
            <w:tcBorders>
              <w:top w:val="single" w:sz="6" w:space="0" w:color="808080"/>
              <w:left w:val="nil"/>
              <w:bottom w:val="single" w:sz="6" w:space="0" w:color="808080"/>
              <w:right w:val="nil"/>
            </w:tcBorders>
          </w:tcPr>
          <w:p w14:paraId="7CD99221"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sz w:val="20"/>
                <w:szCs w:val="20"/>
              </w:rPr>
            </w:pPr>
            <w:r>
              <w:rPr>
                <w:rFonts w:ascii="Arial" w:eastAsia="Times New Roman" w:hAnsi="Arial" w:cs="Arial"/>
                <w:sz w:val="20"/>
                <w:szCs w:val="20"/>
              </w:rPr>
              <w:t>18</w:t>
            </w:r>
          </w:p>
        </w:tc>
        <w:tc>
          <w:tcPr>
            <w:tcW w:w="974" w:type="dxa"/>
            <w:tcBorders>
              <w:top w:val="single" w:sz="6" w:space="0" w:color="808080"/>
              <w:left w:val="nil"/>
              <w:bottom w:val="single" w:sz="6" w:space="0" w:color="808080"/>
              <w:right w:val="nil"/>
            </w:tcBorders>
            <w:hideMark/>
          </w:tcPr>
          <w:p w14:paraId="41C7F6B9"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sz w:val="20"/>
                <w:szCs w:val="20"/>
              </w:rPr>
            </w:pPr>
            <w:r>
              <w:rPr>
                <w:rFonts w:ascii="Arial" w:eastAsia="Times New Roman" w:hAnsi="Arial" w:cs="Arial"/>
                <w:sz w:val="20"/>
                <w:szCs w:val="20"/>
              </w:rPr>
              <w:t>21</w:t>
            </w:r>
          </w:p>
        </w:tc>
      </w:tr>
      <w:tr w:rsidR="00DB38FC" w14:paraId="1E993392" w14:textId="77777777" w:rsidTr="00363B3B">
        <w:trPr>
          <w:jc w:val="center"/>
        </w:trPr>
        <w:tc>
          <w:tcPr>
            <w:tcW w:w="4167" w:type="dxa"/>
            <w:tcBorders>
              <w:top w:val="single" w:sz="6" w:space="0" w:color="808080"/>
              <w:left w:val="nil"/>
              <w:bottom w:val="single" w:sz="6" w:space="0" w:color="808080"/>
              <w:right w:val="nil"/>
            </w:tcBorders>
            <w:tcMar>
              <w:top w:w="72" w:type="dxa"/>
              <w:left w:w="108" w:type="dxa"/>
              <w:bottom w:w="72" w:type="dxa"/>
              <w:right w:w="108" w:type="dxa"/>
            </w:tcMar>
            <w:vAlign w:val="center"/>
            <w:hideMark/>
          </w:tcPr>
          <w:p w14:paraId="4C8A4A12" w14:textId="77777777" w:rsidR="00DB38FC" w:rsidRDefault="00DB38FC" w:rsidP="00363B3B">
            <w:pPr>
              <w:widowControl w:val="0"/>
              <w:autoSpaceDE w:val="0"/>
              <w:autoSpaceDN w:val="0"/>
              <w:adjustRightInd w:val="0"/>
              <w:spacing w:after="0" w:line="240" w:lineRule="auto"/>
              <w:jc w:val="both"/>
              <w:rPr>
                <w:rFonts w:ascii="Arial" w:eastAsia="Times New Roman" w:hAnsi="Arial" w:cs="Arial"/>
                <w:color w:val="000000"/>
                <w:sz w:val="20"/>
                <w:szCs w:val="20"/>
              </w:rPr>
            </w:pPr>
            <w:r>
              <w:rPr>
                <w:rFonts w:ascii="Arial" w:eastAsia="Times New Roman" w:hAnsi="Arial" w:cs="Arial"/>
                <w:color w:val="000000"/>
                <w:sz w:val="20"/>
                <w:szCs w:val="20"/>
              </w:rPr>
              <w:t>Energy</w:t>
            </w:r>
          </w:p>
        </w:tc>
        <w:tc>
          <w:tcPr>
            <w:tcW w:w="1859" w:type="dxa"/>
            <w:tcBorders>
              <w:top w:val="single" w:sz="6" w:space="0" w:color="808080"/>
              <w:left w:val="nil"/>
              <w:bottom w:val="single" w:sz="6" w:space="0" w:color="808080"/>
              <w:right w:val="nil"/>
            </w:tcBorders>
            <w:hideMark/>
          </w:tcPr>
          <w:p w14:paraId="70486589"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7</w:t>
            </w:r>
          </w:p>
        </w:tc>
        <w:tc>
          <w:tcPr>
            <w:tcW w:w="974" w:type="dxa"/>
            <w:tcBorders>
              <w:top w:val="single" w:sz="6" w:space="0" w:color="808080"/>
              <w:left w:val="nil"/>
              <w:bottom w:val="single" w:sz="6" w:space="0" w:color="808080"/>
              <w:right w:val="nil"/>
            </w:tcBorders>
          </w:tcPr>
          <w:p w14:paraId="246C202C"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9</w:t>
            </w:r>
          </w:p>
        </w:tc>
        <w:tc>
          <w:tcPr>
            <w:tcW w:w="974" w:type="dxa"/>
            <w:tcBorders>
              <w:top w:val="single" w:sz="6" w:space="0" w:color="808080"/>
              <w:left w:val="nil"/>
              <w:bottom w:val="single" w:sz="6" w:space="0" w:color="808080"/>
              <w:right w:val="nil"/>
            </w:tcBorders>
            <w:hideMark/>
          </w:tcPr>
          <w:p w14:paraId="631B04EF"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10</w:t>
            </w:r>
          </w:p>
        </w:tc>
      </w:tr>
      <w:tr w:rsidR="00DB38FC" w14:paraId="0CA11B4A" w14:textId="77777777" w:rsidTr="00363B3B">
        <w:trPr>
          <w:jc w:val="center"/>
        </w:trPr>
        <w:tc>
          <w:tcPr>
            <w:tcW w:w="4167" w:type="dxa"/>
            <w:tcBorders>
              <w:top w:val="single" w:sz="6" w:space="0" w:color="808080"/>
              <w:left w:val="nil"/>
              <w:bottom w:val="single" w:sz="6" w:space="0" w:color="808080"/>
              <w:right w:val="nil"/>
            </w:tcBorders>
            <w:tcMar>
              <w:top w:w="72" w:type="dxa"/>
              <w:left w:w="108" w:type="dxa"/>
              <w:bottom w:w="72" w:type="dxa"/>
              <w:right w:w="108" w:type="dxa"/>
            </w:tcMar>
            <w:vAlign w:val="center"/>
            <w:hideMark/>
          </w:tcPr>
          <w:p w14:paraId="765C2D58" w14:textId="77777777" w:rsidR="00DB38FC" w:rsidRDefault="00DB38FC" w:rsidP="00363B3B">
            <w:pPr>
              <w:widowControl w:val="0"/>
              <w:autoSpaceDE w:val="0"/>
              <w:autoSpaceDN w:val="0"/>
              <w:adjustRightInd w:val="0"/>
              <w:spacing w:after="0" w:line="240" w:lineRule="auto"/>
              <w:jc w:val="both"/>
              <w:rPr>
                <w:rFonts w:ascii="Arial" w:eastAsia="Times New Roman" w:hAnsi="Arial" w:cs="Arial"/>
                <w:color w:val="000000"/>
                <w:sz w:val="20"/>
                <w:szCs w:val="20"/>
              </w:rPr>
            </w:pPr>
            <w:r>
              <w:rPr>
                <w:rFonts w:ascii="Arial" w:eastAsia="Times New Roman" w:hAnsi="Arial" w:cs="Arial"/>
                <w:color w:val="000000"/>
                <w:sz w:val="20"/>
                <w:szCs w:val="20"/>
              </w:rPr>
              <w:t>Basic Materials</w:t>
            </w:r>
          </w:p>
        </w:tc>
        <w:tc>
          <w:tcPr>
            <w:tcW w:w="1859" w:type="dxa"/>
            <w:tcBorders>
              <w:top w:val="single" w:sz="6" w:space="0" w:color="808080"/>
              <w:left w:val="nil"/>
              <w:bottom w:val="single" w:sz="6" w:space="0" w:color="808080"/>
              <w:right w:val="nil"/>
            </w:tcBorders>
            <w:hideMark/>
          </w:tcPr>
          <w:p w14:paraId="494489D8"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5</w:t>
            </w:r>
          </w:p>
        </w:tc>
        <w:tc>
          <w:tcPr>
            <w:tcW w:w="974" w:type="dxa"/>
            <w:tcBorders>
              <w:top w:val="single" w:sz="6" w:space="0" w:color="808080"/>
              <w:left w:val="nil"/>
              <w:bottom w:val="single" w:sz="6" w:space="0" w:color="808080"/>
              <w:right w:val="nil"/>
            </w:tcBorders>
          </w:tcPr>
          <w:p w14:paraId="65690D7E"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10</w:t>
            </w:r>
          </w:p>
        </w:tc>
        <w:tc>
          <w:tcPr>
            <w:tcW w:w="974" w:type="dxa"/>
            <w:tcBorders>
              <w:top w:val="single" w:sz="6" w:space="0" w:color="808080"/>
              <w:left w:val="nil"/>
              <w:bottom w:val="single" w:sz="6" w:space="0" w:color="808080"/>
              <w:right w:val="nil"/>
            </w:tcBorders>
            <w:hideMark/>
          </w:tcPr>
          <w:p w14:paraId="0A377571"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4</w:t>
            </w:r>
          </w:p>
        </w:tc>
      </w:tr>
      <w:tr w:rsidR="00DB38FC" w14:paraId="3577FD05" w14:textId="77777777" w:rsidTr="00363B3B">
        <w:trPr>
          <w:jc w:val="center"/>
        </w:trPr>
        <w:tc>
          <w:tcPr>
            <w:tcW w:w="4167" w:type="dxa"/>
            <w:tcBorders>
              <w:top w:val="single" w:sz="6" w:space="0" w:color="808080"/>
              <w:left w:val="nil"/>
              <w:bottom w:val="single" w:sz="6" w:space="0" w:color="808080"/>
              <w:right w:val="nil"/>
            </w:tcBorders>
            <w:tcMar>
              <w:top w:w="72" w:type="dxa"/>
              <w:left w:w="108" w:type="dxa"/>
              <w:bottom w:w="72" w:type="dxa"/>
              <w:right w:w="108" w:type="dxa"/>
            </w:tcMar>
            <w:vAlign w:val="center"/>
            <w:hideMark/>
          </w:tcPr>
          <w:p w14:paraId="1BA091F1" w14:textId="77777777" w:rsidR="00DB38FC" w:rsidRDefault="00DB38FC" w:rsidP="00363B3B">
            <w:pPr>
              <w:widowControl w:val="0"/>
              <w:autoSpaceDE w:val="0"/>
              <w:autoSpaceDN w:val="0"/>
              <w:adjustRightInd w:val="0"/>
              <w:spacing w:after="0" w:line="240" w:lineRule="auto"/>
              <w:jc w:val="both"/>
              <w:rPr>
                <w:rFonts w:ascii="Arial" w:eastAsia="Times New Roman" w:hAnsi="Arial" w:cs="Arial"/>
                <w:color w:val="000000"/>
                <w:sz w:val="20"/>
                <w:szCs w:val="20"/>
              </w:rPr>
            </w:pPr>
            <w:r>
              <w:rPr>
                <w:rFonts w:ascii="Arial" w:eastAsia="Times New Roman" w:hAnsi="Arial" w:cs="Arial"/>
                <w:color w:val="000000"/>
                <w:sz w:val="20"/>
                <w:szCs w:val="20"/>
              </w:rPr>
              <w:t>Utilities</w:t>
            </w:r>
          </w:p>
        </w:tc>
        <w:tc>
          <w:tcPr>
            <w:tcW w:w="1859" w:type="dxa"/>
            <w:tcBorders>
              <w:top w:val="single" w:sz="6" w:space="0" w:color="808080"/>
              <w:left w:val="nil"/>
              <w:bottom w:val="single" w:sz="6" w:space="0" w:color="808080"/>
              <w:right w:val="nil"/>
            </w:tcBorders>
            <w:hideMark/>
          </w:tcPr>
          <w:p w14:paraId="7A0B9CE5"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3</w:t>
            </w:r>
          </w:p>
        </w:tc>
        <w:tc>
          <w:tcPr>
            <w:tcW w:w="974" w:type="dxa"/>
            <w:tcBorders>
              <w:top w:val="single" w:sz="6" w:space="0" w:color="808080"/>
              <w:left w:val="nil"/>
              <w:bottom w:val="single" w:sz="6" w:space="0" w:color="808080"/>
              <w:right w:val="nil"/>
            </w:tcBorders>
          </w:tcPr>
          <w:p w14:paraId="2A8EEEEF"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3</w:t>
            </w:r>
          </w:p>
        </w:tc>
        <w:tc>
          <w:tcPr>
            <w:tcW w:w="974" w:type="dxa"/>
            <w:tcBorders>
              <w:top w:val="single" w:sz="6" w:space="0" w:color="808080"/>
              <w:left w:val="nil"/>
              <w:bottom w:val="single" w:sz="6" w:space="0" w:color="808080"/>
              <w:right w:val="nil"/>
            </w:tcBorders>
            <w:hideMark/>
          </w:tcPr>
          <w:p w14:paraId="48711679"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0</w:t>
            </w:r>
          </w:p>
        </w:tc>
      </w:tr>
      <w:tr w:rsidR="00DB38FC" w14:paraId="36B543D8" w14:textId="77777777" w:rsidTr="00363B3B">
        <w:trPr>
          <w:jc w:val="center"/>
        </w:trPr>
        <w:tc>
          <w:tcPr>
            <w:tcW w:w="4167" w:type="dxa"/>
            <w:tcBorders>
              <w:top w:val="single" w:sz="6" w:space="0" w:color="808080"/>
              <w:left w:val="nil"/>
              <w:bottom w:val="single" w:sz="6" w:space="0" w:color="808080"/>
              <w:right w:val="nil"/>
            </w:tcBorders>
            <w:tcMar>
              <w:top w:w="72" w:type="dxa"/>
              <w:left w:w="108" w:type="dxa"/>
              <w:bottom w:w="72" w:type="dxa"/>
              <w:right w:w="108" w:type="dxa"/>
            </w:tcMar>
            <w:vAlign w:val="center"/>
            <w:hideMark/>
          </w:tcPr>
          <w:p w14:paraId="57327338" w14:textId="77777777" w:rsidR="00DB38FC" w:rsidRDefault="00DB38FC" w:rsidP="00363B3B">
            <w:pPr>
              <w:widowControl w:val="0"/>
              <w:autoSpaceDE w:val="0"/>
              <w:autoSpaceDN w:val="0"/>
              <w:adjustRightInd w:val="0"/>
              <w:spacing w:after="0" w:line="240" w:lineRule="auto"/>
              <w:jc w:val="both"/>
              <w:rPr>
                <w:rFonts w:ascii="Arial" w:eastAsia="Times New Roman" w:hAnsi="Arial" w:cs="Arial"/>
                <w:b/>
                <w:color w:val="000000"/>
                <w:sz w:val="20"/>
                <w:szCs w:val="20"/>
              </w:rPr>
            </w:pPr>
            <w:r>
              <w:rPr>
                <w:rFonts w:ascii="Arial" w:eastAsia="Times New Roman" w:hAnsi="Arial" w:cs="Arial"/>
                <w:b/>
                <w:color w:val="000000"/>
                <w:sz w:val="20"/>
                <w:szCs w:val="20"/>
              </w:rPr>
              <w:t>Total</w:t>
            </w:r>
          </w:p>
        </w:tc>
        <w:tc>
          <w:tcPr>
            <w:tcW w:w="1859" w:type="dxa"/>
            <w:tcBorders>
              <w:top w:val="single" w:sz="6" w:space="0" w:color="808080"/>
              <w:left w:val="nil"/>
              <w:bottom w:val="single" w:sz="6" w:space="0" w:color="808080"/>
              <w:right w:val="nil"/>
            </w:tcBorders>
          </w:tcPr>
          <w:p w14:paraId="457B1358"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b/>
                <w:color w:val="000000"/>
                <w:sz w:val="20"/>
                <w:szCs w:val="20"/>
              </w:rPr>
            </w:pPr>
          </w:p>
        </w:tc>
        <w:tc>
          <w:tcPr>
            <w:tcW w:w="974" w:type="dxa"/>
            <w:tcBorders>
              <w:top w:val="single" w:sz="6" w:space="0" w:color="808080"/>
              <w:left w:val="nil"/>
              <w:bottom w:val="single" w:sz="6" w:space="0" w:color="808080"/>
              <w:right w:val="nil"/>
            </w:tcBorders>
          </w:tcPr>
          <w:p w14:paraId="1DA1F54E"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202</w:t>
            </w:r>
          </w:p>
        </w:tc>
        <w:tc>
          <w:tcPr>
            <w:tcW w:w="974" w:type="dxa"/>
            <w:tcBorders>
              <w:top w:val="single" w:sz="6" w:space="0" w:color="808080"/>
              <w:left w:val="nil"/>
              <w:bottom w:val="single" w:sz="6" w:space="0" w:color="808080"/>
              <w:right w:val="nil"/>
            </w:tcBorders>
            <w:hideMark/>
          </w:tcPr>
          <w:p w14:paraId="694C7F1C" w14:textId="77777777" w:rsidR="00DB38FC" w:rsidRDefault="00DB38FC" w:rsidP="00363B3B">
            <w:pPr>
              <w:widowControl w:val="0"/>
              <w:autoSpaceDE w:val="0"/>
              <w:autoSpaceDN w:val="0"/>
              <w:adjustRightInd w:val="0"/>
              <w:spacing w:after="0" w:line="24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184</w:t>
            </w:r>
          </w:p>
        </w:tc>
      </w:tr>
    </w:tbl>
    <w:p w14:paraId="62F873CF" w14:textId="77777777" w:rsidR="00DB38FC" w:rsidRDefault="00DB38FC" w:rsidP="00DB38FC">
      <w:pPr>
        <w:spacing w:before="120" w:after="0" w:line="240" w:lineRule="auto"/>
        <w:ind w:left="547"/>
        <w:rPr>
          <w:rFonts w:ascii="Times New Roman" w:eastAsia="Times New Roman" w:hAnsi="Times New Roman" w:cs="Times New Roman"/>
          <w:kern w:val="22"/>
          <w:sz w:val="24"/>
          <w:szCs w:val="24"/>
        </w:rPr>
      </w:pPr>
      <w:r>
        <w:rPr>
          <w:rFonts w:ascii="Arial" w:eastAsia="Times New Roman" w:hAnsi="Arial" w:cs="Times New Roman"/>
          <w:i/>
          <w:sz w:val="20"/>
          <w:szCs w:val="24"/>
        </w:rPr>
        <w:t>* Cornerstone Research 2021 Securities Class Action Case Filings Year in Review</w:t>
      </w:r>
    </w:p>
    <w:p w14:paraId="707FAAD5" w14:textId="77777777" w:rsidR="00DB38FC" w:rsidRDefault="00DB38FC" w:rsidP="00DB38FC">
      <w:pPr>
        <w:pStyle w:val="OBISBodyCopy"/>
        <w:rPr>
          <w:kern w:val="22"/>
        </w:rPr>
      </w:pPr>
      <w:r>
        <w:rPr>
          <w:kern w:val="22"/>
        </w:rPr>
        <w:br w:type="page"/>
      </w:r>
      <w:r>
        <w:rPr>
          <w:kern w:val="22"/>
        </w:rPr>
        <w:lastRenderedPageBreak/>
        <w:t xml:space="preserve">A number of different allegations comprise shareholder class action suits: </w:t>
      </w:r>
    </w:p>
    <w:tbl>
      <w:tblPr>
        <w:tblW w:w="7555" w:type="dxa"/>
        <w:jc w:val="center"/>
        <w:tblLook w:val="01E0" w:firstRow="1" w:lastRow="1" w:firstColumn="1" w:lastColumn="1" w:noHBand="0" w:noVBand="0"/>
      </w:tblPr>
      <w:tblGrid>
        <w:gridCol w:w="3412"/>
        <w:gridCol w:w="1381"/>
        <w:gridCol w:w="1381"/>
        <w:gridCol w:w="1381"/>
      </w:tblGrid>
      <w:tr w:rsidR="00DB38FC" w14:paraId="34B3C892" w14:textId="77777777" w:rsidTr="00363B3B">
        <w:trPr>
          <w:trHeight w:val="465"/>
          <w:jc w:val="center"/>
        </w:trPr>
        <w:tc>
          <w:tcPr>
            <w:tcW w:w="3412" w:type="dxa"/>
            <w:tcBorders>
              <w:top w:val="nil"/>
              <w:left w:val="nil"/>
              <w:bottom w:val="single" w:sz="6" w:space="0" w:color="auto"/>
              <w:right w:val="nil"/>
            </w:tcBorders>
            <w:shd w:val="clear" w:color="auto" w:fill="E0E0E0"/>
            <w:tcMar>
              <w:top w:w="0" w:type="dxa"/>
              <w:left w:w="115" w:type="dxa"/>
              <w:bottom w:w="0" w:type="dxa"/>
              <w:right w:w="115" w:type="dxa"/>
            </w:tcMar>
            <w:vAlign w:val="center"/>
            <w:hideMark/>
          </w:tcPr>
          <w:p w14:paraId="6CC99707" w14:textId="77777777" w:rsidR="00DB38FC" w:rsidRDefault="00DB38FC" w:rsidP="00363B3B">
            <w:pPr>
              <w:spacing w:before="120" w:after="120" w:line="240" w:lineRule="auto"/>
              <w:jc w:val="center"/>
              <w:rPr>
                <w:rFonts w:ascii="Arial" w:eastAsia="Times New Roman" w:hAnsi="Arial" w:cs="Times New Roman"/>
                <w:b/>
                <w:smallCaps/>
                <w:color w:val="006666"/>
                <w:kern w:val="22"/>
                <w:sz w:val="20"/>
                <w:szCs w:val="18"/>
              </w:rPr>
            </w:pPr>
            <w:r>
              <w:rPr>
                <w:rFonts w:ascii="Arial" w:eastAsia="Times New Roman" w:hAnsi="Arial" w:cs="Times New Roman"/>
                <w:b/>
                <w:smallCaps/>
                <w:color w:val="0067B1"/>
                <w:kern w:val="22"/>
                <w:sz w:val="20"/>
                <w:szCs w:val="18"/>
              </w:rPr>
              <w:t>Core Securities Claim Filings</w:t>
            </w:r>
          </w:p>
        </w:tc>
        <w:tc>
          <w:tcPr>
            <w:tcW w:w="1381" w:type="dxa"/>
            <w:tcBorders>
              <w:top w:val="nil"/>
              <w:left w:val="nil"/>
              <w:bottom w:val="single" w:sz="6" w:space="0" w:color="auto"/>
              <w:right w:val="nil"/>
            </w:tcBorders>
            <w:shd w:val="clear" w:color="auto" w:fill="E0E0E0"/>
          </w:tcPr>
          <w:p w14:paraId="0CB3C5E2" w14:textId="77777777" w:rsidR="00DB38FC" w:rsidRDefault="00DB38FC" w:rsidP="00363B3B">
            <w:pPr>
              <w:spacing w:before="120" w:after="120" w:line="240" w:lineRule="auto"/>
              <w:jc w:val="center"/>
              <w:rPr>
                <w:rFonts w:ascii="Arial" w:eastAsia="Times New Roman" w:hAnsi="Arial" w:cs="Times New Roman"/>
                <w:b/>
                <w:color w:val="000000"/>
                <w:kern w:val="22"/>
                <w:sz w:val="20"/>
                <w:szCs w:val="18"/>
              </w:rPr>
            </w:pPr>
            <w:r>
              <w:rPr>
                <w:rFonts w:ascii="Arial" w:eastAsia="Times New Roman" w:hAnsi="Arial" w:cs="Times New Roman"/>
                <w:b/>
                <w:color w:val="000000"/>
                <w:kern w:val="22"/>
                <w:sz w:val="20"/>
                <w:szCs w:val="18"/>
              </w:rPr>
              <w:t>2019</w:t>
            </w:r>
          </w:p>
        </w:tc>
        <w:tc>
          <w:tcPr>
            <w:tcW w:w="1381" w:type="dxa"/>
            <w:tcBorders>
              <w:top w:val="nil"/>
              <w:left w:val="nil"/>
              <w:bottom w:val="single" w:sz="6" w:space="0" w:color="auto"/>
              <w:right w:val="nil"/>
            </w:tcBorders>
            <w:shd w:val="clear" w:color="auto" w:fill="E0E0E0"/>
          </w:tcPr>
          <w:p w14:paraId="67BB1696" w14:textId="77777777" w:rsidR="00DB38FC" w:rsidRDefault="00DB38FC" w:rsidP="00363B3B">
            <w:pPr>
              <w:spacing w:before="120" w:after="120" w:line="240" w:lineRule="auto"/>
              <w:jc w:val="center"/>
              <w:rPr>
                <w:rFonts w:ascii="Arial" w:eastAsia="Times New Roman" w:hAnsi="Arial" w:cs="Times New Roman"/>
                <w:b/>
                <w:color w:val="000000"/>
                <w:kern w:val="22"/>
                <w:sz w:val="20"/>
                <w:szCs w:val="18"/>
              </w:rPr>
            </w:pPr>
            <w:r>
              <w:rPr>
                <w:rFonts w:ascii="Arial" w:eastAsia="Times New Roman" w:hAnsi="Arial" w:cs="Times New Roman"/>
                <w:b/>
                <w:color w:val="000000"/>
                <w:kern w:val="22"/>
                <w:sz w:val="20"/>
                <w:szCs w:val="18"/>
              </w:rPr>
              <w:t>2020</w:t>
            </w:r>
          </w:p>
        </w:tc>
        <w:tc>
          <w:tcPr>
            <w:tcW w:w="1381" w:type="dxa"/>
            <w:tcBorders>
              <w:top w:val="nil"/>
              <w:left w:val="nil"/>
              <w:bottom w:val="single" w:sz="6" w:space="0" w:color="auto"/>
              <w:right w:val="nil"/>
            </w:tcBorders>
            <w:shd w:val="clear" w:color="auto" w:fill="E0E0E0"/>
          </w:tcPr>
          <w:p w14:paraId="0F5E6E22" w14:textId="77777777" w:rsidR="00DB38FC" w:rsidRDefault="00DB38FC" w:rsidP="00363B3B">
            <w:pPr>
              <w:spacing w:before="120" w:after="120" w:line="240" w:lineRule="auto"/>
              <w:jc w:val="center"/>
              <w:rPr>
                <w:rFonts w:ascii="Arial" w:eastAsia="Times New Roman" w:hAnsi="Arial" w:cs="Times New Roman"/>
                <w:b/>
                <w:color w:val="000000"/>
                <w:kern w:val="22"/>
                <w:sz w:val="20"/>
                <w:szCs w:val="18"/>
              </w:rPr>
            </w:pPr>
            <w:r>
              <w:rPr>
                <w:rFonts w:ascii="Arial" w:eastAsia="Times New Roman" w:hAnsi="Arial" w:cs="Times New Roman"/>
                <w:b/>
                <w:color w:val="000000"/>
                <w:kern w:val="22"/>
                <w:sz w:val="20"/>
                <w:szCs w:val="18"/>
              </w:rPr>
              <w:t>2021</w:t>
            </w:r>
          </w:p>
        </w:tc>
      </w:tr>
      <w:tr w:rsidR="00DB38FC" w14:paraId="1E72E59D" w14:textId="77777777" w:rsidTr="00363B3B">
        <w:trPr>
          <w:trHeight w:val="465"/>
          <w:jc w:val="center"/>
        </w:trPr>
        <w:tc>
          <w:tcPr>
            <w:tcW w:w="3412" w:type="dxa"/>
            <w:tcBorders>
              <w:top w:val="single" w:sz="6" w:space="0" w:color="auto"/>
              <w:left w:val="nil"/>
              <w:bottom w:val="single" w:sz="4" w:space="0" w:color="808080"/>
              <w:right w:val="nil"/>
            </w:tcBorders>
            <w:tcMar>
              <w:top w:w="72" w:type="dxa"/>
              <w:left w:w="108" w:type="dxa"/>
              <w:bottom w:w="72" w:type="dxa"/>
              <w:right w:w="108" w:type="dxa"/>
            </w:tcMar>
            <w:vAlign w:val="center"/>
            <w:hideMark/>
          </w:tcPr>
          <w:p w14:paraId="7022680C" w14:textId="77777777" w:rsidR="00DB38FC" w:rsidRDefault="00DB38FC" w:rsidP="00363B3B">
            <w:pPr>
              <w:spacing w:after="0" w:line="240" w:lineRule="auto"/>
              <w:jc w:val="both"/>
              <w:rPr>
                <w:rFonts w:ascii="Arial" w:eastAsia="Times New Roman" w:hAnsi="Arial" w:cs="Times New Roman"/>
                <w:b/>
                <w:smallCaps/>
                <w:color w:val="000000"/>
                <w:kern w:val="22"/>
                <w:sz w:val="20"/>
                <w:szCs w:val="18"/>
              </w:rPr>
            </w:pPr>
            <w:r>
              <w:rPr>
                <w:rFonts w:ascii="Arial" w:eastAsia="Times New Roman" w:hAnsi="Arial" w:cs="Times New Roman"/>
                <w:b/>
                <w:smallCaps/>
                <w:color w:val="000000"/>
                <w:kern w:val="22"/>
                <w:sz w:val="20"/>
                <w:szCs w:val="18"/>
              </w:rPr>
              <w:t>General Characteristics</w:t>
            </w:r>
          </w:p>
        </w:tc>
        <w:tc>
          <w:tcPr>
            <w:tcW w:w="1381" w:type="dxa"/>
            <w:tcBorders>
              <w:top w:val="single" w:sz="6" w:space="0" w:color="auto"/>
              <w:left w:val="nil"/>
              <w:bottom w:val="single" w:sz="4" w:space="0" w:color="808080"/>
              <w:right w:val="nil"/>
            </w:tcBorders>
            <w:vAlign w:val="center"/>
          </w:tcPr>
          <w:p w14:paraId="72FE7A7C" w14:textId="77777777" w:rsidR="00DB38FC" w:rsidRDefault="00DB38FC" w:rsidP="00363B3B">
            <w:pPr>
              <w:spacing w:after="0" w:line="240" w:lineRule="auto"/>
              <w:jc w:val="center"/>
              <w:rPr>
                <w:rFonts w:ascii="Arial" w:eastAsia="Times New Roman" w:hAnsi="Arial" w:cs="Times New Roman"/>
                <w:b/>
                <w:smallCaps/>
                <w:color w:val="000000"/>
                <w:kern w:val="22"/>
                <w:sz w:val="18"/>
                <w:szCs w:val="18"/>
              </w:rPr>
            </w:pPr>
            <w:r>
              <w:rPr>
                <w:rFonts w:ascii="Arial" w:eastAsia="Times New Roman" w:hAnsi="Arial" w:cs="Times New Roman"/>
                <w:b/>
                <w:smallCaps/>
                <w:color w:val="000000"/>
                <w:kern w:val="22"/>
                <w:sz w:val="18"/>
                <w:szCs w:val="18"/>
              </w:rPr>
              <w:t>Percent of Filings</w:t>
            </w:r>
          </w:p>
        </w:tc>
        <w:tc>
          <w:tcPr>
            <w:tcW w:w="1381" w:type="dxa"/>
            <w:tcBorders>
              <w:top w:val="single" w:sz="6" w:space="0" w:color="auto"/>
              <w:left w:val="nil"/>
              <w:bottom w:val="single" w:sz="4" w:space="0" w:color="808080"/>
              <w:right w:val="nil"/>
            </w:tcBorders>
            <w:vAlign w:val="center"/>
          </w:tcPr>
          <w:p w14:paraId="27ADD711" w14:textId="77777777" w:rsidR="00DB38FC" w:rsidRDefault="00DB38FC" w:rsidP="00363B3B">
            <w:pPr>
              <w:spacing w:after="0" w:line="240" w:lineRule="auto"/>
              <w:jc w:val="center"/>
              <w:rPr>
                <w:rFonts w:ascii="Arial" w:eastAsia="Times New Roman" w:hAnsi="Arial" w:cs="Times New Roman"/>
                <w:b/>
                <w:smallCaps/>
                <w:color w:val="000000"/>
                <w:kern w:val="22"/>
                <w:sz w:val="18"/>
                <w:szCs w:val="18"/>
              </w:rPr>
            </w:pPr>
            <w:r>
              <w:rPr>
                <w:rFonts w:ascii="Arial" w:eastAsia="Times New Roman" w:hAnsi="Arial" w:cs="Times New Roman"/>
                <w:b/>
                <w:smallCaps/>
                <w:color w:val="000000"/>
                <w:kern w:val="22"/>
                <w:sz w:val="18"/>
                <w:szCs w:val="18"/>
              </w:rPr>
              <w:t>Percent of Filings</w:t>
            </w:r>
          </w:p>
        </w:tc>
        <w:tc>
          <w:tcPr>
            <w:tcW w:w="1381" w:type="dxa"/>
            <w:tcBorders>
              <w:top w:val="single" w:sz="6" w:space="0" w:color="auto"/>
              <w:left w:val="nil"/>
              <w:bottom w:val="single" w:sz="4" w:space="0" w:color="808080"/>
              <w:right w:val="nil"/>
            </w:tcBorders>
            <w:vAlign w:val="center"/>
          </w:tcPr>
          <w:p w14:paraId="53206FEE" w14:textId="77777777" w:rsidR="00DB38FC" w:rsidRDefault="00DB38FC" w:rsidP="00363B3B">
            <w:pPr>
              <w:spacing w:after="0" w:line="240" w:lineRule="auto"/>
              <w:jc w:val="center"/>
              <w:rPr>
                <w:rFonts w:ascii="Arial" w:eastAsia="Times New Roman" w:hAnsi="Arial" w:cs="Times New Roman"/>
                <w:b/>
                <w:smallCaps/>
                <w:color w:val="000000"/>
                <w:kern w:val="22"/>
                <w:sz w:val="18"/>
                <w:szCs w:val="18"/>
              </w:rPr>
            </w:pPr>
            <w:r>
              <w:rPr>
                <w:rFonts w:ascii="Arial" w:eastAsia="Times New Roman" w:hAnsi="Arial" w:cs="Times New Roman"/>
                <w:b/>
                <w:smallCaps/>
                <w:color w:val="000000"/>
                <w:kern w:val="22"/>
                <w:sz w:val="18"/>
                <w:szCs w:val="18"/>
              </w:rPr>
              <w:t>Percent of Filings</w:t>
            </w:r>
          </w:p>
        </w:tc>
      </w:tr>
      <w:tr w:rsidR="00DB38FC" w14:paraId="4B6E9E4A" w14:textId="77777777" w:rsidTr="00363B3B">
        <w:trPr>
          <w:trHeight w:val="465"/>
          <w:jc w:val="center"/>
        </w:trPr>
        <w:tc>
          <w:tcPr>
            <w:tcW w:w="3412" w:type="dxa"/>
            <w:tcBorders>
              <w:top w:val="single" w:sz="4" w:space="0" w:color="808080"/>
              <w:left w:val="nil"/>
              <w:bottom w:val="single" w:sz="4" w:space="0" w:color="808080"/>
              <w:right w:val="nil"/>
            </w:tcBorders>
            <w:tcMar>
              <w:top w:w="0" w:type="dxa"/>
              <w:left w:w="108" w:type="dxa"/>
              <w:bottom w:w="0" w:type="dxa"/>
              <w:right w:w="115" w:type="dxa"/>
            </w:tcMar>
            <w:vAlign w:val="center"/>
            <w:hideMark/>
          </w:tcPr>
          <w:p w14:paraId="38DF7DF2" w14:textId="77777777" w:rsidR="00DB38FC" w:rsidRDefault="00DB38FC" w:rsidP="00363B3B">
            <w:pPr>
              <w:spacing w:after="0" w:line="240" w:lineRule="auto"/>
              <w:jc w:val="both"/>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10b-5 claims</w:t>
            </w:r>
          </w:p>
        </w:tc>
        <w:tc>
          <w:tcPr>
            <w:tcW w:w="1381" w:type="dxa"/>
            <w:tcBorders>
              <w:top w:val="single" w:sz="4" w:space="0" w:color="808080"/>
              <w:left w:val="nil"/>
              <w:bottom w:val="single" w:sz="4" w:space="0" w:color="808080"/>
              <w:right w:val="nil"/>
            </w:tcBorders>
            <w:vAlign w:val="center"/>
          </w:tcPr>
          <w:p w14:paraId="70EF7272"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87%</w:t>
            </w:r>
          </w:p>
        </w:tc>
        <w:tc>
          <w:tcPr>
            <w:tcW w:w="1381" w:type="dxa"/>
            <w:tcBorders>
              <w:top w:val="single" w:sz="4" w:space="0" w:color="808080"/>
              <w:left w:val="nil"/>
              <w:bottom w:val="single" w:sz="4" w:space="0" w:color="808080"/>
              <w:right w:val="nil"/>
            </w:tcBorders>
            <w:vAlign w:val="center"/>
          </w:tcPr>
          <w:p w14:paraId="2D066ED5"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85%</w:t>
            </w:r>
          </w:p>
        </w:tc>
        <w:tc>
          <w:tcPr>
            <w:tcW w:w="1381" w:type="dxa"/>
            <w:tcBorders>
              <w:top w:val="single" w:sz="4" w:space="0" w:color="808080"/>
              <w:left w:val="nil"/>
              <w:bottom w:val="single" w:sz="4" w:space="0" w:color="808080"/>
              <w:right w:val="nil"/>
            </w:tcBorders>
            <w:vAlign w:val="center"/>
          </w:tcPr>
          <w:p w14:paraId="6AD6BF1D"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91%</w:t>
            </w:r>
          </w:p>
        </w:tc>
      </w:tr>
      <w:tr w:rsidR="00DB38FC" w14:paraId="61065B44" w14:textId="77777777" w:rsidTr="00363B3B">
        <w:trPr>
          <w:trHeight w:val="465"/>
          <w:jc w:val="center"/>
        </w:trPr>
        <w:tc>
          <w:tcPr>
            <w:tcW w:w="3412" w:type="dxa"/>
            <w:tcBorders>
              <w:top w:val="single" w:sz="4" w:space="0" w:color="808080"/>
              <w:left w:val="nil"/>
              <w:bottom w:val="single" w:sz="6" w:space="0" w:color="808080"/>
              <w:right w:val="nil"/>
            </w:tcBorders>
            <w:tcMar>
              <w:top w:w="0" w:type="dxa"/>
              <w:left w:w="108" w:type="dxa"/>
              <w:bottom w:w="0" w:type="dxa"/>
              <w:right w:w="115" w:type="dxa"/>
            </w:tcMar>
            <w:vAlign w:val="center"/>
            <w:hideMark/>
          </w:tcPr>
          <w:p w14:paraId="6DBB664E" w14:textId="77777777" w:rsidR="00DB38FC" w:rsidRDefault="00DB38FC" w:rsidP="00363B3B">
            <w:pPr>
              <w:spacing w:after="0" w:line="240" w:lineRule="auto"/>
              <w:jc w:val="both"/>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Section 11 claims</w:t>
            </w:r>
          </w:p>
        </w:tc>
        <w:tc>
          <w:tcPr>
            <w:tcW w:w="1381" w:type="dxa"/>
            <w:tcBorders>
              <w:top w:val="single" w:sz="4" w:space="0" w:color="808080"/>
              <w:left w:val="nil"/>
              <w:bottom w:val="single" w:sz="6" w:space="0" w:color="808080"/>
              <w:right w:val="nil"/>
            </w:tcBorders>
            <w:vAlign w:val="center"/>
          </w:tcPr>
          <w:p w14:paraId="4950ADFB"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16%</w:t>
            </w:r>
          </w:p>
        </w:tc>
        <w:tc>
          <w:tcPr>
            <w:tcW w:w="1381" w:type="dxa"/>
            <w:tcBorders>
              <w:top w:val="single" w:sz="4" w:space="0" w:color="808080"/>
              <w:left w:val="nil"/>
              <w:bottom w:val="single" w:sz="6" w:space="0" w:color="808080"/>
              <w:right w:val="nil"/>
            </w:tcBorders>
            <w:vAlign w:val="center"/>
          </w:tcPr>
          <w:p w14:paraId="372F4289"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10%</w:t>
            </w:r>
          </w:p>
        </w:tc>
        <w:tc>
          <w:tcPr>
            <w:tcW w:w="1381" w:type="dxa"/>
            <w:tcBorders>
              <w:top w:val="single" w:sz="4" w:space="0" w:color="808080"/>
              <w:left w:val="nil"/>
              <w:bottom w:val="single" w:sz="6" w:space="0" w:color="808080"/>
              <w:right w:val="nil"/>
            </w:tcBorders>
            <w:vAlign w:val="center"/>
          </w:tcPr>
          <w:p w14:paraId="2B185F22"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14%</w:t>
            </w:r>
          </w:p>
        </w:tc>
      </w:tr>
      <w:tr w:rsidR="00DB38FC" w14:paraId="2C7E01BE" w14:textId="77777777" w:rsidTr="00363B3B">
        <w:trPr>
          <w:trHeight w:val="465"/>
          <w:jc w:val="center"/>
        </w:trPr>
        <w:tc>
          <w:tcPr>
            <w:tcW w:w="3412" w:type="dxa"/>
            <w:tcBorders>
              <w:top w:val="single" w:sz="6" w:space="0" w:color="808080"/>
              <w:left w:val="nil"/>
              <w:bottom w:val="nil"/>
              <w:right w:val="nil"/>
            </w:tcBorders>
            <w:tcMar>
              <w:top w:w="0" w:type="dxa"/>
              <w:left w:w="108" w:type="dxa"/>
              <w:bottom w:w="0" w:type="dxa"/>
              <w:right w:w="115" w:type="dxa"/>
            </w:tcMar>
            <w:vAlign w:val="center"/>
            <w:hideMark/>
          </w:tcPr>
          <w:p w14:paraId="4BE81738" w14:textId="77777777" w:rsidR="00DB38FC" w:rsidRDefault="00DB38FC" w:rsidP="00363B3B">
            <w:pPr>
              <w:spacing w:after="0" w:line="240" w:lineRule="auto"/>
              <w:jc w:val="both"/>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Section 12(a) claims</w:t>
            </w:r>
          </w:p>
        </w:tc>
        <w:tc>
          <w:tcPr>
            <w:tcW w:w="1381" w:type="dxa"/>
            <w:tcBorders>
              <w:top w:val="single" w:sz="6" w:space="0" w:color="808080"/>
              <w:left w:val="nil"/>
              <w:bottom w:val="nil"/>
              <w:right w:val="nil"/>
            </w:tcBorders>
            <w:vAlign w:val="center"/>
          </w:tcPr>
          <w:p w14:paraId="21CF9F2E"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7%</w:t>
            </w:r>
          </w:p>
        </w:tc>
        <w:tc>
          <w:tcPr>
            <w:tcW w:w="1381" w:type="dxa"/>
            <w:tcBorders>
              <w:top w:val="single" w:sz="6" w:space="0" w:color="808080"/>
              <w:left w:val="nil"/>
              <w:bottom w:val="nil"/>
              <w:right w:val="nil"/>
            </w:tcBorders>
            <w:vAlign w:val="center"/>
          </w:tcPr>
          <w:p w14:paraId="351A6767"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11%</w:t>
            </w:r>
          </w:p>
        </w:tc>
        <w:tc>
          <w:tcPr>
            <w:tcW w:w="1381" w:type="dxa"/>
            <w:tcBorders>
              <w:top w:val="single" w:sz="6" w:space="0" w:color="808080"/>
              <w:left w:val="nil"/>
              <w:bottom w:val="nil"/>
              <w:right w:val="nil"/>
            </w:tcBorders>
            <w:vAlign w:val="center"/>
          </w:tcPr>
          <w:p w14:paraId="50FD9D07"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11%</w:t>
            </w:r>
          </w:p>
        </w:tc>
      </w:tr>
      <w:tr w:rsidR="00DB38FC" w14:paraId="46C56697" w14:textId="77777777" w:rsidTr="00363B3B">
        <w:trPr>
          <w:trHeight w:val="465"/>
          <w:jc w:val="center"/>
        </w:trPr>
        <w:tc>
          <w:tcPr>
            <w:tcW w:w="3412" w:type="dxa"/>
            <w:tcBorders>
              <w:top w:val="single" w:sz="6" w:space="0" w:color="808080"/>
              <w:left w:val="nil"/>
              <w:bottom w:val="nil"/>
              <w:right w:val="nil"/>
            </w:tcBorders>
            <w:tcMar>
              <w:top w:w="0" w:type="dxa"/>
              <w:left w:w="108" w:type="dxa"/>
              <w:bottom w:w="0" w:type="dxa"/>
              <w:right w:w="115" w:type="dxa"/>
            </w:tcMar>
            <w:vAlign w:val="center"/>
          </w:tcPr>
          <w:p w14:paraId="79159496" w14:textId="77777777" w:rsidR="00DB38FC" w:rsidRDefault="00DB38FC" w:rsidP="00363B3B">
            <w:pPr>
              <w:spacing w:after="0" w:line="240" w:lineRule="auto"/>
              <w:jc w:val="both"/>
              <w:rPr>
                <w:rFonts w:ascii="Arial" w:eastAsia="Times New Roman" w:hAnsi="Arial" w:cs="Times New Roman"/>
                <w:color w:val="000000"/>
                <w:kern w:val="22"/>
                <w:sz w:val="20"/>
                <w:szCs w:val="18"/>
              </w:rPr>
            </w:pPr>
          </w:p>
        </w:tc>
        <w:tc>
          <w:tcPr>
            <w:tcW w:w="1381" w:type="dxa"/>
            <w:tcBorders>
              <w:top w:val="single" w:sz="6" w:space="0" w:color="808080"/>
              <w:left w:val="nil"/>
              <w:bottom w:val="nil"/>
              <w:right w:val="nil"/>
            </w:tcBorders>
            <w:vAlign w:val="center"/>
          </w:tcPr>
          <w:p w14:paraId="4BF23208" w14:textId="77777777" w:rsidR="00DB38FC" w:rsidRDefault="00DB38FC" w:rsidP="00363B3B">
            <w:pPr>
              <w:spacing w:after="0" w:line="240" w:lineRule="auto"/>
              <w:jc w:val="center"/>
              <w:rPr>
                <w:rFonts w:ascii="Arial" w:eastAsia="Times New Roman" w:hAnsi="Arial" w:cs="Times New Roman"/>
                <w:color w:val="000000"/>
                <w:kern w:val="22"/>
                <w:sz w:val="20"/>
                <w:szCs w:val="18"/>
              </w:rPr>
            </w:pPr>
          </w:p>
        </w:tc>
        <w:tc>
          <w:tcPr>
            <w:tcW w:w="1381" w:type="dxa"/>
            <w:tcBorders>
              <w:top w:val="single" w:sz="6" w:space="0" w:color="808080"/>
              <w:left w:val="nil"/>
              <w:bottom w:val="nil"/>
              <w:right w:val="nil"/>
            </w:tcBorders>
            <w:vAlign w:val="center"/>
          </w:tcPr>
          <w:p w14:paraId="25763A58" w14:textId="77777777" w:rsidR="00DB38FC" w:rsidRDefault="00DB38FC" w:rsidP="00363B3B">
            <w:pPr>
              <w:spacing w:after="0" w:line="240" w:lineRule="auto"/>
              <w:jc w:val="center"/>
              <w:rPr>
                <w:rFonts w:ascii="Arial" w:eastAsia="Times New Roman" w:hAnsi="Arial" w:cs="Times New Roman"/>
                <w:color w:val="000000"/>
                <w:kern w:val="22"/>
                <w:sz w:val="20"/>
                <w:szCs w:val="18"/>
              </w:rPr>
            </w:pPr>
          </w:p>
        </w:tc>
        <w:tc>
          <w:tcPr>
            <w:tcW w:w="1381" w:type="dxa"/>
            <w:tcBorders>
              <w:top w:val="single" w:sz="6" w:space="0" w:color="808080"/>
              <w:left w:val="nil"/>
              <w:bottom w:val="nil"/>
              <w:right w:val="nil"/>
            </w:tcBorders>
            <w:vAlign w:val="center"/>
          </w:tcPr>
          <w:p w14:paraId="43A908DA" w14:textId="77777777" w:rsidR="00DB38FC" w:rsidRDefault="00DB38FC" w:rsidP="00363B3B">
            <w:pPr>
              <w:spacing w:after="0" w:line="240" w:lineRule="auto"/>
              <w:jc w:val="center"/>
              <w:rPr>
                <w:rFonts w:ascii="Arial" w:eastAsia="Times New Roman" w:hAnsi="Arial" w:cs="Times New Roman"/>
                <w:color w:val="000000"/>
                <w:kern w:val="22"/>
                <w:sz w:val="20"/>
                <w:szCs w:val="18"/>
              </w:rPr>
            </w:pPr>
          </w:p>
        </w:tc>
      </w:tr>
      <w:tr w:rsidR="00DB38FC" w14:paraId="70F80861" w14:textId="77777777" w:rsidTr="00363B3B">
        <w:trPr>
          <w:trHeight w:val="465"/>
          <w:jc w:val="center"/>
        </w:trPr>
        <w:tc>
          <w:tcPr>
            <w:tcW w:w="3412" w:type="dxa"/>
            <w:tcBorders>
              <w:top w:val="nil"/>
              <w:left w:val="nil"/>
              <w:bottom w:val="single" w:sz="6" w:space="0" w:color="808080"/>
              <w:right w:val="nil"/>
            </w:tcBorders>
            <w:tcMar>
              <w:top w:w="72" w:type="dxa"/>
              <w:left w:w="108" w:type="dxa"/>
              <w:bottom w:w="72" w:type="dxa"/>
              <w:right w:w="108" w:type="dxa"/>
            </w:tcMar>
            <w:vAlign w:val="center"/>
            <w:hideMark/>
          </w:tcPr>
          <w:p w14:paraId="1DFD8F11" w14:textId="77777777" w:rsidR="00DB38FC" w:rsidRDefault="00DB38FC" w:rsidP="00363B3B">
            <w:pPr>
              <w:spacing w:after="0" w:line="240" w:lineRule="auto"/>
              <w:jc w:val="both"/>
              <w:rPr>
                <w:rFonts w:ascii="Arial" w:eastAsia="Times New Roman" w:hAnsi="Arial" w:cs="Times New Roman"/>
                <w:b/>
                <w:smallCaps/>
                <w:color w:val="000000"/>
                <w:kern w:val="22"/>
                <w:sz w:val="20"/>
                <w:szCs w:val="18"/>
              </w:rPr>
            </w:pPr>
            <w:r>
              <w:rPr>
                <w:rFonts w:ascii="Arial" w:eastAsia="Times New Roman" w:hAnsi="Arial" w:cs="Times New Roman"/>
                <w:b/>
                <w:smallCaps/>
                <w:color w:val="000000"/>
                <w:kern w:val="22"/>
                <w:sz w:val="20"/>
                <w:szCs w:val="18"/>
              </w:rPr>
              <w:t>Common Core Filing Allegations</w:t>
            </w:r>
          </w:p>
        </w:tc>
        <w:tc>
          <w:tcPr>
            <w:tcW w:w="1381" w:type="dxa"/>
            <w:tcBorders>
              <w:top w:val="nil"/>
              <w:left w:val="nil"/>
              <w:bottom w:val="single" w:sz="6" w:space="0" w:color="808080"/>
              <w:right w:val="nil"/>
            </w:tcBorders>
            <w:vAlign w:val="center"/>
          </w:tcPr>
          <w:p w14:paraId="23663B58" w14:textId="77777777" w:rsidR="00DB38FC" w:rsidRDefault="00DB38FC" w:rsidP="00363B3B">
            <w:pPr>
              <w:spacing w:after="0" w:line="240" w:lineRule="auto"/>
              <w:jc w:val="center"/>
              <w:rPr>
                <w:rFonts w:ascii="Arial" w:eastAsia="Times New Roman" w:hAnsi="Arial" w:cs="Times New Roman"/>
                <w:b/>
                <w:color w:val="000000"/>
                <w:kern w:val="22"/>
                <w:sz w:val="20"/>
                <w:szCs w:val="18"/>
                <w:u w:val="single"/>
              </w:rPr>
            </w:pPr>
          </w:p>
        </w:tc>
        <w:tc>
          <w:tcPr>
            <w:tcW w:w="1381" w:type="dxa"/>
            <w:tcBorders>
              <w:top w:val="nil"/>
              <w:left w:val="nil"/>
              <w:bottom w:val="single" w:sz="6" w:space="0" w:color="808080"/>
              <w:right w:val="nil"/>
            </w:tcBorders>
            <w:vAlign w:val="center"/>
          </w:tcPr>
          <w:p w14:paraId="23FF7357" w14:textId="77777777" w:rsidR="00DB38FC" w:rsidRDefault="00DB38FC" w:rsidP="00363B3B">
            <w:pPr>
              <w:spacing w:after="0" w:line="240" w:lineRule="auto"/>
              <w:jc w:val="center"/>
              <w:rPr>
                <w:rFonts w:ascii="Arial" w:eastAsia="Times New Roman" w:hAnsi="Arial" w:cs="Times New Roman"/>
                <w:b/>
                <w:color w:val="000000"/>
                <w:kern w:val="22"/>
                <w:sz w:val="20"/>
                <w:szCs w:val="18"/>
                <w:u w:val="single"/>
              </w:rPr>
            </w:pPr>
          </w:p>
        </w:tc>
        <w:tc>
          <w:tcPr>
            <w:tcW w:w="1381" w:type="dxa"/>
            <w:tcBorders>
              <w:top w:val="nil"/>
              <w:left w:val="nil"/>
              <w:bottom w:val="single" w:sz="6" w:space="0" w:color="808080"/>
              <w:right w:val="nil"/>
            </w:tcBorders>
            <w:vAlign w:val="center"/>
          </w:tcPr>
          <w:p w14:paraId="19F89851" w14:textId="77777777" w:rsidR="00DB38FC" w:rsidRDefault="00DB38FC" w:rsidP="00363B3B">
            <w:pPr>
              <w:spacing w:after="0" w:line="240" w:lineRule="auto"/>
              <w:jc w:val="center"/>
              <w:rPr>
                <w:rFonts w:ascii="Arial" w:eastAsia="Times New Roman" w:hAnsi="Arial" w:cs="Times New Roman"/>
                <w:b/>
                <w:color w:val="000000"/>
                <w:kern w:val="22"/>
                <w:sz w:val="20"/>
                <w:szCs w:val="18"/>
                <w:u w:val="single"/>
              </w:rPr>
            </w:pPr>
          </w:p>
        </w:tc>
      </w:tr>
      <w:tr w:rsidR="00DB38FC" w14:paraId="3CC76218" w14:textId="77777777" w:rsidTr="00363B3B">
        <w:trPr>
          <w:trHeight w:val="465"/>
          <w:jc w:val="center"/>
        </w:trPr>
        <w:tc>
          <w:tcPr>
            <w:tcW w:w="3412" w:type="dxa"/>
            <w:tcBorders>
              <w:top w:val="single" w:sz="6" w:space="0" w:color="808080"/>
              <w:left w:val="nil"/>
              <w:bottom w:val="single" w:sz="6" w:space="0" w:color="808080"/>
              <w:right w:val="nil"/>
            </w:tcBorders>
            <w:tcMar>
              <w:top w:w="0" w:type="dxa"/>
              <w:left w:w="108" w:type="dxa"/>
              <w:bottom w:w="0" w:type="dxa"/>
              <w:right w:w="115" w:type="dxa"/>
            </w:tcMar>
            <w:vAlign w:val="center"/>
            <w:hideMark/>
          </w:tcPr>
          <w:p w14:paraId="766670D7" w14:textId="77777777" w:rsidR="00DB38FC" w:rsidRDefault="00DB38FC" w:rsidP="00363B3B">
            <w:pPr>
              <w:spacing w:after="0" w:line="240" w:lineRule="auto"/>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Misrepresentations in Financials</w:t>
            </w:r>
          </w:p>
        </w:tc>
        <w:tc>
          <w:tcPr>
            <w:tcW w:w="1381" w:type="dxa"/>
            <w:tcBorders>
              <w:top w:val="single" w:sz="6" w:space="0" w:color="808080"/>
              <w:left w:val="nil"/>
              <w:bottom w:val="single" w:sz="6" w:space="0" w:color="808080"/>
              <w:right w:val="nil"/>
            </w:tcBorders>
            <w:vAlign w:val="center"/>
          </w:tcPr>
          <w:p w14:paraId="5303CED5"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98%</w:t>
            </w:r>
          </w:p>
        </w:tc>
        <w:tc>
          <w:tcPr>
            <w:tcW w:w="1381" w:type="dxa"/>
            <w:tcBorders>
              <w:top w:val="single" w:sz="6" w:space="0" w:color="808080"/>
              <w:left w:val="nil"/>
              <w:bottom w:val="single" w:sz="6" w:space="0" w:color="808080"/>
              <w:right w:val="nil"/>
            </w:tcBorders>
            <w:vAlign w:val="center"/>
          </w:tcPr>
          <w:p w14:paraId="54229C6A"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90%</w:t>
            </w:r>
          </w:p>
        </w:tc>
        <w:tc>
          <w:tcPr>
            <w:tcW w:w="1381" w:type="dxa"/>
            <w:tcBorders>
              <w:top w:val="single" w:sz="6" w:space="0" w:color="808080"/>
              <w:left w:val="nil"/>
              <w:bottom w:val="single" w:sz="6" w:space="0" w:color="808080"/>
              <w:right w:val="nil"/>
            </w:tcBorders>
            <w:vAlign w:val="center"/>
          </w:tcPr>
          <w:p w14:paraId="4ED782F2"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90%</w:t>
            </w:r>
          </w:p>
        </w:tc>
      </w:tr>
      <w:tr w:rsidR="00DB38FC" w14:paraId="33A7FFC5" w14:textId="77777777" w:rsidTr="00363B3B">
        <w:trPr>
          <w:trHeight w:val="465"/>
          <w:jc w:val="center"/>
        </w:trPr>
        <w:tc>
          <w:tcPr>
            <w:tcW w:w="3412" w:type="dxa"/>
            <w:tcBorders>
              <w:top w:val="single" w:sz="6" w:space="0" w:color="808080"/>
              <w:left w:val="nil"/>
              <w:bottom w:val="single" w:sz="6" w:space="0" w:color="808080"/>
              <w:right w:val="nil"/>
            </w:tcBorders>
            <w:tcMar>
              <w:top w:w="0" w:type="dxa"/>
              <w:left w:w="108" w:type="dxa"/>
              <w:bottom w:w="0" w:type="dxa"/>
              <w:right w:w="115" w:type="dxa"/>
            </w:tcMar>
            <w:vAlign w:val="center"/>
            <w:hideMark/>
          </w:tcPr>
          <w:p w14:paraId="480B06F0" w14:textId="77777777" w:rsidR="00DB38FC" w:rsidRDefault="00DB38FC" w:rsidP="00363B3B">
            <w:pPr>
              <w:spacing w:after="0" w:line="240" w:lineRule="auto"/>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False “forward looking” statements</w:t>
            </w:r>
          </w:p>
        </w:tc>
        <w:tc>
          <w:tcPr>
            <w:tcW w:w="1381" w:type="dxa"/>
            <w:tcBorders>
              <w:top w:val="single" w:sz="6" w:space="0" w:color="808080"/>
              <w:left w:val="nil"/>
              <w:bottom w:val="single" w:sz="6" w:space="0" w:color="808080"/>
              <w:right w:val="nil"/>
            </w:tcBorders>
            <w:vAlign w:val="center"/>
          </w:tcPr>
          <w:p w14:paraId="6A160551"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47%</w:t>
            </w:r>
          </w:p>
        </w:tc>
        <w:tc>
          <w:tcPr>
            <w:tcW w:w="1381" w:type="dxa"/>
            <w:tcBorders>
              <w:top w:val="single" w:sz="6" w:space="0" w:color="808080"/>
              <w:left w:val="nil"/>
              <w:bottom w:val="single" w:sz="6" w:space="0" w:color="808080"/>
              <w:right w:val="nil"/>
            </w:tcBorders>
            <w:vAlign w:val="center"/>
          </w:tcPr>
          <w:p w14:paraId="69D6F659"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43%</w:t>
            </w:r>
          </w:p>
        </w:tc>
        <w:tc>
          <w:tcPr>
            <w:tcW w:w="1381" w:type="dxa"/>
            <w:tcBorders>
              <w:top w:val="single" w:sz="6" w:space="0" w:color="808080"/>
              <w:left w:val="nil"/>
              <w:bottom w:val="single" w:sz="6" w:space="0" w:color="808080"/>
              <w:right w:val="nil"/>
            </w:tcBorders>
            <w:vAlign w:val="center"/>
          </w:tcPr>
          <w:p w14:paraId="76B5B32F"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43%</w:t>
            </w:r>
          </w:p>
        </w:tc>
      </w:tr>
      <w:tr w:rsidR="00DB38FC" w14:paraId="35F876D8" w14:textId="77777777" w:rsidTr="00363B3B">
        <w:trPr>
          <w:trHeight w:val="465"/>
          <w:jc w:val="center"/>
        </w:trPr>
        <w:tc>
          <w:tcPr>
            <w:tcW w:w="3412" w:type="dxa"/>
            <w:tcBorders>
              <w:top w:val="single" w:sz="6" w:space="0" w:color="808080"/>
              <w:left w:val="nil"/>
              <w:bottom w:val="single" w:sz="6" w:space="0" w:color="808080"/>
              <w:right w:val="nil"/>
            </w:tcBorders>
            <w:tcMar>
              <w:top w:w="0" w:type="dxa"/>
              <w:left w:w="108" w:type="dxa"/>
              <w:bottom w:w="0" w:type="dxa"/>
              <w:right w:w="115" w:type="dxa"/>
            </w:tcMar>
            <w:vAlign w:val="center"/>
            <w:hideMark/>
          </w:tcPr>
          <w:p w14:paraId="4F0BFF68" w14:textId="77777777" w:rsidR="00DB38FC" w:rsidRDefault="00DB38FC" w:rsidP="00363B3B">
            <w:pPr>
              <w:spacing w:after="0" w:line="240" w:lineRule="auto"/>
              <w:jc w:val="both"/>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GAAP violations</w:t>
            </w:r>
          </w:p>
        </w:tc>
        <w:tc>
          <w:tcPr>
            <w:tcW w:w="1381" w:type="dxa"/>
            <w:tcBorders>
              <w:top w:val="single" w:sz="6" w:space="0" w:color="808080"/>
              <w:left w:val="nil"/>
              <w:bottom w:val="single" w:sz="6" w:space="0" w:color="808080"/>
              <w:right w:val="nil"/>
            </w:tcBorders>
            <w:vAlign w:val="center"/>
          </w:tcPr>
          <w:p w14:paraId="1A5226A1"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23%</w:t>
            </w:r>
          </w:p>
        </w:tc>
        <w:tc>
          <w:tcPr>
            <w:tcW w:w="1381" w:type="dxa"/>
            <w:tcBorders>
              <w:top w:val="single" w:sz="6" w:space="0" w:color="808080"/>
              <w:left w:val="nil"/>
              <w:bottom w:val="single" w:sz="6" w:space="0" w:color="808080"/>
              <w:right w:val="nil"/>
            </w:tcBorders>
            <w:vAlign w:val="center"/>
          </w:tcPr>
          <w:p w14:paraId="5CA0ACE7"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27%</w:t>
            </w:r>
          </w:p>
        </w:tc>
        <w:tc>
          <w:tcPr>
            <w:tcW w:w="1381" w:type="dxa"/>
            <w:tcBorders>
              <w:top w:val="single" w:sz="6" w:space="0" w:color="808080"/>
              <w:left w:val="nil"/>
              <w:bottom w:val="single" w:sz="6" w:space="0" w:color="808080"/>
              <w:right w:val="nil"/>
            </w:tcBorders>
            <w:vAlign w:val="center"/>
          </w:tcPr>
          <w:p w14:paraId="1B15FF86"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22%</w:t>
            </w:r>
          </w:p>
        </w:tc>
      </w:tr>
      <w:tr w:rsidR="00DB38FC" w14:paraId="5E894E70" w14:textId="77777777" w:rsidTr="00363B3B">
        <w:trPr>
          <w:trHeight w:val="465"/>
          <w:jc w:val="center"/>
        </w:trPr>
        <w:tc>
          <w:tcPr>
            <w:tcW w:w="3412" w:type="dxa"/>
            <w:tcBorders>
              <w:top w:val="single" w:sz="6" w:space="0" w:color="808080"/>
              <w:left w:val="nil"/>
              <w:bottom w:val="single" w:sz="4" w:space="0" w:color="auto"/>
              <w:right w:val="nil"/>
            </w:tcBorders>
            <w:tcMar>
              <w:top w:w="0" w:type="dxa"/>
              <w:left w:w="108" w:type="dxa"/>
              <w:bottom w:w="0" w:type="dxa"/>
              <w:right w:w="115" w:type="dxa"/>
            </w:tcMar>
            <w:vAlign w:val="center"/>
            <w:hideMark/>
          </w:tcPr>
          <w:p w14:paraId="17F41B08" w14:textId="77777777" w:rsidR="00DB38FC" w:rsidRDefault="00DB38FC" w:rsidP="00363B3B">
            <w:pPr>
              <w:spacing w:after="0" w:line="240" w:lineRule="auto"/>
              <w:jc w:val="both"/>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Insider Trading</w:t>
            </w:r>
          </w:p>
        </w:tc>
        <w:tc>
          <w:tcPr>
            <w:tcW w:w="1381" w:type="dxa"/>
            <w:tcBorders>
              <w:top w:val="single" w:sz="6" w:space="0" w:color="808080"/>
              <w:left w:val="nil"/>
              <w:bottom w:val="single" w:sz="4" w:space="0" w:color="auto"/>
              <w:right w:val="nil"/>
            </w:tcBorders>
            <w:vAlign w:val="center"/>
          </w:tcPr>
          <w:p w14:paraId="0ABDBE3A"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5%</w:t>
            </w:r>
          </w:p>
        </w:tc>
        <w:tc>
          <w:tcPr>
            <w:tcW w:w="1381" w:type="dxa"/>
            <w:tcBorders>
              <w:top w:val="single" w:sz="6" w:space="0" w:color="808080"/>
              <w:left w:val="nil"/>
              <w:bottom w:val="single" w:sz="4" w:space="0" w:color="auto"/>
              <w:right w:val="nil"/>
            </w:tcBorders>
            <w:vAlign w:val="center"/>
          </w:tcPr>
          <w:p w14:paraId="2C377304"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4%</w:t>
            </w:r>
          </w:p>
        </w:tc>
        <w:tc>
          <w:tcPr>
            <w:tcW w:w="1381" w:type="dxa"/>
            <w:tcBorders>
              <w:top w:val="single" w:sz="6" w:space="0" w:color="808080"/>
              <w:left w:val="nil"/>
              <w:bottom w:val="single" w:sz="4" w:space="0" w:color="auto"/>
              <w:right w:val="nil"/>
            </w:tcBorders>
            <w:vAlign w:val="center"/>
          </w:tcPr>
          <w:p w14:paraId="66441FEA" w14:textId="77777777" w:rsidR="00DB38FC" w:rsidRDefault="00DB38FC" w:rsidP="00363B3B">
            <w:pPr>
              <w:spacing w:after="0" w:line="36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6</w:t>
            </w:r>
          </w:p>
        </w:tc>
      </w:tr>
    </w:tbl>
    <w:p w14:paraId="5493173F" w14:textId="77777777" w:rsidR="00DB38FC" w:rsidRDefault="00DB38FC" w:rsidP="00DB38FC">
      <w:pPr>
        <w:spacing w:before="120" w:after="0" w:line="240" w:lineRule="auto"/>
        <w:rPr>
          <w:rFonts w:ascii="Arial" w:eastAsia="Times New Roman" w:hAnsi="Arial" w:cs="Times New Roman"/>
          <w:i/>
          <w:sz w:val="20"/>
          <w:szCs w:val="24"/>
        </w:rPr>
      </w:pPr>
      <w:r>
        <w:rPr>
          <w:rFonts w:ascii="Arial" w:eastAsia="Times New Roman" w:hAnsi="Arial" w:cs="Times New Roman"/>
          <w:i/>
          <w:sz w:val="20"/>
          <w:szCs w:val="24"/>
        </w:rPr>
        <w:t>Cornerstone Research 2021 Securities Class Action Case Filings Year in Review</w:t>
      </w:r>
    </w:p>
    <w:p w14:paraId="29EFAFB1" w14:textId="77777777" w:rsidR="00DB38FC" w:rsidRDefault="00DB38FC" w:rsidP="00DB38FC">
      <w:pPr>
        <w:rPr>
          <w:rFonts w:ascii="Arial" w:hAnsi="Arial" w:cs="Arial"/>
          <w:kern w:val="22"/>
        </w:rPr>
      </w:pPr>
    </w:p>
    <w:p w14:paraId="6B33F10A" w14:textId="77777777" w:rsidR="00DB38FC" w:rsidRDefault="00DB38FC" w:rsidP="00DB38FC">
      <w:pPr>
        <w:rPr>
          <w:rFonts w:ascii="Arial" w:hAnsi="Arial" w:cs="Arial"/>
          <w:kern w:val="22"/>
        </w:rPr>
      </w:pPr>
      <w:r>
        <w:rPr>
          <w:rFonts w:ascii="Arial" w:hAnsi="Arial" w:cs="Arial"/>
          <w:kern w:val="22"/>
        </w:rPr>
        <w:br w:type="page"/>
      </w:r>
    </w:p>
    <w:p w14:paraId="42B3015F" w14:textId="77777777" w:rsidR="00DB38FC" w:rsidRDefault="00DB38FC" w:rsidP="00DB38FC">
      <w:pPr>
        <w:spacing w:line="360" w:lineRule="auto"/>
        <w:jc w:val="both"/>
        <w:rPr>
          <w:rFonts w:ascii="Arial" w:hAnsi="Arial"/>
          <w:kern w:val="22"/>
          <w:sz w:val="20"/>
          <w:szCs w:val="20"/>
        </w:rPr>
      </w:pPr>
      <w:r>
        <w:rPr>
          <w:rFonts w:ascii="Arial" w:hAnsi="Arial" w:cs="Arial"/>
          <w:kern w:val="22"/>
        </w:rPr>
        <w:lastRenderedPageBreak/>
        <w:t>Certain areas of the country have been more litigious than others in terms of the number of securities class actions.  The following chart breaks down settlements by circuit court.  Of particular note, the ninth circuit, which encompasses northern California and the second circuit, which includes New York, continue to garner the majority of the litigation activity.</w:t>
      </w:r>
    </w:p>
    <w:tbl>
      <w:tblPr>
        <w:tblW w:w="6885" w:type="dxa"/>
        <w:jc w:val="center"/>
        <w:tblLook w:val="01E0" w:firstRow="1" w:lastRow="1" w:firstColumn="1" w:lastColumn="1" w:noHBand="0" w:noVBand="0"/>
      </w:tblPr>
      <w:tblGrid>
        <w:gridCol w:w="3060"/>
        <w:gridCol w:w="1350"/>
        <w:gridCol w:w="1350"/>
        <w:gridCol w:w="1125"/>
      </w:tblGrid>
      <w:tr w:rsidR="00DB38FC" w14:paraId="0606908B" w14:textId="77777777" w:rsidTr="00363B3B">
        <w:trPr>
          <w:jc w:val="center"/>
        </w:trPr>
        <w:tc>
          <w:tcPr>
            <w:tcW w:w="3060" w:type="dxa"/>
            <w:tcBorders>
              <w:top w:val="single" w:sz="4" w:space="0" w:color="auto"/>
              <w:left w:val="single" w:sz="4" w:space="0" w:color="auto"/>
              <w:bottom w:val="single" w:sz="4" w:space="0" w:color="auto"/>
              <w:right w:val="nil"/>
            </w:tcBorders>
            <w:shd w:val="clear" w:color="auto" w:fill="E6E6E6"/>
            <w:tcMar>
              <w:top w:w="0" w:type="dxa"/>
              <w:left w:w="115" w:type="dxa"/>
              <w:bottom w:w="0" w:type="dxa"/>
              <w:right w:w="115" w:type="dxa"/>
            </w:tcMar>
            <w:vAlign w:val="center"/>
            <w:hideMark/>
          </w:tcPr>
          <w:p w14:paraId="68487359" w14:textId="77777777" w:rsidR="00DB38FC" w:rsidRDefault="00DB38FC" w:rsidP="00363B3B">
            <w:pPr>
              <w:spacing w:before="120" w:after="120" w:line="240" w:lineRule="auto"/>
              <w:jc w:val="center"/>
              <w:rPr>
                <w:rFonts w:ascii="Arial" w:eastAsia="Times New Roman" w:hAnsi="Arial" w:cs="Times New Roman"/>
                <w:b/>
                <w:smallCaps/>
                <w:color w:val="006666"/>
                <w:kern w:val="22"/>
                <w:sz w:val="20"/>
                <w:szCs w:val="20"/>
              </w:rPr>
            </w:pPr>
            <w:r>
              <w:rPr>
                <w:rFonts w:ascii="Arial" w:eastAsia="Times New Roman" w:hAnsi="Arial" w:cs="Times New Roman"/>
                <w:b/>
                <w:smallCaps/>
                <w:color w:val="0067B1"/>
                <w:kern w:val="22"/>
                <w:sz w:val="20"/>
                <w:szCs w:val="20"/>
              </w:rPr>
              <w:t>Core Filings by Court Circuits</w:t>
            </w:r>
          </w:p>
        </w:tc>
        <w:tc>
          <w:tcPr>
            <w:tcW w:w="3825" w:type="dxa"/>
            <w:gridSpan w:val="3"/>
            <w:tcBorders>
              <w:top w:val="single" w:sz="4" w:space="0" w:color="auto"/>
              <w:left w:val="nil"/>
              <w:bottom w:val="single" w:sz="4" w:space="0" w:color="auto"/>
              <w:right w:val="single" w:sz="4" w:space="0" w:color="auto"/>
            </w:tcBorders>
            <w:shd w:val="clear" w:color="auto" w:fill="E6E6E6"/>
            <w:tcMar>
              <w:top w:w="0" w:type="dxa"/>
              <w:left w:w="115" w:type="dxa"/>
              <w:bottom w:w="0" w:type="dxa"/>
              <w:right w:w="115" w:type="dxa"/>
            </w:tcMar>
            <w:vAlign w:val="center"/>
            <w:hideMark/>
          </w:tcPr>
          <w:p w14:paraId="3E7E155E" w14:textId="77777777" w:rsidR="00DB38FC" w:rsidRDefault="00DB38FC" w:rsidP="00363B3B">
            <w:pPr>
              <w:spacing w:before="120" w:after="120" w:line="240" w:lineRule="auto"/>
              <w:ind w:left="-475"/>
              <w:jc w:val="center"/>
              <w:rPr>
                <w:rFonts w:ascii="Arial" w:eastAsia="Times New Roman" w:hAnsi="Arial" w:cs="Times New Roman"/>
                <w:b/>
                <w:smallCaps/>
                <w:color w:val="000000"/>
                <w:kern w:val="22"/>
                <w:sz w:val="20"/>
                <w:szCs w:val="20"/>
              </w:rPr>
            </w:pPr>
            <w:r>
              <w:rPr>
                <w:rFonts w:ascii="Arial" w:eastAsia="Times New Roman" w:hAnsi="Arial" w:cs="Times New Roman"/>
                <w:b/>
                <w:smallCaps/>
                <w:color w:val="000000"/>
                <w:kern w:val="22"/>
                <w:sz w:val="20"/>
                <w:szCs w:val="20"/>
              </w:rPr>
              <w:t>Number of Cases</w:t>
            </w:r>
          </w:p>
        </w:tc>
      </w:tr>
      <w:tr w:rsidR="00DB38FC" w14:paraId="01C613D0" w14:textId="77777777" w:rsidTr="00363B3B">
        <w:trPr>
          <w:jc w:val="center"/>
        </w:trPr>
        <w:tc>
          <w:tcPr>
            <w:tcW w:w="3060" w:type="dxa"/>
            <w:tcBorders>
              <w:top w:val="single" w:sz="4" w:space="0" w:color="auto"/>
              <w:left w:val="single" w:sz="4" w:space="0" w:color="auto"/>
              <w:bottom w:val="single" w:sz="4" w:space="0" w:color="808080"/>
              <w:right w:val="nil"/>
            </w:tcBorders>
            <w:vAlign w:val="center"/>
            <w:hideMark/>
          </w:tcPr>
          <w:p w14:paraId="44E3CC5C" w14:textId="77777777" w:rsidR="00DB38FC" w:rsidRDefault="00DB38FC" w:rsidP="00363B3B">
            <w:pPr>
              <w:spacing w:after="0" w:line="240" w:lineRule="auto"/>
              <w:jc w:val="center"/>
              <w:rPr>
                <w:rFonts w:ascii="Arial" w:eastAsia="Times New Roman" w:hAnsi="Arial" w:cs="Times New Roman"/>
                <w:b/>
                <w:smallCaps/>
                <w:color w:val="000000"/>
                <w:kern w:val="22"/>
                <w:sz w:val="18"/>
                <w:szCs w:val="18"/>
                <w:u w:val="single"/>
              </w:rPr>
            </w:pPr>
            <w:r>
              <w:rPr>
                <w:rFonts w:ascii="Arial" w:eastAsia="Times New Roman" w:hAnsi="Arial" w:cs="Times New Roman"/>
                <w:b/>
                <w:smallCaps/>
                <w:color w:val="000000"/>
                <w:kern w:val="22"/>
                <w:sz w:val="18"/>
                <w:szCs w:val="18"/>
              </w:rPr>
              <w:t>Court Circuit</w:t>
            </w:r>
          </w:p>
        </w:tc>
        <w:tc>
          <w:tcPr>
            <w:tcW w:w="1350" w:type="dxa"/>
            <w:tcBorders>
              <w:top w:val="single" w:sz="4" w:space="0" w:color="auto"/>
              <w:left w:val="nil"/>
              <w:bottom w:val="single" w:sz="4" w:space="0" w:color="808080"/>
              <w:right w:val="nil"/>
            </w:tcBorders>
            <w:vAlign w:val="center"/>
            <w:hideMark/>
          </w:tcPr>
          <w:p w14:paraId="7223B12C" w14:textId="77777777" w:rsidR="00DB38FC" w:rsidRDefault="00DB38FC" w:rsidP="00363B3B">
            <w:pPr>
              <w:spacing w:after="0" w:line="240" w:lineRule="auto"/>
              <w:jc w:val="center"/>
              <w:rPr>
                <w:rFonts w:ascii="Arial" w:eastAsia="Times New Roman" w:hAnsi="Arial" w:cs="Times New Roman"/>
                <w:b/>
                <w:smallCaps/>
                <w:color w:val="000000"/>
                <w:kern w:val="22"/>
                <w:sz w:val="18"/>
                <w:szCs w:val="18"/>
              </w:rPr>
            </w:pPr>
            <w:r>
              <w:rPr>
                <w:rFonts w:ascii="Arial" w:eastAsia="Times New Roman" w:hAnsi="Arial" w:cs="Times New Roman"/>
                <w:b/>
                <w:smallCaps/>
                <w:color w:val="000000"/>
                <w:kern w:val="22"/>
                <w:sz w:val="18"/>
                <w:szCs w:val="18"/>
              </w:rPr>
              <w:t>Average</w:t>
            </w:r>
          </w:p>
          <w:p w14:paraId="5E50D753" w14:textId="77777777" w:rsidR="00DB38FC" w:rsidRDefault="00DB38FC" w:rsidP="00363B3B">
            <w:pPr>
              <w:spacing w:after="0" w:line="240" w:lineRule="auto"/>
              <w:jc w:val="center"/>
              <w:rPr>
                <w:rFonts w:ascii="Arial" w:eastAsia="Times New Roman" w:hAnsi="Arial" w:cs="Times New Roman"/>
                <w:b/>
                <w:smallCaps/>
                <w:color w:val="000000"/>
                <w:kern w:val="22"/>
                <w:sz w:val="18"/>
                <w:szCs w:val="18"/>
              </w:rPr>
            </w:pPr>
            <w:r>
              <w:rPr>
                <w:rFonts w:ascii="Arial" w:eastAsia="Times New Roman" w:hAnsi="Arial" w:cs="Times New Roman"/>
                <w:b/>
                <w:smallCaps/>
                <w:color w:val="000000"/>
                <w:kern w:val="22"/>
                <w:sz w:val="18"/>
                <w:szCs w:val="18"/>
              </w:rPr>
              <w:t>1997 – 2020</w:t>
            </w:r>
          </w:p>
        </w:tc>
        <w:tc>
          <w:tcPr>
            <w:tcW w:w="1350" w:type="dxa"/>
            <w:tcBorders>
              <w:top w:val="single" w:sz="4" w:space="0" w:color="auto"/>
              <w:left w:val="nil"/>
              <w:bottom w:val="single" w:sz="4" w:space="0" w:color="808080"/>
              <w:right w:val="nil"/>
            </w:tcBorders>
            <w:tcMar>
              <w:top w:w="72" w:type="dxa"/>
              <w:left w:w="115" w:type="dxa"/>
              <w:bottom w:w="72" w:type="dxa"/>
              <w:right w:w="115" w:type="dxa"/>
            </w:tcMar>
            <w:vAlign w:val="center"/>
            <w:hideMark/>
          </w:tcPr>
          <w:p w14:paraId="5E616C2F" w14:textId="77777777" w:rsidR="00DB38FC" w:rsidRDefault="00DB38FC" w:rsidP="00363B3B">
            <w:pPr>
              <w:spacing w:after="0" w:line="240" w:lineRule="auto"/>
              <w:jc w:val="center"/>
              <w:rPr>
                <w:rFonts w:ascii="Arial" w:eastAsia="Times New Roman" w:hAnsi="Arial" w:cs="Times New Roman"/>
                <w:b/>
                <w:smallCaps/>
                <w:color w:val="000000"/>
                <w:kern w:val="22"/>
                <w:sz w:val="18"/>
                <w:szCs w:val="18"/>
              </w:rPr>
            </w:pPr>
            <w:r>
              <w:rPr>
                <w:rFonts w:ascii="Arial" w:eastAsia="Times New Roman" w:hAnsi="Arial" w:cs="Times New Roman"/>
                <w:b/>
                <w:smallCaps/>
                <w:color w:val="000000"/>
                <w:kern w:val="22"/>
                <w:sz w:val="18"/>
                <w:szCs w:val="18"/>
              </w:rPr>
              <w:t>2020</w:t>
            </w:r>
          </w:p>
        </w:tc>
        <w:tc>
          <w:tcPr>
            <w:tcW w:w="1125" w:type="dxa"/>
            <w:tcBorders>
              <w:top w:val="single" w:sz="4" w:space="0" w:color="auto"/>
              <w:left w:val="nil"/>
              <w:bottom w:val="single" w:sz="4" w:space="0" w:color="808080"/>
              <w:right w:val="single" w:sz="4" w:space="0" w:color="auto"/>
            </w:tcBorders>
            <w:tcMar>
              <w:top w:w="72" w:type="dxa"/>
              <w:left w:w="115" w:type="dxa"/>
              <w:bottom w:w="72" w:type="dxa"/>
              <w:right w:w="115" w:type="dxa"/>
            </w:tcMar>
            <w:vAlign w:val="center"/>
            <w:hideMark/>
          </w:tcPr>
          <w:p w14:paraId="5A802987" w14:textId="77777777" w:rsidR="00DB38FC" w:rsidRDefault="00DB38FC" w:rsidP="00363B3B">
            <w:pPr>
              <w:spacing w:after="0" w:line="240" w:lineRule="auto"/>
              <w:jc w:val="center"/>
              <w:rPr>
                <w:rFonts w:ascii="Arial" w:eastAsia="Times New Roman" w:hAnsi="Arial" w:cs="Times New Roman"/>
                <w:b/>
                <w:smallCaps/>
                <w:color w:val="000000"/>
                <w:kern w:val="22"/>
                <w:sz w:val="18"/>
                <w:szCs w:val="18"/>
              </w:rPr>
            </w:pPr>
            <w:r>
              <w:rPr>
                <w:rFonts w:ascii="Arial" w:eastAsia="Times New Roman" w:hAnsi="Arial" w:cs="Times New Roman"/>
                <w:b/>
                <w:smallCaps/>
                <w:color w:val="000000"/>
                <w:kern w:val="22"/>
                <w:sz w:val="18"/>
                <w:szCs w:val="18"/>
              </w:rPr>
              <w:t>2021</w:t>
            </w:r>
          </w:p>
        </w:tc>
      </w:tr>
      <w:tr w:rsidR="00DB38FC" w14:paraId="3769AD4B" w14:textId="77777777" w:rsidTr="00363B3B">
        <w:trPr>
          <w:jc w:val="center"/>
        </w:trPr>
        <w:tc>
          <w:tcPr>
            <w:tcW w:w="3060" w:type="dxa"/>
            <w:tcBorders>
              <w:top w:val="single" w:sz="4" w:space="0" w:color="808080"/>
              <w:left w:val="single" w:sz="4" w:space="0" w:color="auto"/>
              <w:bottom w:val="single" w:sz="4" w:space="0" w:color="808080"/>
              <w:right w:val="nil"/>
            </w:tcBorders>
            <w:vAlign w:val="center"/>
            <w:hideMark/>
          </w:tcPr>
          <w:p w14:paraId="26F2B807"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1</w:t>
            </w:r>
          </w:p>
        </w:tc>
        <w:tc>
          <w:tcPr>
            <w:tcW w:w="1350" w:type="dxa"/>
            <w:tcBorders>
              <w:top w:val="single" w:sz="4" w:space="0" w:color="808080"/>
              <w:left w:val="nil"/>
              <w:bottom w:val="single" w:sz="4" w:space="0" w:color="808080"/>
              <w:right w:val="nil"/>
            </w:tcBorders>
            <w:hideMark/>
          </w:tcPr>
          <w:p w14:paraId="488AB77E"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8</w:t>
            </w:r>
          </w:p>
        </w:tc>
        <w:tc>
          <w:tcPr>
            <w:tcW w:w="1350" w:type="dxa"/>
            <w:tcBorders>
              <w:top w:val="single" w:sz="4" w:space="0" w:color="808080"/>
              <w:left w:val="nil"/>
              <w:bottom w:val="single" w:sz="4" w:space="0" w:color="808080"/>
            </w:tcBorders>
            <w:tcMar>
              <w:top w:w="72" w:type="dxa"/>
              <w:left w:w="115" w:type="dxa"/>
              <w:bottom w:w="72" w:type="dxa"/>
              <w:right w:w="115" w:type="dxa"/>
            </w:tcMar>
            <w:vAlign w:val="center"/>
            <w:hideMark/>
          </w:tcPr>
          <w:p w14:paraId="0CAE2A2E"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2</w:t>
            </w:r>
          </w:p>
        </w:tc>
        <w:tc>
          <w:tcPr>
            <w:tcW w:w="1125" w:type="dxa"/>
            <w:tcBorders>
              <w:top w:val="single" w:sz="4" w:space="0" w:color="808080"/>
              <w:left w:val="nil"/>
              <w:bottom w:val="single" w:sz="4" w:space="0" w:color="808080"/>
              <w:right w:val="single" w:sz="4" w:space="0" w:color="auto"/>
            </w:tcBorders>
            <w:tcMar>
              <w:top w:w="72" w:type="dxa"/>
              <w:left w:w="115" w:type="dxa"/>
              <w:bottom w:w="72" w:type="dxa"/>
              <w:right w:w="115" w:type="dxa"/>
            </w:tcMar>
            <w:vAlign w:val="center"/>
            <w:hideMark/>
          </w:tcPr>
          <w:p w14:paraId="1094CC2E"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4</w:t>
            </w:r>
          </w:p>
        </w:tc>
      </w:tr>
      <w:tr w:rsidR="00DB38FC" w14:paraId="5CB163F0" w14:textId="77777777" w:rsidTr="00363B3B">
        <w:trPr>
          <w:jc w:val="center"/>
        </w:trPr>
        <w:tc>
          <w:tcPr>
            <w:tcW w:w="3060" w:type="dxa"/>
            <w:tcBorders>
              <w:top w:val="single" w:sz="4" w:space="0" w:color="808080"/>
              <w:left w:val="single" w:sz="4" w:space="0" w:color="auto"/>
              <w:bottom w:val="single" w:sz="4" w:space="0" w:color="808080"/>
              <w:right w:val="nil"/>
            </w:tcBorders>
            <w:vAlign w:val="center"/>
            <w:hideMark/>
          </w:tcPr>
          <w:p w14:paraId="6C29F301" w14:textId="77777777" w:rsidR="00DB38FC" w:rsidRDefault="00DB38FC" w:rsidP="00363B3B">
            <w:pPr>
              <w:spacing w:after="0" w:line="240" w:lineRule="auto"/>
              <w:jc w:val="center"/>
              <w:rPr>
                <w:rFonts w:ascii="Arial" w:eastAsia="Times New Roman" w:hAnsi="Arial" w:cs="Times New Roman"/>
                <w:kern w:val="22"/>
                <w:sz w:val="20"/>
                <w:szCs w:val="18"/>
              </w:rPr>
            </w:pPr>
            <w:r>
              <w:rPr>
                <w:rFonts w:ascii="Arial" w:eastAsia="Times New Roman" w:hAnsi="Arial" w:cs="Times New Roman"/>
                <w:kern w:val="22"/>
                <w:sz w:val="20"/>
                <w:szCs w:val="18"/>
              </w:rPr>
              <w:t>2</w:t>
            </w:r>
          </w:p>
        </w:tc>
        <w:tc>
          <w:tcPr>
            <w:tcW w:w="1350" w:type="dxa"/>
            <w:tcBorders>
              <w:top w:val="single" w:sz="4" w:space="0" w:color="808080"/>
              <w:left w:val="nil"/>
              <w:bottom w:val="single" w:sz="4" w:space="0" w:color="808080"/>
              <w:right w:val="nil"/>
            </w:tcBorders>
            <w:hideMark/>
          </w:tcPr>
          <w:p w14:paraId="205C689F" w14:textId="77777777" w:rsidR="00DB38FC" w:rsidRDefault="00DB38FC" w:rsidP="00363B3B">
            <w:pPr>
              <w:spacing w:after="0" w:line="240" w:lineRule="auto"/>
              <w:jc w:val="center"/>
              <w:rPr>
                <w:rFonts w:ascii="Arial" w:eastAsia="Times New Roman" w:hAnsi="Arial" w:cs="Times New Roman"/>
                <w:kern w:val="22"/>
                <w:sz w:val="20"/>
                <w:szCs w:val="18"/>
              </w:rPr>
            </w:pPr>
            <w:r>
              <w:rPr>
                <w:rFonts w:ascii="Arial" w:eastAsia="Times New Roman" w:hAnsi="Arial" w:cs="Times New Roman"/>
                <w:kern w:val="22"/>
                <w:sz w:val="20"/>
                <w:szCs w:val="18"/>
              </w:rPr>
              <w:t>54</w:t>
            </w:r>
          </w:p>
        </w:tc>
        <w:tc>
          <w:tcPr>
            <w:tcW w:w="1350" w:type="dxa"/>
            <w:tcBorders>
              <w:top w:val="single" w:sz="4" w:space="0" w:color="808080"/>
              <w:left w:val="nil"/>
              <w:bottom w:val="single" w:sz="4" w:space="0" w:color="808080"/>
            </w:tcBorders>
            <w:tcMar>
              <w:top w:w="72" w:type="dxa"/>
              <w:left w:w="115" w:type="dxa"/>
              <w:bottom w:w="72" w:type="dxa"/>
              <w:right w:w="115" w:type="dxa"/>
            </w:tcMar>
            <w:vAlign w:val="center"/>
            <w:hideMark/>
          </w:tcPr>
          <w:p w14:paraId="14266DF6" w14:textId="77777777" w:rsidR="00DB38FC" w:rsidRDefault="00DB38FC" w:rsidP="00363B3B">
            <w:pPr>
              <w:spacing w:after="0" w:line="240" w:lineRule="auto"/>
              <w:jc w:val="center"/>
              <w:rPr>
                <w:rFonts w:ascii="Arial" w:eastAsia="Times New Roman" w:hAnsi="Arial" w:cs="Times New Roman"/>
                <w:kern w:val="22"/>
                <w:sz w:val="20"/>
                <w:szCs w:val="18"/>
              </w:rPr>
            </w:pPr>
            <w:r>
              <w:rPr>
                <w:rFonts w:ascii="Arial" w:eastAsia="Times New Roman" w:hAnsi="Arial" w:cs="Times New Roman"/>
                <w:kern w:val="22"/>
                <w:sz w:val="20"/>
                <w:szCs w:val="18"/>
              </w:rPr>
              <w:t>76</w:t>
            </w:r>
          </w:p>
        </w:tc>
        <w:tc>
          <w:tcPr>
            <w:tcW w:w="1125" w:type="dxa"/>
            <w:tcBorders>
              <w:top w:val="single" w:sz="4" w:space="0" w:color="808080"/>
              <w:left w:val="nil"/>
              <w:bottom w:val="single" w:sz="4" w:space="0" w:color="808080"/>
              <w:right w:val="single" w:sz="4" w:space="0" w:color="auto"/>
            </w:tcBorders>
            <w:tcMar>
              <w:top w:w="72" w:type="dxa"/>
              <w:left w:w="115" w:type="dxa"/>
              <w:bottom w:w="72" w:type="dxa"/>
              <w:right w:w="115" w:type="dxa"/>
            </w:tcMar>
            <w:vAlign w:val="center"/>
            <w:hideMark/>
          </w:tcPr>
          <w:p w14:paraId="215533D0" w14:textId="77777777" w:rsidR="00DB38FC" w:rsidRDefault="00DB38FC" w:rsidP="00363B3B">
            <w:pPr>
              <w:spacing w:after="0" w:line="240" w:lineRule="auto"/>
              <w:jc w:val="center"/>
              <w:rPr>
                <w:rFonts w:ascii="Arial" w:eastAsia="Times New Roman" w:hAnsi="Arial" w:cs="Times New Roman"/>
                <w:kern w:val="22"/>
                <w:sz w:val="20"/>
                <w:szCs w:val="18"/>
              </w:rPr>
            </w:pPr>
            <w:r>
              <w:rPr>
                <w:rFonts w:ascii="Arial" w:eastAsia="Times New Roman" w:hAnsi="Arial" w:cs="Times New Roman"/>
                <w:kern w:val="22"/>
                <w:sz w:val="20"/>
                <w:szCs w:val="18"/>
              </w:rPr>
              <w:t>82</w:t>
            </w:r>
          </w:p>
        </w:tc>
      </w:tr>
      <w:tr w:rsidR="00DB38FC" w14:paraId="6E2372F4" w14:textId="77777777" w:rsidTr="00363B3B">
        <w:trPr>
          <w:jc w:val="center"/>
        </w:trPr>
        <w:tc>
          <w:tcPr>
            <w:tcW w:w="3060" w:type="dxa"/>
            <w:tcBorders>
              <w:top w:val="single" w:sz="4" w:space="0" w:color="808080"/>
              <w:left w:val="single" w:sz="4" w:space="0" w:color="auto"/>
              <w:bottom w:val="single" w:sz="4" w:space="0" w:color="808080"/>
              <w:right w:val="nil"/>
            </w:tcBorders>
            <w:vAlign w:val="center"/>
            <w:hideMark/>
          </w:tcPr>
          <w:p w14:paraId="1C53E2EE" w14:textId="77777777" w:rsidR="00DB38FC" w:rsidRDefault="00DB38FC" w:rsidP="00363B3B">
            <w:pPr>
              <w:spacing w:after="0" w:line="240" w:lineRule="auto"/>
              <w:ind w:left="180" w:hanging="180"/>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3</w:t>
            </w:r>
          </w:p>
        </w:tc>
        <w:tc>
          <w:tcPr>
            <w:tcW w:w="1350" w:type="dxa"/>
            <w:tcBorders>
              <w:top w:val="single" w:sz="4" w:space="0" w:color="808080"/>
              <w:left w:val="nil"/>
              <w:bottom w:val="single" w:sz="4" w:space="0" w:color="808080"/>
              <w:right w:val="nil"/>
            </w:tcBorders>
            <w:hideMark/>
          </w:tcPr>
          <w:p w14:paraId="593577C9"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18</w:t>
            </w:r>
          </w:p>
        </w:tc>
        <w:tc>
          <w:tcPr>
            <w:tcW w:w="1350" w:type="dxa"/>
            <w:tcBorders>
              <w:top w:val="single" w:sz="4" w:space="0" w:color="808080"/>
              <w:left w:val="nil"/>
              <w:bottom w:val="single" w:sz="4" w:space="0" w:color="808080"/>
            </w:tcBorders>
            <w:tcMar>
              <w:top w:w="72" w:type="dxa"/>
              <w:left w:w="115" w:type="dxa"/>
              <w:bottom w:w="72" w:type="dxa"/>
              <w:right w:w="115" w:type="dxa"/>
            </w:tcMar>
            <w:vAlign w:val="center"/>
            <w:hideMark/>
          </w:tcPr>
          <w:p w14:paraId="7341441D"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24</w:t>
            </w:r>
          </w:p>
        </w:tc>
        <w:tc>
          <w:tcPr>
            <w:tcW w:w="1125" w:type="dxa"/>
            <w:tcBorders>
              <w:top w:val="single" w:sz="4" w:space="0" w:color="808080"/>
              <w:left w:val="nil"/>
              <w:bottom w:val="single" w:sz="4" w:space="0" w:color="808080"/>
              <w:right w:val="single" w:sz="4" w:space="0" w:color="auto"/>
            </w:tcBorders>
            <w:tcMar>
              <w:top w:w="72" w:type="dxa"/>
              <w:left w:w="115" w:type="dxa"/>
              <w:bottom w:w="72" w:type="dxa"/>
              <w:right w:w="115" w:type="dxa"/>
            </w:tcMar>
            <w:vAlign w:val="center"/>
            <w:hideMark/>
          </w:tcPr>
          <w:p w14:paraId="29DF1488"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14</w:t>
            </w:r>
          </w:p>
        </w:tc>
      </w:tr>
      <w:tr w:rsidR="00DB38FC" w14:paraId="0692CA28" w14:textId="77777777" w:rsidTr="00363B3B">
        <w:trPr>
          <w:jc w:val="center"/>
        </w:trPr>
        <w:tc>
          <w:tcPr>
            <w:tcW w:w="3060" w:type="dxa"/>
            <w:tcBorders>
              <w:top w:val="single" w:sz="4" w:space="0" w:color="808080"/>
              <w:left w:val="single" w:sz="4" w:space="0" w:color="auto"/>
              <w:bottom w:val="single" w:sz="4" w:space="0" w:color="808080"/>
              <w:right w:val="nil"/>
            </w:tcBorders>
            <w:vAlign w:val="center"/>
            <w:hideMark/>
          </w:tcPr>
          <w:p w14:paraId="60FDFAC4"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4</w:t>
            </w:r>
          </w:p>
        </w:tc>
        <w:tc>
          <w:tcPr>
            <w:tcW w:w="1350" w:type="dxa"/>
            <w:tcBorders>
              <w:top w:val="single" w:sz="4" w:space="0" w:color="808080"/>
              <w:left w:val="nil"/>
              <w:bottom w:val="single" w:sz="4" w:space="0" w:color="808080"/>
              <w:right w:val="nil"/>
            </w:tcBorders>
            <w:hideMark/>
          </w:tcPr>
          <w:p w14:paraId="0A8A226C"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6</w:t>
            </w:r>
          </w:p>
        </w:tc>
        <w:tc>
          <w:tcPr>
            <w:tcW w:w="1350" w:type="dxa"/>
            <w:tcBorders>
              <w:top w:val="single" w:sz="4" w:space="0" w:color="808080"/>
              <w:left w:val="nil"/>
              <w:bottom w:val="single" w:sz="4" w:space="0" w:color="808080"/>
            </w:tcBorders>
            <w:tcMar>
              <w:top w:w="72" w:type="dxa"/>
              <w:left w:w="115" w:type="dxa"/>
              <w:bottom w:w="72" w:type="dxa"/>
              <w:right w:w="115" w:type="dxa"/>
            </w:tcMar>
            <w:vAlign w:val="center"/>
            <w:hideMark/>
          </w:tcPr>
          <w:p w14:paraId="70574E51"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3</w:t>
            </w:r>
          </w:p>
        </w:tc>
        <w:tc>
          <w:tcPr>
            <w:tcW w:w="1125" w:type="dxa"/>
            <w:tcBorders>
              <w:top w:val="single" w:sz="4" w:space="0" w:color="808080"/>
              <w:left w:val="nil"/>
              <w:bottom w:val="single" w:sz="4" w:space="0" w:color="808080"/>
              <w:right w:val="single" w:sz="4" w:space="0" w:color="auto"/>
            </w:tcBorders>
            <w:tcMar>
              <w:top w:w="72" w:type="dxa"/>
              <w:left w:w="115" w:type="dxa"/>
              <w:bottom w:w="72" w:type="dxa"/>
              <w:right w:w="115" w:type="dxa"/>
            </w:tcMar>
            <w:vAlign w:val="center"/>
            <w:hideMark/>
          </w:tcPr>
          <w:p w14:paraId="60646565"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6</w:t>
            </w:r>
          </w:p>
        </w:tc>
      </w:tr>
      <w:tr w:rsidR="00DB38FC" w14:paraId="2DA411EA" w14:textId="77777777" w:rsidTr="00363B3B">
        <w:trPr>
          <w:jc w:val="center"/>
        </w:trPr>
        <w:tc>
          <w:tcPr>
            <w:tcW w:w="3060" w:type="dxa"/>
            <w:tcBorders>
              <w:top w:val="single" w:sz="4" w:space="0" w:color="808080"/>
              <w:left w:val="single" w:sz="4" w:space="0" w:color="auto"/>
              <w:bottom w:val="single" w:sz="4" w:space="0" w:color="808080"/>
              <w:right w:val="nil"/>
            </w:tcBorders>
            <w:vAlign w:val="center"/>
            <w:hideMark/>
          </w:tcPr>
          <w:p w14:paraId="48621AAD"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5</w:t>
            </w:r>
          </w:p>
        </w:tc>
        <w:tc>
          <w:tcPr>
            <w:tcW w:w="1350" w:type="dxa"/>
            <w:tcBorders>
              <w:top w:val="single" w:sz="4" w:space="0" w:color="808080"/>
              <w:left w:val="nil"/>
              <w:bottom w:val="single" w:sz="4" w:space="0" w:color="808080"/>
              <w:right w:val="nil"/>
            </w:tcBorders>
            <w:hideMark/>
          </w:tcPr>
          <w:p w14:paraId="76A636E3"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11</w:t>
            </w:r>
          </w:p>
        </w:tc>
        <w:tc>
          <w:tcPr>
            <w:tcW w:w="1350" w:type="dxa"/>
            <w:tcBorders>
              <w:top w:val="single" w:sz="4" w:space="0" w:color="808080"/>
              <w:left w:val="nil"/>
              <w:bottom w:val="single" w:sz="4" w:space="0" w:color="808080"/>
            </w:tcBorders>
            <w:tcMar>
              <w:top w:w="72" w:type="dxa"/>
              <w:left w:w="115" w:type="dxa"/>
              <w:bottom w:w="72" w:type="dxa"/>
              <w:right w:w="115" w:type="dxa"/>
            </w:tcMar>
            <w:vAlign w:val="center"/>
            <w:hideMark/>
          </w:tcPr>
          <w:p w14:paraId="61948CB6"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9</w:t>
            </w:r>
          </w:p>
        </w:tc>
        <w:tc>
          <w:tcPr>
            <w:tcW w:w="1125" w:type="dxa"/>
            <w:tcBorders>
              <w:top w:val="single" w:sz="4" w:space="0" w:color="808080"/>
              <w:left w:val="nil"/>
              <w:bottom w:val="single" w:sz="4" w:space="0" w:color="808080"/>
              <w:right w:val="single" w:sz="4" w:space="0" w:color="auto"/>
            </w:tcBorders>
            <w:tcMar>
              <w:top w:w="72" w:type="dxa"/>
              <w:left w:w="115" w:type="dxa"/>
              <w:bottom w:w="72" w:type="dxa"/>
              <w:right w:w="115" w:type="dxa"/>
            </w:tcMar>
            <w:vAlign w:val="center"/>
            <w:hideMark/>
          </w:tcPr>
          <w:p w14:paraId="1AE711D6"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8</w:t>
            </w:r>
          </w:p>
        </w:tc>
      </w:tr>
      <w:tr w:rsidR="00DB38FC" w14:paraId="7F0CE045" w14:textId="77777777" w:rsidTr="00363B3B">
        <w:trPr>
          <w:jc w:val="center"/>
        </w:trPr>
        <w:tc>
          <w:tcPr>
            <w:tcW w:w="3060" w:type="dxa"/>
            <w:tcBorders>
              <w:top w:val="single" w:sz="4" w:space="0" w:color="808080"/>
              <w:left w:val="single" w:sz="4" w:space="0" w:color="auto"/>
              <w:bottom w:val="single" w:sz="4" w:space="0" w:color="808080"/>
              <w:right w:val="nil"/>
            </w:tcBorders>
            <w:vAlign w:val="center"/>
            <w:hideMark/>
          </w:tcPr>
          <w:p w14:paraId="0A500950"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6</w:t>
            </w:r>
          </w:p>
        </w:tc>
        <w:tc>
          <w:tcPr>
            <w:tcW w:w="1350" w:type="dxa"/>
            <w:tcBorders>
              <w:top w:val="single" w:sz="4" w:space="0" w:color="808080"/>
              <w:left w:val="nil"/>
              <w:bottom w:val="single" w:sz="4" w:space="0" w:color="808080"/>
              <w:right w:val="nil"/>
            </w:tcBorders>
            <w:hideMark/>
          </w:tcPr>
          <w:p w14:paraId="3B820A98"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8</w:t>
            </w:r>
          </w:p>
        </w:tc>
        <w:tc>
          <w:tcPr>
            <w:tcW w:w="1350" w:type="dxa"/>
            <w:tcBorders>
              <w:top w:val="single" w:sz="4" w:space="0" w:color="808080"/>
              <w:left w:val="nil"/>
              <w:bottom w:val="single" w:sz="4" w:space="0" w:color="808080"/>
            </w:tcBorders>
            <w:tcMar>
              <w:top w:w="72" w:type="dxa"/>
              <w:left w:w="115" w:type="dxa"/>
              <w:bottom w:w="72" w:type="dxa"/>
              <w:right w:w="115" w:type="dxa"/>
            </w:tcMar>
            <w:vAlign w:val="center"/>
            <w:hideMark/>
          </w:tcPr>
          <w:p w14:paraId="06DD3C78"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7</w:t>
            </w:r>
          </w:p>
        </w:tc>
        <w:tc>
          <w:tcPr>
            <w:tcW w:w="1125" w:type="dxa"/>
            <w:tcBorders>
              <w:top w:val="single" w:sz="4" w:space="0" w:color="808080"/>
              <w:left w:val="nil"/>
              <w:bottom w:val="single" w:sz="4" w:space="0" w:color="808080"/>
              <w:right w:val="single" w:sz="4" w:space="0" w:color="auto"/>
            </w:tcBorders>
            <w:tcMar>
              <w:top w:w="72" w:type="dxa"/>
              <w:left w:w="115" w:type="dxa"/>
              <w:bottom w:w="72" w:type="dxa"/>
              <w:right w:w="115" w:type="dxa"/>
            </w:tcMar>
            <w:vAlign w:val="center"/>
            <w:hideMark/>
          </w:tcPr>
          <w:p w14:paraId="70657380"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6</w:t>
            </w:r>
          </w:p>
        </w:tc>
      </w:tr>
      <w:tr w:rsidR="00DB38FC" w14:paraId="5CD204F9" w14:textId="77777777" w:rsidTr="00363B3B">
        <w:trPr>
          <w:jc w:val="center"/>
        </w:trPr>
        <w:tc>
          <w:tcPr>
            <w:tcW w:w="3060" w:type="dxa"/>
            <w:tcBorders>
              <w:top w:val="single" w:sz="4" w:space="0" w:color="808080"/>
              <w:left w:val="single" w:sz="4" w:space="0" w:color="auto"/>
              <w:bottom w:val="single" w:sz="4" w:space="0" w:color="808080"/>
              <w:right w:val="nil"/>
            </w:tcBorders>
            <w:vAlign w:val="center"/>
            <w:hideMark/>
          </w:tcPr>
          <w:p w14:paraId="2C04B120"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7</w:t>
            </w:r>
          </w:p>
        </w:tc>
        <w:tc>
          <w:tcPr>
            <w:tcW w:w="1350" w:type="dxa"/>
            <w:tcBorders>
              <w:top w:val="single" w:sz="4" w:space="0" w:color="808080"/>
              <w:left w:val="nil"/>
              <w:bottom w:val="single" w:sz="4" w:space="0" w:color="808080"/>
              <w:right w:val="nil"/>
            </w:tcBorders>
            <w:hideMark/>
          </w:tcPr>
          <w:p w14:paraId="4B0BEE6B"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8</w:t>
            </w:r>
          </w:p>
        </w:tc>
        <w:tc>
          <w:tcPr>
            <w:tcW w:w="1350" w:type="dxa"/>
            <w:tcBorders>
              <w:top w:val="single" w:sz="4" w:space="0" w:color="808080"/>
              <w:left w:val="nil"/>
              <w:bottom w:val="single" w:sz="4" w:space="0" w:color="808080"/>
            </w:tcBorders>
            <w:tcMar>
              <w:top w:w="72" w:type="dxa"/>
              <w:left w:w="115" w:type="dxa"/>
              <w:bottom w:w="72" w:type="dxa"/>
              <w:right w:w="115" w:type="dxa"/>
            </w:tcMar>
            <w:vAlign w:val="center"/>
            <w:hideMark/>
          </w:tcPr>
          <w:p w14:paraId="23C657E3"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7</w:t>
            </w:r>
          </w:p>
        </w:tc>
        <w:tc>
          <w:tcPr>
            <w:tcW w:w="1125" w:type="dxa"/>
            <w:tcBorders>
              <w:top w:val="single" w:sz="4" w:space="0" w:color="808080"/>
              <w:left w:val="nil"/>
              <w:bottom w:val="single" w:sz="4" w:space="0" w:color="808080"/>
              <w:right w:val="single" w:sz="4" w:space="0" w:color="auto"/>
            </w:tcBorders>
            <w:tcMar>
              <w:top w:w="72" w:type="dxa"/>
              <w:left w:w="115" w:type="dxa"/>
              <w:bottom w:w="72" w:type="dxa"/>
              <w:right w:w="115" w:type="dxa"/>
            </w:tcMar>
            <w:vAlign w:val="center"/>
            <w:hideMark/>
          </w:tcPr>
          <w:p w14:paraId="0B267137"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4</w:t>
            </w:r>
          </w:p>
        </w:tc>
      </w:tr>
      <w:tr w:rsidR="00DB38FC" w14:paraId="47F458A5" w14:textId="77777777" w:rsidTr="00363B3B">
        <w:trPr>
          <w:jc w:val="center"/>
        </w:trPr>
        <w:tc>
          <w:tcPr>
            <w:tcW w:w="3060" w:type="dxa"/>
            <w:tcBorders>
              <w:top w:val="single" w:sz="4" w:space="0" w:color="808080"/>
              <w:left w:val="single" w:sz="4" w:space="0" w:color="auto"/>
              <w:bottom w:val="single" w:sz="4" w:space="0" w:color="808080"/>
              <w:right w:val="nil"/>
            </w:tcBorders>
            <w:vAlign w:val="center"/>
            <w:hideMark/>
          </w:tcPr>
          <w:p w14:paraId="0015B4EE"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8</w:t>
            </w:r>
          </w:p>
        </w:tc>
        <w:tc>
          <w:tcPr>
            <w:tcW w:w="1350" w:type="dxa"/>
            <w:tcBorders>
              <w:top w:val="single" w:sz="4" w:space="0" w:color="808080"/>
              <w:left w:val="nil"/>
              <w:bottom w:val="single" w:sz="4" w:space="0" w:color="808080"/>
              <w:right w:val="nil"/>
            </w:tcBorders>
            <w:hideMark/>
          </w:tcPr>
          <w:p w14:paraId="5BCAB439"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6</w:t>
            </w:r>
          </w:p>
        </w:tc>
        <w:tc>
          <w:tcPr>
            <w:tcW w:w="1350" w:type="dxa"/>
            <w:tcBorders>
              <w:top w:val="single" w:sz="4" w:space="0" w:color="808080"/>
              <w:left w:val="nil"/>
              <w:bottom w:val="single" w:sz="4" w:space="0" w:color="808080"/>
            </w:tcBorders>
            <w:tcMar>
              <w:top w:w="72" w:type="dxa"/>
              <w:left w:w="115" w:type="dxa"/>
              <w:bottom w:w="72" w:type="dxa"/>
              <w:right w:w="115" w:type="dxa"/>
            </w:tcMar>
            <w:vAlign w:val="center"/>
            <w:hideMark/>
          </w:tcPr>
          <w:p w14:paraId="0A70DD88"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1</w:t>
            </w:r>
          </w:p>
        </w:tc>
        <w:tc>
          <w:tcPr>
            <w:tcW w:w="1125" w:type="dxa"/>
            <w:tcBorders>
              <w:top w:val="single" w:sz="4" w:space="0" w:color="808080"/>
              <w:left w:val="nil"/>
              <w:bottom w:val="single" w:sz="4" w:space="0" w:color="808080"/>
              <w:right w:val="single" w:sz="4" w:space="0" w:color="auto"/>
            </w:tcBorders>
            <w:tcMar>
              <w:top w:w="72" w:type="dxa"/>
              <w:left w:w="115" w:type="dxa"/>
              <w:bottom w:w="72" w:type="dxa"/>
              <w:right w:w="115" w:type="dxa"/>
            </w:tcMar>
            <w:vAlign w:val="center"/>
            <w:hideMark/>
          </w:tcPr>
          <w:p w14:paraId="26EF5DF5"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1</w:t>
            </w:r>
          </w:p>
        </w:tc>
      </w:tr>
      <w:tr w:rsidR="00DB38FC" w14:paraId="4EF99378" w14:textId="77777777" w:rsidTr="00363B3B">
        <w:trPr>
          <w:jc w:val="center"/>
        </w:trPr>
        <w:tc>
          <w:tcPr>
            <w:tcW w:w="3060" w:type="dxa"/>
            <w:tcBorders>
              <w:top w:val="single" w:sz="4" w:space="0" w:color="808080"/>
              <w:left w:val="single" w:sz="4" w:space="0" w:color="auto"/>
              <w:bottom w:val="single" w:sz="4" w:space="0" w:color="808080"/>
              <w:right w:val="nil"/>
            </w:tcBorders>
            <w:vAlign w:val="center"/>
            <w:hideMark/>
          </w:tcPr>
          <w:p w14:paraId="03F98737"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9</w:t>
            </w:r>
          </w:p>
        </w:tc>
        <w:tc>
          <w:tcPr>
            <w:tcW w:w="1350" w:type="dxa"/>
            <w:tcBorders>
              <w:top w:val="single" w:sz="4" w:space="0" w:color="808080"/>
              <w:left w:val="nil"/>
              <w:bottom w:val="single" w:sz="4" w:space="0" w:color="808080"/>
              <w:right w:val="nil"/>
            </w:tcBorders>
            <w:hideMark/>
          </w:tcPr>
          <w:p w14:paraId="16C4F138"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49</w:t>
            </w:r>
          </w:p>
        </w:tc>
        <w:tc>
          <w:tcPr>
            <w:tcW w:w="1350" w:type="dxa"/>
            <w:tcBorders>
              <w:top w:val="single" w:sz="4" w:space="0" w:color="808080"/>
              <w:left w:val="nil"/>
              <w:bottom w:val="single" w:sz="4" w:space="0" w:color="808080"/>
            </w:tcBorders>
            <w:tcMar>
              <w:top w:w="72" w:type="dxa"/>
              <w:left w:w="115" w:type="dxa"/>
              <w:bottom w:w="72" w:type="dxa"/>
              <w:right w:w="115" w:type="dxa"/>
            </w:tcMar>
            <w:vAlign w:val="center"/>
            <w:hideMark/>
          </w:tcPr>
          <w:p w14:paraId="1C66B994"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77</w:t>
            </w:r>
          </w:p>
        </w:tc>
        <w:tc>
          <w:tcPr>
            <w:tcW w:w="1125" w:type="dxa"/>
            <w:tcBorders>
              <w:top w:val="single" w:sz="4" w:space="0" w:color="808080"/>
              <w:left w:val="nil"/>
              <w:bottom w:val="single" w:sz="4" w:space="0" w:color="808080"/>
              <w:right w:val="single" w:sz="4" w:space="0" w:color="auto"/>
            </w:tcBorders>
            <w:tcMar>
              <w:top w:w="72" w:type="dxa"/>
              <w:left w:w="115" w:type="dxa"/>
              <w:bottom w:w="72" w:type="dxa"/>
              <w:right w:w="115" w:type="dxa"/>
            </w:tcMar>
            <w:vAlign w:val="center"/>
            <w:hideMark/>
          </w:tcPr>
          <w:p w14:paraId="2BEA1A24"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57</w:t>
            </w:r>
          </w:p>
        </w:tc>
      </w:tr>
      <w:tr w:rsidR="00DB38FC" w14:paraId="1E317C35" w14:textId="77777777" w:rsidTr="00363B3B">
        <w:trPr>
          <w:jc w:val="center"/>
        </w:trPr>
        <w:tc>
          <w:tcPr>
            <w:tcW w:w="3060" w:type="dxa"/>
            <w:tcBorders>
              <w:top w:val="single" w:sz="4" w:space="0" w:color="808080"/>
              <w:left w:val="single" w:sz="4" w:space="0" w:color="auto"/>
              <w:bottom w:val="single" w:sz="4" w:space="0" w:color="808080"/>
              <w:right w:val="nil"/>
            </w:tcBorders>
            <w:vAlign w:val="center"/>
            <w:hideMark/>
          </w:tcPr>
          <w:p w14:paraId="579B4BDE"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10</w:t>
            </w:r>
          </w:p>
        </w:tc>
        <w:tc>
          <w:tcPr>
            <w:tcW w:w="1350" w:type="dxa"/>
            <w:tcBorders>
              <w:top w:val="single" w:sz="4" w:space="0" w:color="808080"/>
              <w:left w:val="nil"/>
              <w:bottom w:val="single" w:sz="4" w:space="0" w:color="808080"/>
              <w:right w:val="nil"/>
            </w:tcBorders>
            <w:hideMark/>
          </w:tcPr>
          <w:p w14:paraId="7BBA655A"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6</w:t>
            </w:r>
          </w:p>
        </w:tc>
        <w:tc>
          <w:tcPr>
            <w:tcW w:w="1350" w:type="dxa"/>
            <w:tcBorders>
              <w:top w:val="single" w:sz="4" w:space="0" w:color="808080"/>
              <w:left w:val="nil"/>
              <w:bottom w:val="single" w:sz="4" w:space="0" w:color="808080"/>
            </w:tcBorders>
            <w:tcMar>
              <w:top w:w="72" w:type="dxa"/>
              <w:left w:w="115" w:type="dxa"/>
              <w:bottom w:w="72" w:type="dxa"/>
              <w:right w:w="115" w:type="dxa"/>
            </w:tcMar>
            <w:vAlign w:val="center"/>
            <w:hideMark/>
          </w:tcPr>
          <w:p w14:paraId="38CF2881"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6</w:t>
            </w:r>
          </w:p>
        </w:tc>
        <w:tc>
          <w:tcPr>
            <w:tcW w:w="1125" w:type="dxa"/>
            <w:tcBorders>
              <w:top w:val="single" w:sz="4" w:space="0" w:color="808080"/>
              <w:left w:val="nil"/>
              <w:bottom w:val="single" w:sz="4" w:space="0" w:color="808080"/>
              <w:right w:val="single" w:sz="4" w:space="0" w:color="auto"/>
            </w:tcBorders>
            <w:tcMar>
              <w:top w:w="72" w:type="dxa"/>
              <w:left w:w="115" w:type="dxa"/>
              <w:bottom w:w="72" w:type="dxa"/>
              <w:right w:w="115" w:type="dxa"/>
            </w:tcMar>
            <w:vAlign w:val="center"/>
            <w:hideMark/>
          </w:tcPr>
          <w:p w14:paraId="7E51AB9C"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3</w:t>
            </w:r>
          </w:p>
        </w:tc>
      </w:tr>
      <w:tr w:rsidR="00DB38FC" w14:paraId="03938B7D" w14:textId="77777777" w:rsidTr="00363B3B">
        <w:trPr>
          <w:jc w:val="center"/>
        </w:trPr>
        <w:tc>
          <w:tcPr>
            <w:tcW w:w="3060" w:type="dxa"/>
            <w:tcBorders>
              <w:top w:val="single" w:sz="4" w:space="0" w:color="808080"/>
              <w:left w:val="single" w:sz="4" w:space="0" w:color="auto"/>
              <w:bottom w:val="single" w:sz="4" w:space="0" w:color="808080"/>
              <w:right w:val="nil"/>
            </w:tcBorders>
            <w:vAlign w:val="center"/>
            <w:hideMark/>
          </w:tcPr>
          <w:p w14:paraId="6B76AC88"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11</w:t>
            </w:r>
          </w:p>
        </w:tc>
        <w:tc>
          <w:tcPr>
            <w:tcW w:w="1350" w:type="dxa"/>
            <w:tcBorders>
              <w:top w:val="single" w:sz="4" w:space="0" w:color="808080"/>
              <w:left w:val="nil"/>
              <w:bottom w:val="single" w:sz="4" w:space="0" w:color="808080"/>
              <w:right w:val="nil"/>
            </w:tcBorders>
            <w:hideMark/>
          </w:tcPr>
          <w:p w14:paraId="42C5CED9"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14</w:t>
            </w:r>
          </w:p>
        </w:tc>
        <w:tc>
          <w:tcPr>
            <w:tcW w:w="1350" w:type="dxa"/>
            <w:tcBorders>
              <w:top w:val="single" w:sz="4" w:space="0" w:color="808080"/>
              <w:left w:val="nil"/>
              <w:bottom w:val="single" w:sz="4" w:space="0" w:color="808080"/>
            </w:tcBorders>
            <w:tcMar>
              <w:top w:w="72" w:type="dxa"/>
              <w:left w:w="115" w:type="dxa"/>
              <w:bottom w:w="72" w:type="dxa"/>
              <w:right w:w="115" w:type="dxa"/>
            </w:tcMar>
            <w:vAlign w:val="center"/>
            <w:hideMark/>
          </w:tcPr>
          <w:p w14:paraId="399D34F9"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8</w:t>
            </w:r>
          </w:p>
        </w:tc>
        <w:tc>
          <w:tcPr>
            <w:tcW w:w="1125" w:type="dxa"/>
            <w:tcBorders>
              <w:top w:val="single" w:sz="4" w:space="0" w:color="808080"/>
              <w:left w:val="nil"/>
              <w:bottom w:val="single" w:sz="4" w:space="0" w:color="808080"/>
              <w:right w:val="single" w:sz="4" w:space="0" w:color="auto"/>
            </w:tcBorders>
            <w:tcMar>
              <w:top w:w="72" w:type="dxa"/>
              <w:left w:w="115" w:type="dxa"/>
              <w:bottom w:w="72" w:type="dxa"/>
              <w:right w:w="115" w:type="dxa"/>
            </w:tcMar>
            <w:vAlign w:val="center"/>
            <w:hideMark/>
          </w:tcPr>
          <w:p w14:paraId="5F05FBA3"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7</w:t>
            </w:r>
          </w:p>
        </w:tc>
      </w:tr>
      <w:tr w:rsidR="00DB38FC" w14:paraId="25554736" w14:textId="77777777" w:rsidTr="00363B3B">
        <w:trPr>
          <w:jc w:val="center"/>
        </w:trPr>
        <w:tc>
          <w:tcPr>
            <w:tcW w:w="3060" w:type="dxa"/>
            <w:tcBorders>
              <w:top w:val="single" w:sz="4" w:space="0" w:color="808080"/>
              <w:left w:val="single" w:sz="4" w:space="0" w:color="auto"/>
              <w:bottom w:val="single" w:sz="4" w:space="0" w:color="808080"/>
              <w:right w:val="nil"/>
            </w:tcBorders>
            <w:vAlign w:val="center"/>
            <w:hideMark/>
          </w:tcPr>
          <w:p w14:paraId="4E5AE3C5"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12</w:t>
            </w:r>
          </w:p>
        </w:tc>
        <w:tc>
          <w:tcPr>
            <w:tcW w:w="1350" w:type="dxa"/>
            <w:tcBorders>
              <w:top w:val="single" w:sz="4" w:space="0" w:color="808080"/>
              <w:left w:val="nil"/>
              <w:bottom w:val="single" w:sz="4" w:space="0" w:color="808080"/>
              <w:right w:val="nil"/>
            </w:tcBorders>
            <w:hideMark/>
          </w:tcPr>
          <w:p w14:paraId="0FE0E099"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1</w:t>
            </w:r>
          </w:p>
        </w:tc>
        <w:tc>
          <w:tcPr>
            <w:tcW w:w="1350" w:type="dxa"/>
            <w:tcBorders>
              <w:top w:val="single" w:sz="4" w:space="0" w:color="808080"/>
              <w:left w:val="nil"/>
              <w:bottom w:val="single" w:sz="4" w:space="0" w:color="808080"/>
            </w:tcBorders>
            <w:tcMar>
              <w:top w:w="72" w:type="dxa"/>
              <w:left w:w="115" w:type="dxa"/>
              <w:bottom w:w="72" w:type="dxa"/>
              <w:right w:w="115" w:type="dxa"/>
            </w:tcMar>
            <w:vAlign w:val="center"/>
            <w:hideMark/>
          </w:tcPr>
          <w:p w14:paraId="411513DD"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0</w:t>
            </w:r>
          </w:p>
        </w:tc>
        <w:tc>
          <w:tcPr>
            <w:tcW w:w="1125" w:type="dxa"/>
            <w:tcBorders>
              <w:top w:val="single" w:sz="4" w:space="0" w:color="808080"/>
              <w:left w:val="nil"/>
              <w:bottom w:val="single" w:sz="4" w:space="0" w:color="808080"/>
              <w:right w:val="single" w:sz="4" w:space="0" w:color="auto"/>
            </w:tcBorders>
            <w:tcMar>
              <w:top w:w="72" w:type="dxa"/>
              <w:left w:w="115" w:type="dxa"/>
              <w:bottom w:w="72" w:type="dxa"/>
              <w:right w:w="115" w:type="dxa"/>
            </w:tcMar>
            <w:vAlign w:val="center"/>
            <w:hideMark/>
          </w:tcPr>
          <w:p w14:paraId="60A7EDA9" w14:textId="77777777" w:rsidR="00DB38FC" w:rsidRDefault="00DB38FC" w:rsidP="00363B3B">
            <w:pPr>
              <w:spacing w:after="0" w:line="240" w:lineRule="auto"/>
              <w:jc w:val="center"/>
              <w:rPr>
                <w:rFonts w:ascii="Arial" w:eastAsia="Times New Roman" w:hAnsi="Arial" w:cs="Times New Roman"/>
                <w:color w:val="000000"/>
                <w:kern w:val="22"/>
                <w:sz w:val="20"/>
                <w:szCs w:val="18"/>
              </w:rPr>
            </w:pPr>
            <w:r>
              <w:rPr>
                <w:rFonts w:ascii="Arial" w:eastAsia="Times New Roman" w:hAnsi="Arial" w:cs="Times New Roman"/>
                <w:color w:val="000000"/>
                <w:kern w:val="22"/>
                <w:sz w:val="20"/>
                <w:szCs w:val="18"/>
              </w:rPr>
              <w:t>0</w:t>
            </w:r>
          </w:p>
        </w:tc>
      </w:tr>
      <w:tr w:rsidR="00DB38FC" w14:paraId="32DB7056" w14:textId="77777777" w:rsidTr="00363B3B">
        <w:trPr>
          <w:jc w:val="center"/>
        </w:trPr>
        <w:tc>
          <w:tcPr>
            <w:tcW w:w="3060" w:type="dxa"/>
            <w:tcBorders>
              <w:top w:val="single" w:sz="4" w:space="0" w:color="808080"/>
              <w:left w:val="single" w:sz="4" w:space="0" w:color="auto"/>
              <w:bottom w:val="single" w:sz="4" w:space="0" w:color="auto"/>
              <w:right w:val="nil"/>
            </w:tcBorders>
            <w:vAlign w:val="center"/>
            <w:hideMark/>
          </w:tcPr>
          <w:p w14:paraId="53999BC9" w14:textId="77777777" w:rsidR="00DB38FC" w:rsidRDefault="00DB38FC" w:rsidP="00363B3B">
            <w:pPr>
              <w:spacing w:after="0" w:line="240" w:lineRule="auto"/>
              <w:jc w:val="center"/>
              <w:rPr>
                <w:rFonts w:ascii="Arial" w:eastAsia="Times New Roman" w:hAnsi="Arial" w:cs="Times New Roman"/>
                <w:b/>
                <w:color w:val="000000"/>
                <w:kern w:val="22"/>
                <w:sz w:val="20"/>
                <w:szCs w:val="18"/>
              </w:rPr>
            </w:pPr>
            <w:r>
              <w:rPr>
                <w:rFonts w:ascii="Arial" w:eastAsia="Times New Roman" w:hAnsi="Arial" w:cs="Times New Roman"/>
                <w:b/>
                <w:color w:val="000000"/>
                <w:kern w:val="22"/>
                <w:sz w:val="20"/>
                <w:szCs w:val="18"/>
              </w:rPr>
              <w:t>Total</w:t>
            </w:r>
          </w:p>
        </w:tc>
        <w:tc>
          <w:tcPr>
            <w:tcW w:w="1350" w:type="dxa"/>
            <w:tcBorders>
              <w:top w:val="single" w:sz="4" w:space="0" w:color="808080"/>
              <w:left w:val="nil"/>
              <w:bottom w:val="single" w:sz="4" w:space="0" w:color="auto"/>
              <w:right w:val="nil"/>
            </w:tcBorders>
          </w:tcPr>
          <w:p w14:paraId="46FA5E90" w14:textId="77777777" w:rsidR="00DB38FC" w:rsidRDefault="00DB38FC" w:rsidP="00363B3B">
            <w:pPr>
              <w:spacing w:after="0" w:line="240" w:lineRule="auto"/>
              <w:jc w:val="center"/>
              <w:rPr>
                <w:rFonts w:ascii="Arial" w:eastAsia="Times New Roman" w:hAnsi="Arial" w:cs="Times New Roman"/>
                <w:b/>
                <w:color w:val="000000"/>
                <w:kern w:val="22"/>
                <w:sz w:val="20"/>
                <w:szCs w:val="18"/>
              </w:rPr>
            </w:pPr>
          </w:p>
        </w:tc>
        <w:tc>
          <w:tcPr>
            <w:tcW w:w="1350" w:type="dxa"/>
            <w:tcBorders>
              <w:top w:val="single" w:sz="4" w:space="0" w:color="808080"/>
              <w:left w:val="nil"/>
              <w:bottom w:val="single" w:sz="4" w:space="0" w:color="auto"/>
              <w:right w:val="nil"/>
            </w:tcBorders>
            <w:tcMar>
              <w:top w:w="72" w:type="dxa"/>
              <w:left w:w="115" w:type="dxa"/>
              <w:bottom w:w="72" w:type="dxa"/>
              <w:right w:w="115" w:type="dxa"/>
            </w:tcMar>
            <w:vAlign w:val="center"/>
            <w:hideMark/>
          </w:tcPr>
          <w:p w14:paraId="0E0A8D69" w14:textId="77777777" w:rsidR="00DB38FC" w:rsidRDefault="00DB38FC" w:rsidP="00363B3B">
            <w:pPr>
              <w:spacing w:after="0" w:line="240" w:lineRule="auto"/>
              <w:jc w:val="center"/>
              <w:rPr>
                <w:rFonts w:ascii="Arial" w:eastAsia="Times New Roman" w:hAnsi="Arial" w:cs="Times New Roman"/>
                <w:b/>
                <w:color w:val="000000"/>
                <w:kern w:val="22"/>
                <w:sz w:val="20"/>
                <w:szCs w:val="18"/>
              </w:rPr>
            </w:pPr>
            <w:r>
              <w:rPr>
                <w:rFonts w:ascii="Arial" w:eastAsia="Times New Roman" w:hAnsi="Arial" w:cs="Times New Roman"/>
                <w:b/>
                <w:color w:val="000000"/>
                <w:kern w:val="22"/>
                <w:sz w:val="20"/>
                <w:szCs w:val="18"/>
              </w:rPr>
              <w:t>220</w:t>
            </w:r>
          </w:p>
        </w:tc>
        <w:tc>
          <w:tcPr>
            <w:tcW w:w="1125" w:type="dxa"/>
            <w:tcBorders>
              <w:top w:val="single" w:sz="4" w:space="0" w:color="808080"/>
              <w:left w:val="nil"/>
              <w:bottom w:val="single" w:sz="4" w:space="0" w:color="auto"/>
              <w:right w:val="single" w:sz="4" w:space="0" w:color="auto"/>
            </w:tcBorders>
            <w:tcMar>
              <w:top w:w="72" w:type="dxa"/>
              <w:left w:w="115" w:type="dxa"/>
              <w:bottom w:w="72" w:type="dxa"/>
              <w:right w:w="115" w:type="dxa"/>
            </w:tcMar>
            <w:vAlign w:val="center"/>
            <w:hideMark/>
          </w:tcPr>
          <w:p w14:paraId="45DFB97B" w14:textId="77777777" w:rsidR="00DB38FC" w:rsidRDefault="00DB38FC" w:rsidP="00363B3B">
            <w:pPr>
              <w:spacing w:after="0" w:line="240" w:lineRule="auto"/>
              <w:jc w:val="center"/>
              <w:rPr>
                <w:rFonts w:ascii="Arial" w:eastAsia="Times New Roman" w:hAnsi="Arial" w:cs="Times New Roman"/>
                <w:b/>
                <w:color w:val="000000"/>
                <w:kern w:val="22"/>
                <w:sz w:val="20"/>
                <w:szCs w:val="18"/>
              </w:rPr>
            </w:pPr>
            <w:r>
              <w:rPr>
                <w:rFonts w:ascii="Arial" w:eastAsia="Times New Roman" w:hAnsi="Arial" w:cs="Times New Roman"/>
                <w:b/>
                <w:color w:val="000000"/>
                <w:kern w:val="22"/>
                <w:sz w:val="20"/>
                <w:szCs w:val="18"/>
              </w:rPr>
              <w:t>192</w:t>
            </w:r>
          </w:p>
        </w:tc>
      </w:tr>
    </w:tbl>
    <w:p w14:paraId="2771661D" w14:textId="77777777" w:rsidR="00DB38FC" w:rsidRDefault="00DB38FC" w:rsidP="00DB38FC">
      <w:pPr>
        <w:spacing w:after="0" w:line="240" w:lineRule="auto"/>
        <w:ind w:left="900" w:hanging="360"/>
        <w:rPr>
          <w:rFonts w:ascii="Arial" w:eastAsia="Times New Roman" w:hAnsi="Arial" w:cs="Times New Roman"/>
          <w:kern w:val="22"/>
          <w:sz w:val="20"/>
          <w:szCs w:val="20"/>
        </w:rPr>
      </w:pPr>
    </w:p>
    <w:p w14:paraId="44673C54" w14:textId="77777777" w:rsidR="00DB38FC" w:rsidRDefault="00DB38FC" w:rsidP="00DB38FC">
      <w:pPr>
        <w:spacing w:before="120" w:after="0" w:line="240" w:lineRule="auto"/>
        <w:rPr>
          <w:rFonts w:ascii="Arial" w:eastAsia="Times New Roman" w:hAnsi="Arial" w:cs="Times New Roman"/>
          <w:i/>
          <w:sz w:val="20"/>
          <w:szCs w:val="24"/>
        </w:rPr>
      </w:pPr>
      <w:r>
        <w:rPr>
          <w:rFonts w:ascii="Arial" w:eastAsia="Times New Roman" w:hAnsi="Arial" w:cs="Times New Roman"/>
          <w:i/>
          <w:sz w:val="20"/>
          <w:szCs w:val="24"/>
        </w:rPr>
        <w:t>Cornerstone Research 2021 Securities Class Action Case Filings Year in Review</w:t>
      </w:r>
    </w:p>
    <w:p w14:paraId="47823B88" w14:textId="77777777" w:rsidR="00DB38FC" w:rsidRDefault="00DB38FC" w:rsidP="00DB38FC">
      <w:pPr>
        <w:pStyle w:val="OBISSubhead2"/>
        <w:rPr>
          <w:rStyle w:val="OBISBodyCopyChar"/>
          <w:rFonts w:eastAsiaTheme="minorHAnsi"/>
          <w:color w:val="auto"/>
          <w:sz w:val="18"/>
          <w:szCs w:val="18"/>
        </w:rPr>
      </w:pPr>
      <w:r>
        <w:rPr>
          <w:smallCaps w:val="0"/>
        </w:rPr>
        <w:br w:type="page"/>
      </w:r>
    </w:p>
    <w:p w14:paraId="6A32A227" w14:textId="77777777" w:rsidR="00DB38FC" w:rsidRDefault="00DB38FC" w:rsidP="00DB38FC">
      <w:pPr>
        <w:pStyle w:val="OBISSubhead1"/>
        <w:rPr>
          <w:b w:val="0"/>
          <w:bCs/>
        </w:rPr>
      </w:pPr>
      <w:r>
        <w:rPr>
          <w:noProof/>
        </w:rPr>
        <w:lastRenderedPageBreak/>
        <w:drawing>
          <wp:anchor distT="0" distB="0" distL="114300" distR="114300" simplePos="0" relativeHeight="251805696" behindDoc="1" locked="0" layoutInCell="1" allowOverlap="1" wp14:anchorId="188075E7" wp14:editId="1337EA60">
            <wp:simplePos x="0" y="0"/>
            <wp:positionH relativeFrom="column">
              <wp:posOffset>-78740</wp:posOffset>
            </wp:positionH>
            <wp:positionV relativeFrom="paragraph">
              <wp:posOffset>290830</wp:posOffset>
            </wp:positionV>
            <wp:extent cx="1098550" cy="1098550"/>
            <wp:effectExtent l="0" t="0" r="0" b="0"/>
            <wp:wrapTight wrapText="bothSides">
              <wp:wrapPolygon edited="0">
                <wp:start x="1498" y="1124"/>
                <wp:lineTo x="375" y="3371"/>
                <wp:lineTo x="375" y="20601"/>
                <wp:lineTo x="20976" y="20601"/>
                <wp:lineTo x="20976" y="3371"/>
                <wp:lineTo x="19852" y="1124"/>
                <wp:lineTo x="1498" y="1124"/>
              </wp:wrapPolygon>
            </wp:wrapTight>
            <wp:docPr id="43" name="Picture 43" descr="safe_121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afe_121713.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098550" cy="1098550"/>
                    </a:xfrm>
                    <a:prstGeom prst="rect">
                      <a:avLst/>
                    </a:prstGeom>
                    <a:noFill/>
                  </pic:spPr>
                </pic:pic>
              </a:graphicData>
            </a:graphic>
            <wp14:sizeRelH relativeFrom="page">
              <wp14:pctWidth>0</wp14:pctWidth>
            </wp14:sizeRelH>
            <wp14:sizeRelV relativeFrom="page">
              <wp14:pctHeight>0</wp14:pctHeight>
            </wp14:sizeRelV>
          </wp:anchor>
        </w:drawing>
      </w:r>
      <w:r>
        <w:rPr>
          <w:b w:val="0"/>
          <w:bCs/>
          <w:color w:val="0067B1"/>
        </w:rPr>
        <w:t>Historical Securities Litigation Settlement Values</w:t>
      </w:r>
    </w:p>
    <w:p w14:paraId="33839287" w14:textId="77777777" w:rsidR="00DB38FC" w:rsidRDefault="00DB38FC" w:rsidP="00DB38FC">
      <w:pPr>
        <w:spacing w:line="360" w:lineRule="auto"/>
        <w:jc w:val="both"/>
        <w:rPr>
          <w:rFonts w:ascii="Arial" w:hAnsi="Arial" w:cs="Arial"/>
        </w:rPr>
      </w:pPr>
      <w:r>
        <w:rPr>
          <w:rFonts w:ascii="Arial" w:hAnsi="Arial" w:cs="Arial"/>
        </w:rPr>
        <w:t xml:space="preserve">A leading indicator for exposures facing directors and officers is the median values.  Irrespective of the source, the chart shown below clearly illustrates an uptick in median settlements.  Please note that defense costs are not reflected in the amounts shown below. </w:t>
      </w:r>
    </w:p>
    <w:p w14:paraId="59990F25" w14:textId="77777777" w:rsidR="00DB38FC" w:rsidRDefault="00DB38FC" w:rsidP="00DB38FC">
      <w:pPr>
        <w:spacing w:line="360" w:lineRule="auto"/>
        <w:jc w:val="both"/>
        <w:rPr>
          <w:rFonts w:ascii="Arial" w:hAnsi="Arial" w:cs="Arial"/>
        </w:rPr>
      </w:pPr>
      <w:r>
        <w:rPr>
          <w:rFonts w:ascii="Arial" w:hAnsi="Arial" w:cs="Arial"/>
        </w:rPr>
        <w:t>To provide some perspective, using NERA’s numbers, in 1996, the median settlement was $3.7 million, while in 2000 it was $4.8 million, and then $6.1 million in 2003.  As a result of the financial crisis of 2008 to 2009, median settlement values rose to $11 million in 2010 and hit a record of $12.6 million in 2012.  Through the ensuring recovery years, the median settlement value drifted back down between $7 million and $9 million and then returned to the $12 million to $13 million level since 2018.</w:t>
      </w:r>
    </w:p>
    <w:p w14:paraId="5FE6F0EE" w14:textId="77777777" w:rsidR="00DB38FC" w:rsidRDefault="00DB38FC" w:rsidP="00DB38FC">
      <w:pPr>
        <w:rPr>
          <w:rFonts w:ascii="Arial" w:eastAsia="Times New Roman" w:hAnsi="Arial" w:cs="Times New Roman"/>
          <w:i/>
          <w:color w:val="000000"/>
          <w:kern w:val="22"/>
          <w:sz w:val="16"/>
          <w:szCs w:val="16"/>
        </w:rPr>
      </w:pPr>
    </w:p>
    <w:tbl>
      <w:tblPr>
        <w:tblW w:w="7599" w:type="dxa"/>
        <w:jc w:val="center"/>
        <w:tblCellMar>
          <w:left w:w="0" w:type="dxa"/>
          <w:right w:w="0" w:type="dxa"/>
        </w:tblCellMar>
        <w:tblLook w:val="04A0" w:firstRow="1" w:lastRow="0" w:firstColumn="1" w:lastColumn="0" w:noHBand="0" w:noVBand="1"/>
      </w:tblPr>
      <w:tblGrid>
        <w:gridCol w:w="1686"/>
        <w:gridCol w:w="898"/>
        <w:gridCol w:w="898"/>
        <w:gridCol w:w="1105"/>
        <w:gridCol w:w="952"/>
        <w:gridCol w:w="1165"/>
        <w:gridCol w:w="895"/>
      </w:tblGrid>
      <w:tr w:rsidR="00DB38FC" w14:paraId="0DF79B70" w14:textId="77777777" w:rsidTr="00363B3B">
        <w:trPr>
          <w:jc w:val="center"/>
        </w:trPr>
        <w:tc>
          <w:tcPr>
            <w:tcW w:w="7599" w:type="dxa"/>
            <w:gridSpan w:val="7"/>
            <w:tcBorders>
              <w:top w:val="nil"/>
              <w:left w:val="nil"/>
              <w:bottom w:val="single" w:sz="8" w:space="0" w:color="auto"/>
              <w:right w:val="nil"/>
            </w:tcBorders>
            <w:shd w:val="clear" w:color="auto" w:fill="E6E6E6"/>
            <w:tcMar>
              <w:top w:w="0" w:type="dxa"/>
              <w:left w:w="108" w:type="dxa"/>
              <w:bottom w:w="0" w:type="dxa"/>
              <w:right w:w="108" w:type="dxa"/>
            </w:tcMar>
            <w:hideMark/>
          </w:tcPr>
          <w:p w14:paraId="39B5C948" w14:textId="77777777" w:rsidR="00DB38FC" w:rsidRDefault="00DB38FC" w:rsidP="00363B3B">
            <w:pPr>
              <w:spacing w:before="120" w:after="120"/>
              <w:jc w:val="center"/>
              <w:rPr>
                <w:rFonts w:ascii="Arial" w:hAnsi="Arial" w:cs="Arial"/>
                <w:b/>
                <w:bCs/>
                <w:smallCaps/>
                <w:sz w:val="20"/>
                <w:szCs w:val="20"/>
              </w:rPr>
            </w:pPr>
            <w:r>
              <w:rPr>
                <w:rFonts w:ascii="Arial" w:hAnsi="Arial" w:cs="Arial"/>
                <w:b/>
                <w:bCs/>
                <w:smallCaps/>
                <w:color w:val="0067B1"/>
                <w:sz w:val="20"/>
                <w:szCs w:val="20"/>
              </w:rPr>
              <w:t>Shareholder Class Action Settlement Values</w:t>
            </w:r>
          </w:p>
        </w:tc>
      </w:tr>
      <w:tr w:rsidR="00DB38FC" w14:paraId="17C35F04" w14:textId="77777777" w:rsidTr="00363B3B">
        <w:trPr>
          <w:jc w:val="center"/>
        </w:trPr>
        <w:tc>
          <w:tcPr>
            <w:tcW w:w="1710" w:type="dxa"/>
            <w:vMerge w:val="restart"/>
            <w:tcBorders>
              <w:top w:val="nil"/>
              <w:left w:val="nil"/>
              <w:bottom w:val="single" w:sz="8" w:space="0" w:color="808080"/>
              <w:right w:val="nil"/>
            </w:tcBorders>
            <w:tcMar>
              <w:top w:w="0" w:type="dxa"/>
              <w:left w:w="108" w:type="dxa"/>
              <w:bottom w:w="0" w:type="dxa"/>
              <w:right w:w="108" w:type="dxa"/>
            </w:tcMar>
            <w:vAlign w:val="center"/>
            <w:hideMark/>
          </w:tcPr>
          <w:p w14:paraId="6F12C7B7" w14:textId="77777777" w:rsidR="00DB38FC" w:rsidRDefault="00DB38FC" w:rsidP="00363B3B">
            <w:pPr>
              <w:jc w:val="center"/>
              <w:rPr>
                <w:rFonts w:ascii="Arial" w:hAnsi="Arial" w:cs="Arial"/>
                <w:b/>
                <w:bCs/>
                <w:smallCaps/>
                <w:sz w:val="20"/>
                <w:szCs w:val="20"/>
              </w:rPr>
            </w:pPr>
            <w:r>
              <w:rPr>
                <w:rFonts w:ascii="Arial" w:hAnsi="Arial" w:cs="Arial"/>
                <w:b/>
                <w:bCs/>
                <w:smallCaps/>
                <w:sz w:val="20"/>
                <w:szCs w:val="20"/>
              </w:rPr>
              <w:t>Source:</w:t>
            </w:r>
          </w:p>
        </w:tc>
        <w:tc>
          <w:tcPr>
            <w:tcW w:w="1723" w:type="dxa"/>
            <w:gridSpan w:val="2"/>
            <w:tcMar>
              <w:top w:w="72" w:type="dxa"/>
              <w:left w:w="115" w:type="dxa"/>
              <w:bottom w:w="72" w:type="dxa"/>
              <w:right w:w="115" w:type="dxa"/>
            </w:tcMar>
            <w:hideMark/>
          </w:tcPr>
          <w:p w14:paraId="3E84A1E1" w14:textId="77777777" w:rsidR="00DB38FC" w:rsidRDefault="00DB38FC" w:rsidP="00363B3B">
            <w:pPr>
              <w:jc w:val="center"/>
              <w:rPr>
                <w:rFonts w:ascii="Arial" w:hAnsi="Arial" w:cs="Arial"/>
                <w:b/>
                <w:bCs/>
                <w:smallCaps/>
                <w:sz w:val="18"/>
                <w:szCs w:val="18"/>
              </w:rPr>
            </w:pPr>
            <w:r>
              <w:rPr>
                <w:rFonts w:ascii="Arial" w:hAnsi="Arial" w:cs="Arial"/>
                <w:b/>
                <w:bCs/>
                <w:smallCaps/>
                <w:sz w:val="18"/>
                <w:szCs w:val="18"/>
              </w:rPr>
              <w:t>2019</w:t>
            </w:r>
          </w:p>
        </w:tc>
        <w:tc>
          <w:tcPr>
            <w:tcW w:w="2073" w:type="dxa"/>
            <w:gridSpan w:val="2"/>
            <w:tcMar>
              <w:top w:w="72" w:type="dxa"/>
              <w:left w:w="115" w:type="dxa"/>
              <w:bottom w:w="72" w:type="dxa"/>
              <w:right w:w="115" w:type="dxa"/>
            </w:tcMar>
            <w:hideMark/>
          </w:tcPr>
          <w:p w14:paraId="01430BE2" w14:textId="77777777" w:rsidR="00DB38FC" w:rsidRDefault="00DB38FC" w:rsidP="00363B3B">
            <w:pPr>
              <w:jc w:val="center"/>
              <w:rPr>
                <w:rFonts w:ascii="Arial" w:hAnsi="Arial" w:cs="Arial"/>
                <w:b/>
                <w:bCs/>
                <w:smallCaps/>
                <w:sz w:val="18"/>
                <w:szCs w:val="18"/>
              </w:rPr>
            </w:pPr>
            <w:r>
              <w:rPr>
                <w:rFonts w:ascii="Arial" w:hAnsi="Arial" w:cs="Arial"/>
                <w:b/>
                <w:bCs/>
                <w:smallCaps/>
                <w:sz w:val="18"/>
                <w:szCs w:val="18"/>
              </w:rPr>
              <w:t>2020</w:t>
            </w:r>
          </w:p>
        </w:tc>
        <w:tc>
          <w:tcPr>
            <w:tcW w:w="2093" w:type="dxa"/>
            <w:gridSpan w:val="2"/>
            <w:tcMar>
              <w:top w:w="72" w:type="dxa"/>
              <w:left w:w="115" w:type="dxa"/>
              <w:bottom w:w="72" w:type="dxa"/>
              <w:right w:w="115" w:type="dxa"/>
            </w:tcMar>
            <w:hideMark/>
          </w:tcPr>
          <w:p w14:paraId="042B9A19" w14:textId="77777777" w:rsidR="00DB38FC" w:rsidRDefault="00DB38FC" w:rsidP="00363B3B">
            <w:pPr>
              <w:jc w:val="center"/>
              <w:rPr>
                <w:rFonts w:ascii="Arial" w:hAnsi="Arial" w:cs="Arial"/>
                <w:b/>
                <w:bCs/>
                <w:smallCaps/>
                <w:sz w:val="18"/>
                <w:szCs w:val="18"/>
              </w:rPr>
            </w:pPr>
            <w:r>
              <w:rPr>
                <w:rFonts w:ascii="Arial" w:hAnsi="Arial" w:cs="Arial"/>
                <w:b/>
                <w:bCs/>
                <w:smallCaps/>
                <w:sz w:val="18"/>
                <w:szCs w:val="18"/>
              </w:rPr>
              <w:t>2021</w:t>
            </w:r>
          </w:p>
        </w:tc>
      </w:tr>
      <w:tr w:rsidR="00DB38FC" w14:paraId="77A24EF1" w14:textId="77777777" w:rsidTr="00363B3B">
        <w:trPr>
          <w:jc w:val="center"/>
        </w:trPr>
        <w:tc>
          <w:tcPr>
            <w:tcW w:w="0" w:type="auto"/>
            <w:vMerge/>
            <w:tcBorders>
              <w:top w:val="nil"/>
              <w:left w:val="nil"/>
              <w:bottom w:val="single" w:sz="8" w:space="0" w:color="808080"/>
              <w:right w:val="nil"/>
            </w:tcBorders>
            <w:vAlign w:val="center"/>
            <w:hideMark/>
          </w:tcPr>
          <w:p w14:paraId="3D20E8B0" w14:textId="77777777" w:rsidR="00DB38FC" w:rsidRDefault="00DB38FC" w:rsidP="00363B3B">
            <w:pPr>
              <w:spacing w:after="0"/>
              <w:rPr>
                <w:rFonts w:ascii="Arial" w:hAnsi="Arial" w:cs="Arial"/>
                <w:b/>
                <w:bCs/>
                <w:smallCaps/>
                <w:sz w:val="20"/>
                <w:szCs w:val="20"/>
              </w:rPr>
            </w:pPr>
          </w:p>
        </w:tc>
        <w:tc>
          <w:tcPr>
            <w:tcW w:w="898" w:type="dxa"/>
            <w:tcBorders>
              <w:top w:val="nil"/>
              <w:left w:val="nil"/>
              <w:bottom w:val="single" w:sz="8" w:space="0" w:color="808080"/>
              <w:right w:val="nil"/>
            </w:tcBorders>
            <w:tcMar>
              <w:top w:w="72" w:type="dxa"/>
              <w:left w:w="115" w:type="dxa"/>
              <w:bottom w:w="72" w:type="dxa"/>
              <w:right w:w="115" w:type="dxa"/>
            </w:tcMar>
            <w:hideMark/>
          </w:tcPr>
          <w:p w14:paraId="328B8668" w14:textId="77777777" w:rsidR="00DB38FC" w:rsidRDefault="00DB38FC" w:rsidP="00363B3B">
            <w:pPr>
              <w:jc w:val="center"/>
              <w:rPr>
                <w:rFonts w:ascii="Arial" w:hAnsi="Arial" w:cs="Arial"/>
                <w:b/>
                <w:bCs/>
                <w:smallCaps/>
                <w:sz w:val="18"/>
                <w:szCs w:val="18"/>
              </w:rPr>
            </w:pPr>
            <w:r>
              <w:rPr>
                <w:rFonts w:ascii="Arial" w:hAnsi="Arial" w:cs="Arial"/>
                <w:b/>
                <w:bCs/>
                <w:smallCaps/>
                <w:sz w:val="18"/>
                <w:szCs w:val="18"/>
              </w:rPr>
              <w:t>Avg.</w:t>
            </w:r>
          </w:p>
        </w:tc>
        <w:tc>
          <w:tcPr>
            <w:tcW w:w="825" w:type="dxa"/>
            <w:tcBorders>
              <w:top w:val="nil"/>
              <w:left w:val="nil"/>
              <w:bottom w:val="single" w:sz="8" w:space="0" w:color="808080"/>
              <w:right w:val="nil"/>
            </w:tcBorders>
            <w:tcMar>
              <w:top w:w="72" w:type="dxa"/>
              <w:left w:w="115" w:type="dxa"/>
              <w:bottom w:w="72" w:type="dxa"/>
              <w:right w:w="115" w:type="dxa"/>
            </w:tcMar>
            <w:hideMark/>
          </w:tcPr>
          <w:p w14:paraId="2DB00100" w14:textId="77777777" w:rsidR="00DB38FC" w:rsidRDefault="00DB38FC" w:rsidP="00363B3B">
            <w:pPr>
              <w:jc w:val="center"/>
              <w:rPr>
                <w:rFonts w:ascii="Arial" w:hAnsi="Arial" w:cs="Arial"/>
                <w:b/>
                <w:bCs/>
                <w:smallCaps/>
                <w:sz w:val="18"/>
                <w:szCs w:val="18"/>
              </w:rPr>
            </w:pPr>
            <w:r>
              <w:rPr>
                <w:rFonts w:ascii="Arial" w:hAnsi="Arial" w:cs="Arial"/>
                <w:b/>
                <w:bCs/>
                <w:smallCaps/>
                <w:sz w:val="18"/>
                <w:szCs w:val="18"/>
              </w:rPr>
              <w:t>Median</w:t>
            </w:r>
          </w:p>
        </w:tc>
        <w:tc>
          <w:tcPr>
            <w:tcW w:w="1118" w:type="dxa"/>
            <w:tcBorders>
              <w:top w:val="nil"/>
              <w:left w:val="nil"/>
              <w:bottom w:val="single" w:sz="8" w:space="0" w:color="808080"/>
              <w:right w:val="nil"/>
            </w:tcBorders>
            <w:tcMar>
              <w:top w:w="72" w:type="dxa"/>
              <w:left w:w="115" w:type="dxa"/>
              <w:bottom w:w="72" w:type="dxa"/>
              <w:right w:w="115" w:type="dxa"/>
            </w:tcMar>
            <w:hideMark/>
          </w:tcPr>
          <w:p w14:paraId="54231FD6" w14:textId="77777777" w:rsidR="00DB38FC" w:rsidRDefault="00DB38FC" w:rsidP="00363B3B">
            <w:pPr>
              <w:jc w:val="center"/>
              <w:rPr>
                <w:rFonts w:ascii="Arial" w:hAnsi="Arial" w:cs="Arial"/>
                <w:b/>
                <w:bCs/>
                <w:smallCaps/>
                <w:sz w:val="18"/>
                <w:szCs w:val="18"/>
              </w:rPr>
            </w:pPr>
            <w:r>
              <w:rPr>
                <w:rFonts w:ascii="Arial" w:hAnsi="Arial" w:cs="Arial"/>
                <w:b/>
                <w:bCs/>
                <w:smallCaps/>
                <w:sz w:val="18"/>
                <w:szCs w:val="18"/>
              </w:rPr>
              <w:t>Avg.</w:t>
            </w:r>
          </w:p>
        </w:tc>
        <w:tc>
          <w:tcPr>
            <w:tcW w:w="955" w:type="dxa"/>
            <w:tcBorders>
              <w:top w:val="nil"/>
              <w:left w:val="nil"/>
              <w:bottom w:val="single" w:sz="8" w:space="0" w:color="808080"/>
              <w:right w:val="nil"/>
            </w:tcBorders>
            <w:tcMar>
              <w:top w:w="72" w:type="dxa"/>
              <w:left w:w="115" w:type="dxa"/>
              <w:bottom w:w="72" w:type="dxa"/>
              <w:right w:w="115" w:type="dxa"/>
            </w:tcMar>
            <w:hideMark/>
          </w:tcPr>
          <w:p w14:paraId="62892F7B" w14:textId="77777777" w:rsidR="00DB38FC" w:rsidRDefault="00DB38FC" w:rsidP="00363B3B">
            <w:pPr>
              <w:jc w:val="center"/>
              <w:rPr>
                <w:rFonts w:ascii="Arial" w:hAnsi="Arial" w:cs="Arial"/>
                <w:b/>
                <w:bCs/>
                <w:smallCaps/>
                <w:sz w:val="18"/>
                <w:szCs w:val="18"/>
              </w:rPr>
            </w:pPr>
            <w:r>
              <w:rPr>
                <w:rFonts w:ascii="Arial" w:hAnsi="Arial" w:cs="Arial"/>
                <w:b/>
                <w:bCs/>
                <w:smallCaps/>
                <w:sz w:val="18"/>
                <w:szCs w:val="18"/>
              </w:rPr>
              <w:t>Median</w:t>
            </w:r>
          </w:p>
        </w:tc>
        <w:tc>
          <w:tcPr>
            <w:tcW w:w="1193" w:type="dxa"/>
            <w:tcBorders>
              <w:top w:val="nil"/>
              <w:left w:val="nil"/>
              <w:bottom w:val="single" w:sz="8" w:space="0" w:color="808080"/>
              <w:right w:val="nil"/>
            </w:tcBorders>
            <w:tcMar>
              <w:top w:w="72" w:type="dxa"/>
              <w:left w:w="115" w:type="dxa"/>
              <w:bottom w:w="72" w:type="dxa"/>
              <w:right w:w="115" w:type="dxa"/>
            </w:tcMar>
            <w:hideMark/>
          </w:tcPr>
          <w:p w14:paraId="43EF5A40" w14:textId="77777777" w:rsidR="00DB38FC" w:rsidRDefault="00DB38FC" w:rsidP="00363B3B">
            <w:pPr>
              <w:jc w:val="center"/>
              <w:rPr>
                <w:rFonts w:ascii="Arial" w:hAnsi="Arial" w:cs="Arial"/>
                <w:b/>
                <w:bCs/>
                <w:smallCaps/>
                <w:sz w:val="18"/>
                <w:szCs w:val="18"/>
              </w:rPr>
            </w:pPr>
            <w:r>
              <w:rPr>
                <w:rFonts w:ascii="Arial" w:hAnsi="Arial" w:cs="Arial"/>
                <w:b/>
                <w:bCs/>
                <w:smallCaps/>
                <w:sz w:val="18"/>
                <w:szCs w:val="18"/>
              </w:rPr>
              <w:t>Avg.</w:t>
            </w:r>
          </w:p>
        </w:tc>
        <w:tc>
          <w:tcPr>
            <w:tcW w:w="900" w:type="dxa"/>
            <w:tcBorders>
              <w:top w:val="nil"/>
              <w:left w:val="nil"/>
              <w:bottom w:val="single" w:sz="8" w:space="0" w:color="808080"/>
              <w:right w:val="nil"/>
            </w:tcBorders>
            <w:tcMar>
              <w:top w:w="72" w:type="dxa"/>
              <w:left w:w="115" w:type="dxa"/>
              <w:bottom w:w="72" w:type="dxa"/>
              <w:right w:w="115" w:type="dxa"/>
            </w:tcMar>
            <w:hideMark/>
          </w:tcPr>
          <w:p w14:paraId="5066178D" w14:textId="77777777" w:rsidR="00DB38FC" w:rsidRDefault="00DB38FC" w:rsidP="00363B3B">
            <w:pPr>
              <w:jc w:val="center"/>
              <w:rPr>
                <w:rFonts w:ascii="Arial" w:hAnsi="Arial" w:cs="Arial"/>
                <w:b/>
                <w:bCs/>
                <w:smallCaps/>
                <w:sz w:val="18"/>
                <w:szCs w:val="18"/>
              </w:rPr>
            </w:pPr>
            <w:r>
              <w:rPr>
                <w:rFonts w:ascii="Arial" w:hAnsi="Arial" w:cs="Arial"/>
                <w:b/>
                <w:bCs/>
                <w:smallCaps/>
                <w:sz w:val="18"/>
                <w:szCs w:val="18"/>
              </w:rPr>
              <w:t>Median</w:t>
            </w:r>
          </w:p>
        </w:tc>
      </w:tr>
      <w:tr w:rsidR="00DB38FC" w14:paraId="73382E0C" w14:textId="77777777" w:rsidTr="00363B3B">
        <w:trPr>
          <w:trHeight w:val="465"/>
          <w:jc w:val="center"/>
        </w:trPr>
        <w:tc>
          <w:tcPr>
            <w:tcW w:w="1710" w:type="dxa"/>
            <w:tcBorders>
              <w:top w:val="nil"/>
              <w:left w:val="nil"/>
              <w:bottom w:val="single" w:sz="8" w:space="0" w:color="808080"/>
              <w:right w:val="nil"/>
            </w:tcBorders>
            <w:tcMar>
              <w:top w:w="0" w:type="dxa"/>
              <w:left w:w="108" w:type="dxa"/>
              <w:bottom w:w="0" w:type="dxa"/>
              <w:right w:w="108" w:type="dxa"/>
            </w:tcMar>
            <w:vAlign w:val="center"/>
            <w:hideMark/>
          </w:tcPr>
          <w:p w14:paraId="28BB61C6" w14:textId="77777777" w:rsidR="00DB38FC" w:rsidRDefault="00DB38FC" w:rsidP="00363B3B">
            <w:pPr>
              <w:jc w:val="center"/>
              <w:rPr>
                <w:rFonts w:ascii="Arial" w:hAnsi="Arial" w:cs="Arial"/>
                <w:sz w:val="20"/>
                <w:szCs w:val="20"/>
              </w:rPr>
            </w:pPr>
            <w:r>
              <w:rPr>
                <w:rFonts w:ascii="Arial" w:hAnsi="Arial" w:cs="Arial"/>
                <w:sz w:val="20"/>
                <w:szCs w:val="20"/>
              </w:rPr>
              <w:t>Cornerstone</w:t>
            </w:r>
          </w:p>
        </w:tc>
        <w:tc>
          <w:tcPr>
            <w:tcW w:w="898" w:type="dxa"/>
            <w:tcBorders>
              <w:top w:val="nil"/>
              <w:left w:val="nil"/>
              <w:bottom w:val="single" w:sz="8" w:space="0" w:color="808080"/>
              <w:right w:val="nil"/>
            </w:tcBorders>
            <w:tcMar>
              <w:top w:w="72" w:type="dxa"/>
              <w:left w:w="115" w:type="dxa"/>
              <w:bottom w:w="72" w:type="dxa"/>
              <w:right w:w="115" w:type="dxa"/>
            </w:tcMar>
            <w:vAlign w:val="center"/>
            <w:hideMark/>
          </w:tcPr>
          <w:p w14:paraId="37A2A3E6" w14:textId="77777777" w:rsidR="00DB38FC" w:rsidRDefault="00DB38FC" w:rsidP="00363B3B">
            <w:pPr>
              <w:jc w:val="center"/>
              <w:rPr>
                <w:rFonts w:ascii="Arial" w:hAnsi="Arial" w:cs="Arial"/>
                <w:sz w:val="20"/>
                <w:szCs w:val="20"/>
              </w:rPr>
            </w:pPr>
            <w:r>
              <w:rPr>
                <w:rFonts w:ascii="Arial" w:hAnsi="Arial" w:cs="Arial"/>
                <w:sz w:val="20"/>
                <w:szCs w:val="20"/>
              </w:rPr>
              <w:t>$27.4M</w:t>
            </w:r>
          </w:p>
        </w:tc>
        <w:tc>
          <w:tcPr>
            <w:tcW w:w="825" w:type="dxa"/>
            <w:tcBorders>
              <w:top w:val="nil"/>
              <w:left w:val="nil"/>
              <w:bottom w:val="single" w:sz="8" w:space="0" w:color="808080"/>
              <w:right w:val="nil"/>
            </w:tcBorders>
            <w:tcMar>
              <w:top w:w="72" w:type="dxa"/>
              <w:left w:w="115" w:type="dxa"/>
              <w:bottom w:w="72" w:type="dxa"/>
              <w:right w:w="115" w:type="dxa"/>
            </w:tcMar>
            <w:vAlign w:val="center"/>
            <w:hideMark/>
          </w:tcPr>
          <w:p w14:paraId="75768684" w14:textId="77777777" w:rsidR="00DB38FC" w:rsidRDefault="00DB38FC" w:rsidP="00363B3B">
            <w:pPr>
              <w:jc w:val="center"/>
              <w:rPr>
                <w:rFonts w:ascii="Arial" w:hAnsi="Arial" w:cs="Arial"/>
                <w:sz w:val="20"/>
                <w:szCs w:val="20"/>
              </w:rPr>
            </w:pPr>
            <w:r>
              <w:rPr>
                <w:rFonts w:ascii="Arial" w:hAnsi="Arial" w:cs="Arial"/>
                <w:sz w:val="20"/>
                <w:szCs w:val="20"/>
              </w:rPr>
              <w:t>$11.5M</w:t>
            </w:r>
          </w:p>
        </w:tc>
        <w:tc>
          <w:tcPr>
            <w:tcW w:w="1118" w:type="dxa"/>
            <w:tcBorders>
              <w:top w:val="nil"/>
              <w:left w:val="nil"/>
              <w:bottom w:val="single" w:sz="8" w:space="0" w:color="808080"/>
              <w:right w:val="nil"/>
            </w:tcBorders>
            <w:tcMar>
              <w:top w:w="72" w:type="dxa"/>
              <w:left w:w="115" w:type="dxa"/>
              <w:bottom w:w="72" w:type="dxa"/>
              <w:right w:w="115" w:type="dxa"/>
            </w:tcMar>
            <w:vAlign w:val="center"/>
            <w:hideMark/>
          </w:tcPr>
          <w:p w14:paraId="5F137F98" w14:textId="77777777" w:rsidR="00DB38FC" w:rsidRDefault="00DB38FC" w:rsidP="00363B3B">
            <w:pPr>
              <w:jc w:val="center"/>
              <w:rPr>
                <w:rFonts w:ascii="Arial" w:hAnsi="Arial" w:cs="Arial"/>
                <w:sz w:val="20"/>
                <w:szCs w:val="20"/>
              </w:rPr>
            </w:pPr>
            <w:r>
              <w:rPr>
                <w:rFonts w:ascii="Arial" w:hAnsi="Arial" w:cs="Arial"/>
                <w:sz w:val="20"/>
                <w:szCs w:val="20"/>
              </w:rPr>
              <w:t>$54.5M</w:t>
            </w:r>
          </w:p>
        </w:tc>
        <w:tc>
          <w:tcPr>
            <w:tcW w:w="955" w:type="dxa"/>
            <w:tcBorders>
              <w:top w:val="nil"/>
              <w:left w:val="nil"/>
              <w:bottom w:val="single" w:sz="8" w:space="0" w:color="808080"/>
              <w:right w:val="nil"/>
            </w:tcBorders>
            <w:tcMar>
              <w:top w:w="72" w:type="dxa"/>
              <w:left w:w="115" w:type="dxa"/>
              <w:bottom w:w="72" w:type="dxa"/>
              <w:right w:w="115" w:type="dxa"/>
            </w:tcMar>
            <w:vAlign w:val="center"/>
            <w:hideMark/>
          </w:tcPr>
          <w:p w14:paraId="0A12DDFD" w14:textId="77777777" w:rsidR="00DB38FC" w:rsidRDefault="00DB38FC" w:rsidP="00363B3B">
            <w:pPr>
              <w:jc w:val="center"/>
              <w:rPr>
                <w:rFonts w:ascii="Arial" w:hAnsi="Arial" w:cs="Arial"/>
                <w:sz w:val="20"/>
                <w:szCs w:val="20"/>
              </w:rPr>
            </w:pPr>
            <w:r>
              <w:rPr>
                <w:rFonts w:ascii="Arial" w:hAnsi="Arial" w:cs="Arial"/>
                <w:sz w:val="20"/>
                <w:szCs w:val="20"/>
              </w:rPr>
              <w:t>$10.1M</w:t>
            </w:r>
          </w:p>
        </w:tc>
        <w:tc>
          <w:tcPr>
            <w:tcW w:w="1193" w:type="dxa"/>
            <w:tcBorders>
              <w:top w:val="nil"/>
              <w:left w:val="nil"/>
              <w:bottom w:val="single" w:sz="8" w:space="0" w:color="808080"/>
              <w:right w:val="nil"/>
            </w:tcBorders>
            <w:tcMar>
              <w:top w:w="72" w:type="dxa"/>
              <w:left w:w="115" w:type="dxa"/>
              <w:bottom w:w="72" w:type="dxa"/>
              <w:right w:w="115" w:type="dxa"/>
            </w:tcMar>
            <w:vAlign w:val="center"/>
            <w:hideMark/>
          </w:tcPr>
          <w:p w14:paraId="10DAD861" w14:textId="77777777" w:rsidR="00DB38FC" w:rsidRDefault="00DB38FC" w:rsidP="00363B3B">
            <w:pPr>
              <w:jc w:val="center"/>
              <w:rPr>
                <w:rFonts w:ascii="Arial" w:hAnsi="Arial" w:cs="Arial"/>
                <w:sz w:val="20"/>
                <w:szCs w:val="20"/>
              </w:rPr>
            </w:pPr>
            <w:r>
              <w:rPr>
                <w:rFonts w:ascii="Arial" w:hAnsi="Arial" w:cs="Arial"/>
                <w:sz w:val="20"/>
                <w:szCs w:val="20"/>
              </w:rPr>
              <w:t>N/R</w:t>
            </w:r>
          </w:p>
        </w:tc>
        <w:tc>
          <w:tcPr>
            <w:tcW w:w="900" w:type="dxa"/>
            <w:tcBorders>
              <w:top w:val="nil"/>
              <w:left w:val="nil"/>
              <w:bottom w:val="single" w:sz="8" w:space="0" w:color="808080"/>
              <w:right w:val="nil"/>
            </w:tcBorders>
            <w:tcMar>
              <w:top w:w="72" w:type="dxa"/>
              <w:left w:w="115" w:type="dxa"/>
              <w:bottom w:w="72" w:type="dxa"/>
              <w:right w:w="115" w:type="dxa"/>
            </w:tcMar>
            <w:vAlign w:val="center"/>
            <w:hideMark/>
          </w:tcPr>
          <w:p w14:paraId="36ABADD2" w14:textId="77777777" w:rsidR="00DB38FC" w:rsidRDefault="00DB38FC" w:rsidP="00363B3B">
            <w:pPr>
              <w:jc w:val="center"/>
              <w:rPr>
                <w:rFonts w:ascii="Arial" w:hAnsi="Arial" w:cs="Arial"/>
                <w:sz w:val="20"/>
                <w:szCs w:val="20"/>
              </w:rPr>
            </w:pPr>
            <w:r>
              <w:rPr>
                <w:rFonts w:ascii="Arial" w:hAnsi="Arial" w:cs="Arial"/>
                <w:sz w:val="20"/>
                <w:szCs w:val="20"/>
              </w:rPr>
              <w:t>N/R</w:t>
            </w:r>
          </w:p>
        </w:tc>
      </w:tr>
      <w:tr w:rsidR="00DB38FC" w14:paraId="77767E72" w14:textId="77777777" w:rsidTr="00363B3B">
        <w:trPr>
          <w:trHeight w:val="465"/>
          <w:jc w:val="center"/>
        </w:trPr>
        <w:tc>
          <w:tcPr>
            <w:tcW w:w="1710" w:type="dxa"/>
            <w:tcBorders>
              <w:top w:val="nil"/>
              <w:left w:val="nil"/>
              <w:bottom w:val="single" w:sz="8" w:space="0" w:color="808080"/>
              <w:right w:val="nil"/>
            </w:tcBorders>
            <w:tcMar>
              <w:top w:w="0" w:type="dxa"/>
              <w:left w:w="108" w:type="dxa"/>
              <w:bottom w:w="0" w:type="dxa"/>
              <w:right w:w="108" w:type="dxa"/>
            </w:tcMar>
            <w:vAlign w:val="center"/>
            <w:hideMark/>
          </w:tcPr>
          <w:p w14:paraId="4D4B7D9E" w14:textId="77777777" w:rsidR="00DB38FC" w:rsidRDefault="00DB38FC" w:rsidP="00363B3B">
            <w:pPr>
              <w:jc w:val="center"/>
              <w:rPr>
                <w:rFonts w:ascii="Arial" w:hAnsi="Arial" w:cs="Arial"/>
                <w:sz w:val="20"/>
                <w:szCs w:val="20"/>
              </w:rPr>
            </w:pPr>
            <w:r>
              <w:rPr>
                <w:rFonts w:ascii="Arial" w:hAnsi="Arial" w:cs="Arial"/>
                <w:sz w:val="20"/>
                <w:szCs w:val="20"/>
              </w:rPr>
              <w:t>NERA*</w:t>
            </w:r>
          </w:p>
        </w:tc>
        <w:tc>
          <w:tcPr>
            <w:tcW w:w="898" w:type="dxa"/>
            <w:tcBorders>
              <w:top w:val="nil"/>
              <w:left w:val="nil"/>
              <w:bottom w:val="single" w:sz="8" w:space="0" w:color="808080"/>
              <w:right w:val="nil"/>
            </w:tcBorders>
            <w:tcMar>
              <w:top w:w="72" w:type="dxa"/>
              <w:left w:w="115" w:type="dxa"/>
              <w:bottom w:w="72" w:type="dxa"/>
              <w:right w:w="115" w:type="dxa"/>
            </w:tcMar>
            <w:vAlign w:val="center"/>
            <w:hideMark/>
          </w:tcPr>
          <w:p w14:paraId="641EE898" w14:textId="77777777" w:rsidR="00DB38FC" w:rsidRDefault="00DB38FC" w:rsidP="00363B3B">
            <w:pPr>
              <w:jc w:val="center"/>
              <w:rPr>
                <w:rFonts w:ascii="Arial" w:hAnsi="Arial" w:cs="Arial"/>
                <w:sz w:val="20"/>
                <w:szCs w:val="20"/>
              </w:rPr>
            </w:pPr>
            <w:r>
              <w:rPr>
                <w:rFonts w:ascii="Arial" w:hAnsi="Arial" w:cs="Arial"/>
                <w:sz w:val="20"/>
                <w:szCs w:val="20"/>
              </w:rPr>
              <w:t>$28M</w:t>
            </w:r>
          </w:p>
        </w:tc>
        <w:tc>
          <w:tcPr>
            <w:tcW w:w="825" w:type="dxa"/>
            <w:tcBorders>
              <w:top w:val="nil"/>
              <w:left w:val="nil"/>
              <w:bottom w:val="single" w:sz="8" w:space="0" w:color="808080"/>
              <w:right w:val="nil"/>
            </w:tcBorders>
            <w:tcMar>
              <w:top w:w="72" w:type="dxa"/>
              <w:left w:w="115" w:type="dxa"/>
              <w:bottom w:w="72" w:type="dxa"/>
              <w:right w:w="115" w:type="dxa"/>
            </w:tcMar>
            <w:vAlign w:val="center"/>
            <w:hideMark/>
          </w:tcPr>
          <w:p w14:paraId="10CDF307" w14:textId="77777777" w:rsidR="00DB38FC" w:rsidRDefault="00DB38FC" w:rsidP="00363B3B">
            <w:pPr>
              <w:jc w:val="center"/>
              <w:rPr>
                <w:rFonts w:ascii="Arial" w:hAnsi="Arial" w:cs="Arial"/>
                <w:sz w:val="20"/>
                <w:szCs w:val="20"/>
              </w:rPr>
            </w:pPr>
            <w:r>
              <w:rPr>
                <w:rFonts w:ascii="Arial" w:hAnsi="Arial" w:cs="Arial"/>
                <w:sz w:val="20"/>
                <w:szCs w:val="20"/>
              </w:rPr>
              <w:t>$12M</w:t>
            </w:r>
          </w:p>
        </w:tc>
        <w:tc>
          <w:tcPr>
            <w:tcW w:w="1118" w:type="dxa"/>
            <w:tcBorders>
              <w:top w:val="nil"/>
              <w:left w:val="nil"/>
              <w:bottom w:val="single" w:sz="8" w:space="0" w:color="808080"/>
              <w:right w:val="nil"/>
            </w:tcBorders>
            <w:tcMar>
              <w:top w:w="72" w:type="dxa"/>
              <w:left w:w="115" w:type="dxa"/>
              <w:bottom w:w="72" w:type="dxa"/>
              <w:right w:w="115" w:type="dxa"/>
            </w:tcMar>
            <w:vAlign w:val="center"/>
            <w:hideMark/>
          </w:tcPr>
          <w:p w14:paraId="47F104EC" w14:textId="77777777" w:rsidR="00DB38FC" w:rsidRDefault="00DB38FC" w:rsidP="00363B3B">
            <w:pPr>
              <w:jc w:val="center"/>
              <w:rPr>
                <w:rFonts w:ascii="Arial" w:hAnsi="Arial" w:cs="Arial"/>
                <w:sz w:val="20"/>
                <w:szCs w:val="20"/>
              </w:rPr>
            </w:pPr>
            <w:r>
              <w:rPr>
                <w:rFonts w:ascii="Arial" w:hAnsi="Arial" w:cs="Arial"/>
                <w:sz w:val="20"/>
                <w:szCs w:val="20"/>
              </w:rPr>
              <w:t>$30M</w:t>
            </w:r>
          </w:p>
        </w:tc>
        <w:tc>
          <w:tcPr>
            <w:tcW w:w="955" w:type="dxa"/>
            <w:tcBorders>
              <w:top w:val="nil"/>
              <w:left w:val="nil"/>
              <w:bottom w:val="single" w:sz="8" w:space="0" w:color="808080"/>
              <w:right w:val="nil"/>
            </w:tcBorders>
            <w:tcMar>
              <w:top w:w="72" w:type="dxa"/>
              <w:left w:w="115" w:type="dxa"/>
              <w:bottom w:w="72" w:type="dxa"/>
              <w:right w:w="115" w:type="dxa"/>
            </w:tcMar>
            <w:vAlign w:val="center"/>
            <w:hideMark/>
          </w:tcPr>
          <w:p w14:paraId="0456A01D" w14:textId="77777777" w:rsidR="00DB38FC" w:rsidRDefault="00DB38FC" w:rsidP="00363B3B">
            <w:pPr>
              <w:jc w:val="center"/>
              <w:rPr>
                <w:rFonts w:ascii="Arial" w:hAnsi="Arial" w:cs="Arial"/>
                <w:sz w:val="20"/>
                <w:szCs w:val="20"/>
              </w:rPr>
            </w:pPr>
            <w:r>
              <w:rPr>
                <w:rFonts w:ascii="Arial" w:hAnsi="Arial" w:cs="Arial"/>
                <w:sz w:val="20"/>
                <w:szCs w:val="20"/>
              </w:rPr>
              <w:t>$13M</w:t>
            </w:r>
          </w:p>
        </w:tc>
        <w:tc>
          <w:tcPr>
            <w:tcW w:w="1193" w:type="dxa"/>
            <w:tcBorders>
              <w:top w:val="nil"/>
              <w:left w:val="nil"/>
              <w:bottom w:val="single" w:sz="8" w:space="0" w:color="808080"/>
              <w:right w:val="nil"/>
            </w:tcBorders>
            <w:tcMar>
              <w:top w:w="72" w:type="dxa"/>
              <w:left w:w="115" w:type="dxa"/>
              <w:bottom w:w="72" w:type="dxa"/>
              <w:right w:w="115" w:type="dxa"/>
            </w:tcMar>
            <w:vAlign w:val="center"/>
            <w:hideMark/>
          </w:tcPr>
          <w:p w14:paraId="0A492BDD" w14:textId="77777777" w:rsidR="00DB38FC" w:rsidRDefault="00DB38FC" w:rsidP="00363B3B">
            <w:pPr>
              <w:jc w:val="center"/>
              <w:rPr>
                <w:rFonts w:ascii="Arial" w:hAnsi="Arial" w:cs="Arial"/>
                <w:sz w:val="20"/>
                <w:szCs w:val="20"/>
              </w:rPr>
            </w:pPr>
            <w:r>
              <w:rPr>
                <w:rFonts w:ascii="Arial" w:hAnsi="Arial" w:cs="Arial"/>
                <w:sz w:val="20"/>
                <w:szCs w:val="20"/>
              </w:rPr>
              <w:t>$21M</w:t>
            </w:r>
          </w:p>
        </w:tc>
        <w:tc>
          <w:tcPr>
            <w:tcW w:w="900" w:type="dxa"/>
            <w:tcBorders>
              <w:top w:val="nil"/>
              <w:left w:val="nil"/>
              <w:bottom w:val="single" w:sz="8" w:space="0" w:color="808080"/>
              <w:right w:val="nil"/>
            </w:tcBorders>
            <w:tcMar>
              <w:top w:w="72" w:type="dxa"/>
              <w:left w:w="115" w:type="dxa"/>
              <w:bottom w:w="72" w:type="dxa"/>
              <w:right w:w="115" w:type="dxa"/>
            </w:tcMar>
            <w:vAlign w:val="center"/>
            <w:hideMark/>
          </w:tcPr>
          <w:p w14:paraId="34248105" w14:textId="77777777" w:rsidR="00DB38FC" w:rsidRDefault="00DB38FC" w:rsidP="00363B3B">
            <w:pPr>
              <w:jc w:val="center"/>
              <w:rPr>
                <w:rFonts w:ascii="Arial" w:hAnsi="Arial" w:cs="Arial"/>
                <w:sz w:val="20"/>
                <w:szCs w:val="20"/>
              </w:rPr>
            </w:pPr>
            <w:r>
              <w:rPr>
                <w:rFonts w:ascii="Arial" w:hAnsi="Arial" w:cs="Arial"/>
                <w:sz w:val="20"/>
                <w:szCs w:val="20"/>
              </w:rPr>
              <w:t>$8M</w:t>
            </w:r>
          </w:p>
        </w:tc>
      </w:tr>
    </w:tbl>
    <w:p w14:paraId="17DDCF42" w14:textId="77777777" w:rsidR="00DB38FC" w:rsidRDefault="00DB38FC" w:rsidP="00DB38FC">
      <w:pPr>
        <w:rPr>
          <w:rFonts w:ascii="Arial" w:eastAsia="Times New Roman" w:hAnsi="Arial" w:cs="Times New Roman"/>
          <w:i/>
          <w:color w:val="000000"/>
          <w:kern w:val="22"/>
          <w:sz w:val="16"/>
          <w:szCs w:val="16"/>
        </w:rPr>
      </w:pPr>
    </w:p>
    <w:p w14:paraId="3364C38F" w14:textId="77777777" w:rsidR="00DB38FC" w:rsidRDefault="00DB38FC" w:rsidP="00DB38FC">
      <w:pPr>
        <w:rPr>
          <w:rFonts w:ascii="Arial" w:eastAsia="Times New Roman" w:hAnsi="Arial" w:cs="Times New Roman"/>
          <w:i/>
          <w:color w:val="000000"/>
          <w:kern w:val="22"/>
          <w:sz w:val="16"/>
          <w:szCs w:val="16"/>
        </w:rPr>
      </w:pPr>
      <w:r>
        <w:rPr>
          <w:rFonts w:ascii="Arial" w:eastAsia="Times New Roman" w:hAnsi="Arial" w:cs="Times New Roman"/>
          <w:i/>
          <w:color w:val="000000"/>
          <w:kern w:val="22"/>
          <w:sz w:val="16"/>
          <w:szCs w:val="16"/>
        </w:rPr>
        <w:t>*Excludes settlements over $1 billion</w:t>
      </w:r>
    </w:p>
    <w:p w14:paraId="3BAF21B6" w14:textId="77777777" w:rsidR="00DB38FC" w:rsidRDefault="00DB38FC" w:rsidP="00DB38FC">
      <w:pPr>
        <w:rPr>
          <w:rStyle w:val="OBISChapterTitleChar"/>
          <w:rFonts w:eastAsiaTheme="minorHAnsi"/>
          <w:bCs/>
          <w:color w:val="0067B1"/>
          <w:kern w:val="22"/>
        </w:rPr>
      </w:pPr>
      <w:r>
        <w:rPr>
          <w:rStyle w:val="OBISChapterTitleChar"/>
          <w:rFonts w:eastAsiaTheme="minorHAnsi"/>
          <w:bCs/>
          <w:color w:val="0067B1"/>
          <w:kern w:val="22"/>
        </w:rPr>
        <w:br w:type="page"/>
      </w:r>
    </w:p>
    <w:p w14:paraId="48AD1803" w14:textId="77777777" w:rsidR="00DB38FC" w:rsidRPr="00933DAC" w:rsidRDefault="00DB38FC" w:rsidP="00DB38FC">
      <w:pPr>
        <w:pStyle w:val="OBISSubhead2"/>
        <w:rPr>
          <w:i w:val="0"/>
          <w:color w:val="0067B1"/>
        </w:rPr>
      </w:pPr>
      <w:r w:rsidRPr="00933DAC">
        <w:rPr>
          <w:i w:val="0"/>
          <w:color w:val="0067B1"/>
        </w:rPr>
        <w:lastRenderedPageBreak/>
        <w:t>Current Market Capitalization and Share Price Performance</w:t>
      </w:r>
    </w:p>
    <w:p w14:paraId="337EFD36" w14:textId="77777777" w:rsidR="00DB38FC" w:rsidRPr="00933DAC" w:rsidRDefault="00DB38FC" w:rsidP="00DB38FC">
      <w:pPr>
        <w:spacing w:line="300" w:lineRule="atLeast"/>
        <w:jc w:val="center"/>
        <w:rPr>
          <w:rFonts w:ascii="Arial" w:hAnsi="Arial" w:cs="Arial"/>
          <w:noProof/>
          <w:sz w:val="15"/>
          <w:szCs w:val="15"/>
        </w:rPr>
      </w:pPr>
      <w:r w:rsidRPr="00933DAC">
        <w:rPr>
          <w:rFonts w:ascii="Arial" w:hAnsi="Arial" w:cs="Arial"/>
          <w:noProof/>
          <w:sz w:val="21"/>
          <w:szCs w:val="21"/>
        </w:rPr>
        <w:t xml:space="preserve"> </w:t>
      </w:r>
    </w:p>
    <w:p w14:paraId="29C4DD74" w14:textId="6DC7280F" w:rsidR="00DB38FC" w:rsidRPr="00933DAC" w:rsidRDefault="00B9461B" w:rsidP="00DB38FC">
      <w:pPr>
        <w:spacing w:after="240" w:line="300" w:lineRule="atLeast"/>
        <w:rPr>
          <w:rFonts w:ascii="Arial" w:eastAsia="Times New Roman" w:hAnsi="Arial" w:cs="Arial"/>
          <w:sz w:val="15"/>
          <w:szCs w:val="15"/>
        </w:rPr>
      </w:pPr>
      <w:r w:rsidRPr="00B9461B">
        <w:rPr>
          <w:rFonts w:ascii="Arial" w:hAnsi="Arial" w:cs="Arial"/>
          <w:noProof/>
          <w:color w:val="000000"/>
          <w:highlight w:val="yellow"/>
        </w:rPr>
        <w:t>STOCK CHART</w:t>
      </w:r>
    </w:p>
    <w:p w14:paraId="00708702" w14:textId="77777777" w:rsidR="00DB38FC" w:rsidRPr="00933DAC" w:rsidRDefault="00DB38FC" w:rsidP="00DB38FC">
      <w:pPr>
        <w:spacing w:before="120"/>
        <w:rPr>
          <w:rFonts w:ascii="Arial" w:hAnsi="Arial"/>
          <w:i/>
          <w:color w:val="404040"/>
          <w:sz w:val="16"/>
        </w:rPr>
      </w:pPr>
    </w:p>
    <w:tbl>
      <w:tblPr>
        <w:tblW w:w="0" w:type="auto"/>
        <w:jc w:val="center"/>
        <w:tblLook w:val="00A0" w:firstRow="1" w:lastRow="0" w:firstColumn="1" w:lastColumn="0" w:noHBand="0" w:noVBand="0"/>
      </w:tblPr>
      <w:tblGrid>
        <w:gridCol w:w="2946"/>
        <w:gridCol w:w="2225"/>
      </w:tblGrid>
      <w:tr w:rsidR="00DB38FC" w:rsidRPr="00933DAC" w14:paraId="000C7000" w14:textId="77777777" w:rsidTr="00363B3B">
        <w:trPr>
          <w:jc w:val="center"/>
        </w:trPr>
        <w:tc>
          <w:tcPr>
            <w:tcW w:w="5171" w:type="dxa"/>
            <w:gridSpan w:val="2"/>
            <w:tcBorders>
              <w:bottom w:val="single" w:sz="4" w:space="0" w:color="auto"/>
            </w:tcBorders>
            <w:shd w:val="clear" w:color="auto" w:fill="E6E6E6"/>
            <w:tcMar>
              <w:left w:w="115" w:type="dxa"/>
              <w:right w:w="115" w:type="dxa"/>
            </w:tcMar>
            <w:vAlign w:val="center"/>
          </w:tcPr>
          <w:p w14:paraId="77F7FF5C" w14:textId="04B8A16F" w:rsidR="00DB38FC" w:rsidRPr="00933DAC" w:rsidRDefault="00DB38FC" w:rsidP="00363B3B">
            <w:pPr>
              <w:spacing w:before="120" w:after="120"/>
              <w:rPr>
                <w:rFonts w:ascii="Arial" w:hAnsi="Arial"/>
                <w:b/>
                <w:smallCaps/>
                <w:color w:val="006666"/>
                <w:kern w:val="22"/>
                <w:sz w:val="20"/>
              </w:rPr>
            </w:pPr>
            <w:r w:rsidRPr="00933DAC">
              <w:rPr>
                <w:rFonts w:ascii="Arial" w:hAnsi="Arial"/>
                <w:b/>
                <w:smallCaps/>
                <w:color w:val="0067B1"/>
                <w:kern w:val="22"/>
                <w:sz w:val="20"/>
              </w:rPr>
              <w:t xml:space="preserve">Market Capitalization Information as of </w:t>
            </w:r>
            <w:r w:rsidR="00B9461B">
              <w:rPr>
                <w:rFonts w:ascii="Arial" w:hAnsi="Arial"/>
                <w:b/>
                <w:smallCaps/>
                <w:color w:val="0067B1"/>
                <w:kern w:val="22"/>
                <w:sz w:val="20"/>
              </w:rPr>
              <w:t>6</w:t>
            </w:r>
            <w:r w:rsidRPr="00933DAC">
              <w:rPr>
                <w:rFonts w:ascii="Arial" w:hAnsi="Arial"/>
                <w:b/>
                <w:smallCaps/>
                <w:color w:val="0067B1"/>
                <w:kern w:val="22"/>
                <w:sz w:val="20"/>
              </w:rPr>
              <w:t>/</w:t>
            </w:r>
            <w:r w:rsidR="00B9461B">
              <w:rPr>
                <w:rFonts w:ascii="Arial" w:hAnsi="Arial"/>
                <w:b/>
                <w:smallCaps/>
                <w:color w:val="0067B1"/>
                <w:kern w:val="22"/>
                <w:sz w:val="20"/>
              </w:rPr>
              <w:t>2</w:t>
            </w:r>
            <w:r>
              <w:rPr>
                <w:rFonts w:ascii="Arial" w:hAnsi="Arial"/>
                <w:b/>
                <w:smallCaps/>
                <w:color w:val="0067B1"/>
                <w:kern w:val="22"/>
                <w:sz w:val="20"/>
              </w:rPr>
              <w:t>3</w:t>
            </w:r>
            <w:r w:rsidRPr="00933DAC">
              <w:rPr>
                <w:rFonts w:ascii="Arial" w:hAnsi="Arial"/>
                <w:b/>
                <w:smallCaps/>
                <w:color w:val="0067B1"/>
                <w:kern w:val="22"/>
                <w:sz w:val="20"/>
              </w:rPr>
              <w:t>/</w:t>
            </w:r>
            <w:r w:rsidR="00B9461B">
              <w:rPr>
                <w:rFonts w:ascii="Arial" w:hAnsi="Arial"/>
                <w:b/>
                <w:smallCaps/>
                <w:color w:val="0067B1"/>
                <w:kern w:val="22"/>
                <w:sz w:val="20"/>
              </w:rPr>
              <w:t>22</w:t>
            </w:r>
          </w:p>
        </w:tc>
      </w:tr>
      <w:tr w:rsidR="00DB38FC" w:rsidRPr="00933DAC" w14:paraId="7DEE34CC" w14:textId="77777777" w:rsidTr="00363B3B">
        <w:trPr>
          <w:trHeight w:hRule="exact" w:val="288"/>
          <w:jc w:val="center"/>
        </w:trPr>
        <w:tc>
          <w:tcPr>
            <w:tcW w:w="2946" w:type="dxa"/>
            <w:tcBorders>
              <w:top w:val="single" w:sz="4" w:space="0" w:color="auto"/>
              <w:bottom w:val="single" w:sz="4" w:space="0" w:color="808080"/>
            </w:tcBorders>
            <w:shd w:val="clear" w:color="auto" w:fill="auto"/>
            <w:tcMar>
              <w:top w:w="72" w:type="dxa"/>
              <w:left w:w="115" w:type="dxa"/>
              <w:bottom w:w="72" w:type="dxa"/>
              <w:right w:w="115" w:type="dxa"/>
            </w:tcMar>
          </w:tcPr>
          <w:p w14:paraId="78316D83" w14:textId="77777777" w:rsidR="00DB38FC" w:rsidRPr="00933DAC" w:rsidRDefault="00DB38FC" w:rsidP="00363B3B">
            <w:pPr>
              <w:ind w:left="131"/>
              <w:jc w:val="both"/>
              <w:rPr>
                <w:rFonts w:ascii="Arial" w:hAnsi="Arial"/>
                <w:smallCaps/>
                <w:kern w:val="22"/>
                <w:sz w:val="20"/>
              </w:rPr>
            </w:pPr>
            <w:r w:rsidRPr="00933DAC">
              <w:rPr>
                <w:rFonts w:ascii="Arial" w:hAnsi="Arial"/>
                <w:smallCaps/>
                <w:kern w:val="22"/>
                <w:sz w:val="20"/>
              </w:rPr>
              <w:t xml:space="preserve">current share price </w:t>
            </w:r>
          </w:p>
        </w:tc>
        <w:tc>
          <w:tcPr>
            <w:tcW w:w="2225" w:type="dxa"/>
            <w:tcBorders>
              <w:top w:val="single" w:sz="4" w:space="0" w:color="auto"/>
              <w:bottom w:val="single" w:sz="4" w:space="0" w:color="808080"/>
            </w:tcBorders>
            <w:shd w:val="clear" w:color="auto" w:fill="auto"/>
            <w:tcMar>
              <w:top w:w="72" w:type="dxa"/>
              <w:left w:w="115" w:type="dxa"/>
              <w:bottom w:w="72" w:type="dxa"/>
              <w:right w:w="115" w:type="dxa"/>
            </w:tcMar>
          </w:tcPr>
          <w:p w14:paraId="1B433FAB" w14:textId="77777777" w:rsidR="00DB38FC" w:rsidRPr="00933DAC" w:rsidRDefault="00DB38FC" w:rsidP="00363B3B">
            <w:pPr>
              <w:jc w:val="center"/>
              <w:rPr>
                <w:rFonts w:ascii="Arial" w:hAnsi="Arial"/>
                <w:smallCaps/>
                <w:kern w:val="22"/>
                <w:sz w:val="20"/>
              </w:rPr>
            </w:pPr>
            <w:r w:rsidRPr="00933DAC">
              <w:rPr>
                <w:rFonts w:ascii="Arial" w:hAnsi="Arial"/>
                <w:smallCaps/>
                <w:kern w:val="22"/>
                <w:sz w:val="20"/>
              </w:rPr>
              <w:t>$</w:t>
            </w:r>
            <w:r>
              <w:rPr>
                <w:rFonts w:ascii="Arial" w:hAnsi="Arial"/>
                <w:smallCaps/>
                <w:kern w:val="22"/>
                <w:sz w:val="20"/>
              </w:rPr>
              <w:t>34.64</w:t>
            </w:r>
            <w:r w:rsidRPr="00933DAC">
              <w:rPr>
                <w:rFonts w:ascii="Arial" w:hAnsi="Arial"/>
                <w:smallCaps/>
                <w:kern w:val="22"/>
                <w:sz w:val="20"/>
              </w:rPr>
              <w:t xml:space="preserve"> per share</w:t>
            </w:r>
          </w:p>
        </w:tc>
      </w:tr>
      <w:tr w:rsidR="00DB38FC" w:rsidRPr="00933DAC" w14:paraId="43750F77" w14:textId="77777777" w:rsidTr="00363B3B">
        <w:trPr>
          <w:trHeight w:hRule="exact" w:val="288"/>
          <w:jc w:val="center"/>
        </w:trPr>
        <w:tc>
          <w:tcPr>
            <w:tcW w:w="2946" w:type="dxa"/>
            <w:tcBorders>
              <w:top w:val="single" w:sz="4" w:space="0" w:color="808080"/>
              <w:bottom w:val="single" w:sz="4" w:space="0" w:color="808080"/>
            </w:tcBorders>
            <w:shd w:val="clear" w:color="auto" w:fill="auto"/>
            <w:tcMar>
              <w:top w:w="72" w:type="dxa"/>
              <w:left w:w="115" w:type="dxa"/>
              <w:bottom w:w="72" w:type="dxa"/>
              <w:right w:w="115" w:type="dxa"/>
            </w:tcMar>
          </w:tcPr>
          <w:p w14:paraId="366C605C" w14:textId="77777777" w:rsidR="00DB38FC" w:rsidRPr="00933DAC" w:rsidRDefault="00DB38FC" w:rsidP="00363B3B">
            <w:pPr>
              <w:ind w:left="131"/>
              <w:rPr>
                <w:rFonts w:ascii="Arial" w:hAnsi="Arial"/>
                <w:smallCaps/>
                <w:kern w:val="22"/>
                <w:sz w:val="20"/>
              </w:rPr>
            </w:pPr>
            <w:r w:rsidRPr="00933DAC">
              <w:rPr>
                <w:rFonts w:ascii="Arial" w:hAnsi="Arial"/>
                <w:smallCaps/>
                <w:kern w:val="22"/>
                <w:sz w:val="20"/>
              </w:rPr>
              <w:t>52 week high share price</w:t>
            </w:r>
          </w:p>
        </w:tc>
        <w:tc>
          <w:tcPr>
            <w:tcW w:w="2225" w:type="dxa"/>
            <w:tcBorders>
              <w:top w:val="single" w:sz="4" w:space="0" w:color="808080"/>
              <w:bottom w:val="single" w:sz="4" w:space="0" w:color="808080"/>
            </w:tcBorders>
            <w:shd w:val="clear" w:color="auto" w:fill="auto"/>
            <w:tcMar>
              <w:top w:w="72" w:type="dxa"/>
              <w:left w:w="115" w:type="dxa"/>
              <w:bottom w:w="72" w:type="dxa"/>
              <w:right w:w="115" w:type="dxa"/>
            </w:tcMar>
          </w:tcPr>
          <w:p w14:paraId="76B972C6" w14:textId="77777777" w:rsidR="00DB38FC" w:rsidRPr="00933DAC" w:rsidRDefault="00DB38FC" w:rsidP="00363B3B">
            <w:pPr>
              <w:jc w:val="center"/>
              <w:rPr>
                <w:rFonts w:ascii="Arial" w:hAnsi="Arial"/>
                <w:smallCaps/>
                <w:kern w:val="22"/>
                <w:sz w:val="20"/>
              </w:rPr>
            </w:pPr>
            <w:r w:rsidRPr="00933DAC">
              <w:rPr>
                <w:rFonts w:ascii="Arial" w:hAnsi="Arial"/>
                <w:smallCaps/>
                <w:kern w:val="22"/>
                <w:sz w:val="20"/>
              </w:rPr>
              <w:t>$</w:t>
            </w:r>
            <w:r>
              <w:rPr>
                <w:rFonts w:ascii="Arial" w:hAnsi="Arial"/>
                <w:smallCaps/>
                <w:kern w:val="22"/>
                <w:sz w:val="20"/>
              </w:rPr>
              <w:t>34.89</w:t>
            </w:r>
            <w:r w:rsidRPr="00933DAC">
              <w:rPr>
                <w:rFonts w:ascii="Arial" w:hAnsi="Arial"/>
                <w:smallCaps/>
                <w:kern w:val="22"/>
                <w:sz w:val="20"/>
              </w:rPr>
              <w:t xml:space="preserve"> per share</w:t>
            </w:r>
          </w:p>
        </w:tc>
      </w:tr>
      <w:tr w:rsidR="00DB38FC" w:rsidRPr="00933DAC" w14:paraId="2DCC2C27" w14:textId="77777777" w:rsidTr="00363B3B">
        <w:trPr>
          <w:trHeight w:hRule="exact" w:val="288"/>
          <w:jc w:val="center"/>
        </w:trPr>
        <w:tc>
          <w:tcPr>
            <w:tcW w:w="2946" w:type="dxa"/>
            <w:tcBorders>
              <w:top w:val="single" w:sz="4" w:space="0" w:color="808080"/>
              <w:bottom w:val="single" w:sz="4" w:space="0" w:color="808080"/>
            </w:tcBorders>
            <w:shd w:val="clear" w:color="auto" w:fill="auto"/>
            <w:tcMar>
              <w:top w:w="72" w:type="dxa"/>
              <w:left w:w="115" w:type="dxa"/>
              <w:bottom w:w="72" w:type="dxa"/>
              <w:right w:w="115" w:type="dxa"/>
            </w:tcMar>
          </w:tcPr>
          <w:p w14:paraId="7CDF13AE" w14:textId="77777777" w:rsidR="00DB38FC" w:rsidRPr="00933DAC" w:rsidRDefault="00DB38FC" w:rsidP="00363B3B">
            <w:pPr>
              <w:ind w:left="131"/>
              <w:rPr>
                <w:rFonts w:ascii="Arial" w:hAnsi="Arial"/>
                <w:smallCaps/>
                <w:kern w:val="22"/>
                <w:sz w:val="20"/>
              </w:rPr>
            </w:pPr>
            <w:r w:rsidRPr="00933DAC">
              <w:rPr>
                <w:rFonts w:ascii="Arial" w:hAnsi="Arial"/>
                <w:smallCaps/>
                <w:kern w:val="22"/>
                <w:sz w:val="20"/>
              </w:rPr>
              <w:t>total shares outstanding</w:t>
            </w:r>
          </w:p>
        </w:tc>
        <w:tc>
          <w:tcPr>
            <w:tcW w:w="2225" w:type="dxa"/>
            <w:tcBorders>
              <w:top w:val="single" w:sz="4" w:space="0" w:color="808080"/>
              <w:bottom w:val="single" w:sz="4" w:space="0" w:color="808080"/>
            </w:tcBorders>
            <w:shd w:val="clear" w:color="auto" w:fill="auto"/>
            <w:tcMar>
              <w:top w:w="72" w:type="dxa"/>
              <w:left w:w="115" w:type="dxa"/>
              <w:bottom w:w="72" w:type="dxa"/>
              <w:right w:w="115" w:type="dxa"/>
            </w:tcMar>
          </w:tcPr>
          <w:p w14:paraId="1502F70B" w14:textId="77777777" w:rsidR="00DB38FC" w:rsidRPr="00933DAC" w:rsidRDefault="00DB38FC" w:rsidP="00363B3B">
            <w:pPr>
              <w:jc w:val="center"/>
              <w:rPr>
                <w:rFonts w:ascii="Arial" w:hAnsi="Arial"/>
                <w:smallCaps/>
                <w:kern w:val="22"/>
                <w:sz w:val="20"/>
              </w:rPr>
            </w:pPr>
            <w:r>
              <w:rPr>
                <w:rFonts w:ascii="Arial" w:hAnsi="Arial"/>
                <w:smallCaps/>
                <w:kern w:val="22"/>
                <w:sz w:val="20"/>
              </w:rPr>
              <w:t>40.48</w:t>
            </w:r>
            <w:r w:rsidRPr="00933DAC">
              <w:rPr>
                <w:rFonts w:ascii="Arial" w:hAnsi="Arial"/>
                <w:smallCaps/>
                <w:kern w:val="22"/>
                <w:sz w:val="20"/>
              </w:rPr>
              <w:t xml:space="preserve"> million</w:t>
            </w:r>
          </w:p>
        </w:tc>
      </w:tr>
      <w:tr w:rsidR="00DB38FC" w:rsidRPr="00933DAC" w14:paraId="49162A0A" w14:textId="77777777" w:rsidTr="00363B3B">
        <w:trPr>
          <w:trHeight w:hRule="exact" w:val="307"/>
          <w:jc w:val="center"/>
        </w:trPr>
        <w:tc>
          <w:tcPr>
            <w:tcW w:w="2946" w:type="dxa"/>
            <w:tcBorders>
              <w:top w:val="single" w:sz="4" w:space="0" w:color="808080"/>
              <w:bottom w:val="single" w:sz="4" w:space="0" w:color="808080"/>
            </w:tcBorders>
            <w:shd w:val="clear" w:color="auto" w:fill="auto"/>
            <w:tcMar>
              <w:top w:w="72" w:type="dxa"/>
              <w:left w:w="115" w:type="dxa"/>
              <w:bottom w:w="72" w:type="dxa"/>
              <w:right w:w="115" w:type="dxa"/>
            </w:tcMar>
          </w:tcPr>
          <w:p w14:paraId="0CC68EC4" w14:textId="77777777" w:rsidR="00DB38FC" w:rsidRPr="00933DAC" w:rsidRDefault="00DB38FC" w:rsidP="00363B3B">
            <w:pPr>
              <w:ind w:left="131"/>
              <w:rPr>
                <w:rFonts w:ascii="Arial" w:hAnsi="Arial"/>
                <w:smallCaps/>
                <w:kern w:val="22"/>
                <w:sz w:val="20"/>
              </w:rPr>
            </w:pPr>
            <w:r w:rsidRPr="00933DAC">
              <w:rPr>
                <w:rFonts w:ascii="Arial" w:hAnsi="Arial"/>
                <w:smallCaps/>
                <w:kern w:val="22"/>
                <w:sz w:val="20"/>
              </w:rPr>
              <w:t>current market cap</w:t>
            </w:r>
          </w:p>
        </w:tc>
        <w:tc>
          <w:tcPr>
            <w:tcW w:w="2225" w:type="dxa"/>
            <w:tcBorders>
              <w:top w:val="single" w:sz="4" w:space="0" w:color="808080"/>
              <w:bottom w:val="single" w:sz="4" w:space="0" w:color="808080"/>
            </w:tcBorders>
            <w:shd w:val="clear" w:color="auto" w:fill="auto"/>
            <w:tcMar>
              <w:top w:w="72" w:type="dxa"/>
              <w:left w:w="115" w:type="dxa"/>
              <w:bottom w:w="72" w:type="dxa"/>
              <w:right w:w="115" w:type="dxa"/>
            </w:tcMar>
          </w:tcPr>
          <w:p w14:paraId="385FAA54" w14:textId="77777777" w:rsidR="00DB38FC" w:rsidRPr="00933DAC" w:rsidRDefault="00DB38FC" w:rsidP="00363B3B">
            <w:pPr>
              <w:jc w:val="center"/>
              <w:rPr>
                <w:rFonts w:ascii="Arial" w:hAnsi="Arial"/>
                <w:smallCaps/>
                <w:kern w:val="22"/>
                <w:sz w:val="20"/>
              </w:rPr>
            </w:pPr>
            <w:r w:rsidRPr="00933DAC">
              <w:rPr>
                <w:rFonts w:ascii="Arial" w:hAnsi="Arial"/>
                <w:smallCaps/>
                <w:kern w:val="22"/>
                <w:sz w:val="20"/>
              </w:rPr>
              <w:t>$</w:t>
            </w:r>
            <w:r>
              <w:rPr>
                <w:rFonts w:ascii="Arial" w:hAnsi="Arial"/>
                <w:smallCaps/>
                <w:kern w:val="22"/>
                <w:sz w:val="20"/>
              </w:rPr>
              <w:t>1.40 b</w:t>
            </w:r>
            <w:r w:rsidRPr="00933DAC">
              <w:rPr>
                <w:rFonts w:ascii="Arial" w:hAnsi="Arial"/>
                <w:smallCaps/>
                <w:kern w:val="22"/>
                <w:sz w:val="20"/>
              </w:rPr>
              <w:t>illion</w:t>
            </w:r>
          </w:p>
        </w:tc>
      </w:tr>
      <w:tr w:rsidR="00DB38FC" w:rsidRPr="00933DAC" w14:paraId="71DD8904" w14:textId="77777777" w:rsidTr="00363B3B">
        <w:trPr>
          <w:trHeight w:hRule="exact" w:val="288"/>
          <w:jc w:val="center"/>
        </w:trPr>
        <w:tc>
          <w:tcPr>
            <w:tcW w:w="2946" w:type="dxa"/>
            <w:tcBorders>
              <w:top w:val="single" w:sz="4" w:space="0" w:color="808080"/>
              <w:bottom w:val="single" w:sz="4" w:space="0" w:color="auto"/>
            </w:tcBorders>
            <w:shd w:val="clear" w:color="auto" w:fill="auto"/>
            <w:tcMar>
              <w:top w:w="72" w:type="dxa"/>
              <w:left w:w="115" w:type="dxa"/>
              <w:bottom w:w="72" w:type="dxa"/>
              <w:right w:w="115" w:type="dxa"/>
            </w:tcMar>
          </w:tcPr>
          <w:p w14:paraId="72578D15" w14:textId="77777777" w:rsidR="00DB38FC" w:rsidRPr="00933DAC" w:rsidRDefault="00DB38FC" w:rsidP="00363B3B">
            <w:pPr>
              <w:ind w:left="131"/>
              <w:rPr>
                <w:rFonts w:ascii="Arial" w:hAnsi="Arial"/>
                <w:smallCaps/>
                <w:kern w:val="22"/>
                <w:sz w:val="20"/>
              </w:rPr>
            </w:pPr>
            <w:r w:rsidRPr="00933DAC">
              <w:rPr>
                <w:rFonts w:ascii="Arial" w:hAnsi="Arial"/>
                <w:smallCaps/>
                <w:kern w:val="22"/>
                <w:sz w:val="20"/>
              </w:rPr>
              <w:t>52 week high market cap</w:t>
            </w:r>
          </w:p>
        </w:tc>
        <w:tc>
          <w:tcPr>
            <w:tcW w:w="2225" w:type="dxa"/>
            <w:tcBorders>
              <w:top w:val="single" w:sz="4" w:space="0" w:color="808080"/>
              <w:bottom w:val="single" w:sz="4" w:space="0" w:color="auto"/>
            </w:tcBorders>
            <w:shd w:val="clear" w:color="auto" w:fill="auto"/>
            <w:tcMar>
              <w:top w:w="72" w:type="dxa"/>
              <w:left w:w="115" w:type="dxa"/>
              <w:bottom w:w="72" w:type="dxa"/>
              <w:right w:w="115" w:type="dxa"/>
            </w:tcMar>
          </w:tcPr>
          <w:p w14:paraId="23CC5B76" w14:textId="77777777" w:rsidR="00DB38FC" w:rsidRPr="00933DAC" w:rsidRDefault="00DB38FC" w:rsidP="00363B3B">
            <w:pPr>
              <w:jc w:val="center"/>
              <w:rPr>
                <w:rFonts w:ascii="Arial" w:hAnsi="Arial"/>
                <w:smallCaps/>
                <w:kern w:val="22"/>
                <w:sz w:val="20"/>
              </w:rPr>
            </w:pPr>
            <w:r w:rsidRPr="00933DAC">
              <w:rPr>
                <w:rFonts w:ascii="Arial" w:hAnsi="Arial"/>
                <w:smallCaps/>
                <w:kern w:val="22"/>
                <w:sz w:val="20"/>
              </w:rPr>
              <w:t>$</w:t>
            </w:r>
            <w:r>
              <w:rPr>
                <w:rFonts w:ascii="Arial" w:hAnsi="Arial"/>
                <w:smallCaps/>
                <w:kern w:val="22"/>
                <w:sz w:val="20"/>
              </w:rPr>
              <w:t>1.41 bi</w:t>
            </w:r>
            <w:r w:rsidRPr="00933DAC">
              <w:rPr>
                <w:rFonts w:ascii="Arial" w:hAnsi="Arial"/>
                <w:smallCaps/>
                <w:kern w:val="22"/>
                <w:sz w:val="20"/>
              </w:rPr>
              <w:t>llion</w:t>
            </w:r>
          </w:p>
        </w:tc>
      </w:tr>
    </w:tbl>
    <w:p w14:paraId="5ADE65C6" w14:textId="77777777" w:rsidR="00DB38FC" w:rsidRDefault="00DB38FC" w:rsidP="00DB38FC">
      <w:pPr>
        <w:rPr>
          <w:rStyle w:val="OBISChapterTitleChar"/>
          <w:rFonts w:eastAsiaTheme="minorHAnsi"/>
          <w:bCs/>
          <w:color w:val="0067B1"/>
        </w:rPr>
      </w:pPr>
      <w:r>
        <w:rPr>
          <w:rStyle w:val="OBISChapterTitleChar"/>
          <w:rFonts w:eastAsiaTheme="minorHAnsi"/>
          <w:bCs/>
          <w:color w:val="0067B1"/>
          <w:kern w:val="22"/>
        </w:rPr>
        <w:br w:type="page"/>
      </w:r>
    </w:p>
    <w:p w14:paraId="20F33892" w14:textId="77777777" w:rsidR="00DB38FC" w:rsidRPr="00933DAC" w:rsidRDefault="00DB38FC" w:rsidP="00DB38FC">
      <w:pPr>
        <w:pStyle w:val="OBISSubhead2"/>
        <w:outlineLvl w:val="0"/>
        <w:rPr>
          <w:i w:val="0"/>
        </w:rPr>
      </w:pPr>
      <w:r w:rsidRPr="00933DAC">
        <w:rPr>
          <w:i w:val="0"/>
          <w:color w:val="0067B1"/>
        </w:rPr>
        <w:lastRenderedPageBreak/>
        <w:t>Settlements as a Percentage of a Drop in Market Capitalization</w:t>
      </w:r>
    </w:p>
    <w:p w14:paraId="2DCDF223" w14:textId="77777777" w:rsidR="00DB38FC" w:rsidRPr="00933DAC" w:rsidRDefault="00DB38FC" w:rsidP="00DB38FC">
      <w:pPr>
        <w:spacing w:after="120" w:line="360" w:lineRule="auto"/>
        <w:jc w:val="both"/>
        <w:rPr>
          <w:rFonts w:ascii="Arial" w:hAnsi="Arial"/>
          <w:i/>
          <w:kern w:val="22"/>
        </w:rPr>
      </w:pPr>
      <w:r w:rsidRPr="00933DAC">
        <w:rPr>
          <w:rFonts w:ascii="Arial" w:hAnsi="Arial"/>
          <w:i/>
          <w:kern w:val="22"/>
        </w:rPr>
        <w:t>All settlements for cases filed and settled post reform with a market capitalization drop during the class period between $</w:t>
      </w:r>
      <w:r>
        <w:rPr>
          <w:rFonts w:ascii="Arial" w:hAnsi="Arial"/>
          <w:i/>
          <w:kern w:val="22"/>
        </w:rPr>
        <w:t>500</w:t>
      </w:r>
      <w:r w:rsidRPr="00933DAC">
        <w:rPr>
          <w:rFonts w:ascii="Arial" w:hAnsi="Arial"/>
          <w:i/>
          <w:kern w:val="22"/>
        </w:rPr>
        <w:t xml:space="preserve"> million and $</w:t>
      </w:r>
      <w:r>
        <w:rPr>
          <w:rFonts w:ascii="Arial" w:hAnsi="Arial"/>
          <w:i/>
          <w:kern w:val="22"/>
        </w:rPr>
        <w:t>1 billion (288</w:t>
      </w:r>
      <w:r w:rsidRPr="00933DAC">
        <w:rPr>
          <w:rFonts w:ascii="Arial" w:hAnsi="Arial"/>
          <w:i/>
          <w:kern w:val="22"/>
        </w:rPr>
        <w:t xml:space="preserve"> data points).</w:t>
      </w: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38"/>
        <w:gridCol w:w="1862"/>
        <w:gridCol w:w="3420"/>
      </w:tblGrid>
      <w:tr w:rsidR="00DB38FC" w:rsidRPr="00933DAC" w14:paraId="2D3DBA51" w14:textId="77777777" w:rsidTr="00363B3B">
        <w:trPr>
          <w:jc w:val="center"/>
        </w:trPr>
        <w:tc>
          <w:tcPr>
            <w:tcW w:w="7920" w:type="dxa"/>
            <w:gridSpan w:val="3"/>
            <w:tcBorders>
              <w:top w:val="nil"/>
              <w:left w:val="nil"/>
              <w:bottom w:val="single" w:sz="4" w:space="0" w:color="auto"/>
              <w:right w:val="nil"/>
            </w:tcBorders>
            <w:shd w:val="clear" w:color="auto" w:fill="E6E6E6"/>
          </w:tcPr>
          <w:p w14:paraId="50CEEBED" w14:textId="77777777" w:rsidR="00DB38FC" w:rsidRPr="00933DAC" w:rsidRDefault="00DB38FC" w:rsidP="00363B3B">
            <w:pPr>
              <w:spacing w:before="120" w:after="120" w:line="240" w:lineRule="auto"/>
              <w:jc w:val="center"/>
              <w:rPr>
                <w:rFonts w:ascii="Arial" w:eastAsia="Times New Roman" w:hAnsi="Arial" w:cs="Times New Roman"/>
                <w:kern w:val="22"/>
                <w:sz w:val="20"/>
                <w:szCs w:val="20"/>
              </w:rPr>
            </w:pPr>
            <w:r w:rsidRPr="00933DAC">
              <w:rPr>
                <w:rFonts w:ascii="Arial" w:eastAsia="Times New Roman" w:hAnsi="Arial" w:cs="Times New Roman"/>
                <w:b/>
                <w:smallCaps/>
                <w:color w:val="0067B1"/>
                <w:kern w:val="22"/>
                <w:sz w:val="20"/>
                <w:szCs w:val="20"/>
              </w:rPr>
              <w:t>Estimated Settlements</w:t>
            </w:r>
          </w:p>
        </w:tc>
      </w:tr>
      <w:tr w:rsidR="00DB38FC" w:rsidRPr="00933DAC" w14:paraId="14C2ACBA" w14:textId="77777777" w:rsidTr="00363B3B">
        <w:trPr>
          <w:trHeight w:hRule="exact" w:val="795"/>
          <w:jc w:val="center"/>
        </w:trPr>
        <w:tc>
          <w:tcPr>
            <w:tcW w:w="2638" w:type="dxa"/>
            <w:tcBorders>
              <w:top w:val="single" w:sz="4" w:space="0" w:color="auto"/>
              <w:left w:val="nil"/>
              <w:bottom w:val="single" w:sz="4" w:space="0" w:color="808080"/>
              <w:right w:val="nil"/>
            </w:tcBorders>
            <w:shd w:val="clear" w:color="auto" w:fill="auto"/>
            <w:vAlign w:val="center"/>
          </w:tcPr>
          <w:p w14:paraId="34217963" w14:textId="77777777" w:rsidR="00DB38FC" w:rsidRPr="00933DAC" w:rsidRDefault="00DB38FC" w:rsidP="00363B3B">
            <w:pPr>
              <w:spacing w:after="0" w:line="240" w:lineRule="auto"/>
              <w:jc w:val="center"/>
              <w:rPr>
                <w:rFonts w:ascii="Arial" w:eastAsia="Times New Roman" w:hAnsi="Arial" w:cs="Times New Roman"/>
                <w:b/>
                <w:smallCaps/>
                <w:kern w:val="22"/>
                <w:sz w:val="18"/>
                <w:szCs w:val="18"/>
              </w:rPr>
            </w:pPr>
          </w:p>
        </w:tc>
        <w:tc>
          <w:tcPr>
            <w:tcW w:w="1862" w:type="dxa"/>
            <w:tcBorders>
              <w:top w:val="single" w:sz="4" w:space="0" w:color="auto"/>
              <w:left w:val="nil"/>
              <w:bottom w:val="single" w:sz="4" w:space="0" w:color="808080"/>
              <w:right w:val="nil"/>
            </w:tcBorders>
            <w:shd w:val="clear" w:color="auto" w:fill="auto"/>
            <w:vAlign w:val="center"/>
          </w:tcPr>
          <w:p w14:paraId="033A9B24" w14:textId="77777777" w:rsidR="00DB38FC" w:rsidRPr="00933DAC" w:rsidRDefault="00DB38FC" w:rsidP="00363B3B">
            <w:pPr>
              <w:spacing w:after="0" w:line="240" w:lineRule="auto"/>
              <w:jc w:val="center"/>
              <w:rPr>
                <w:rFonts w:ascii="Arial" w:eastAsia="Times New Roman" w:hAnsi="Arial" w:cs="Times New Roman"/>
                <w:b/>
                <w:smallCaps/>
                <w:kern w:val="22"/>
                <w:sz w:val="18"/>
                <w:szCs w:val="20"/>
              </w:rPr>
            </w:pPr>
            <w:r w:rsidRPr="00933DAC">
              <w:rPr>
                <w:rFonts w:ascii="Arial" w:eastAsia="Times New Roman" w:hAnsi="Arial" w:cs="Times New Roman"/>
                <w:b/>
                <w:smallCaps/>
                <w:kern w:val="22"/>
                <w:sz w:val="18"/>
                <w:szCs w:val="20"/>
              </w:rPr>
              <w:t xml:space="preserve">Settlement as a percentage of </w:t>
            </w:r>
            <w:r w:rsidRPr="00933DAC">
              <w:rPr>
                <w:rFonts w:ascii="Arial" w:eastAsia="Times New Roman" w:hAnsi="Arial" w:cs="Times New Roman"/>
                <w:b/>
                <w:smallCaps/>
                <w:kern w:val="22"/>
                <w:sz w:val="18"/>
                <w:szCs w:val="20"/>
              </w:rPr>
              <w:br/>
              <w:t>market cap drop</w:t>
            </w:r>
          </w:p>
        </w:tc>
        <w:tc>
          <w:tcPr>
            <w:tcW w:w="3420" w:type="dxa"/>
            <w:tcBorders>
              <w:top w:val="single" w:sz="4" w:space="0" w:color="auto"/>
              <w:left w:val="nil"/>
              <w:bottom w:val="single" w:sz="4" w:space="0" w:color="808080"/>
              <w:right w:val="nil"/>
            </w:tcBorders>
            <w:shd w:val="clear" w:color="auto" w:fill="auto"/>
            <w:vAlign w:val="center"/>
          </w:tcPr>
          <w:p w14:paraId="7A5E7530" w14:textId="77777777" w:rsidR="00DB38FC" w:rsidRPr="00933DAC" w:rsidRDefault="00DB38FC" w:rsidP="00363B3B">
            <w:pPr>
              <w:spacing w:after="0" w:line="240" w:lineRule="auto"/>
              <w:jc w:val="center"/>
              <w:rPr>
                <w:rFonts w:ascii="Arial" w:eastAsia="Times New Roman" w:hAnsi="Arial" w:cs="Times New Roman"/>
                <w:smallCaps/>
                <w:kern w:val="22"/>
                <w:sz w:val="18"/>
                <w:szCs w:val="20"/>
              </w:rPr>
            </w:pPr>
            <w:r w:rsidRPr="00933DAC">
              <w:rPr>
                <w:rFonts w:ascii="Arial" w:eastAsia="Times New Roman" w:hAnsi="Arial" w:cs="Times New Roman"/>
                <w:b/>
                <w:smallCaps/>
                <w:kern w:val="22"/>
                <w:sz w:val="18"/>
                <w:szCs w:val="20"/>
              </w:rPr>
              <w:t>Estimated Settlement based upon a market cap drop of $</w:t>
            </w:r>
            <w:r>
              <w:rPr>
                <w:rFonts w:ascii="Arial" w:eastAsia="Times New Roman" w:hAnsi="Arial" w:cs="Times New Roman"/>
                <w:b/>
                <w:smallCaps/>
                <w:kern w:val="22"/>
                <w:sz w:val="18"/>
                <w:szCs w:val="20"/>
              </w:rPr>
              <w:t>600M</w:t>
            </w:r>
            <w:r w:rsidRPr="00933DAC">
              <w:rPr>
                <w:rFonts w:ascii="Arial" w:eastAsia="Times New Roman" w:hAnsi="Arial" w:cs="Times New Roman"/>
                <w:b/>
                <w:smallCaps/>
                <w:kern w:val="22"/>
                <w:sz w:val="18"/>
                <w:szCs w:val="20"/>
              </w:rPr>
              <w:t xml:space="preserve"> (50%) from your </w:t>
            </w:r>
            <w:r>
              <w:rPr>
                <w:rFonts w:ascii="Arial" w:eastAsia="Times New Roman" w:hAnsi="Arial" w:cs="Times New Roman"/>
                <w:b/>
                <w:smallCaps/>
                <w:kern w:val="22"/>
                <w:sz w:val="18"/>
                <w:szCs w:val="20"/>
              </w:rPr>
              <w:t>initial</w:t>
            </w:r>
            <w:r w:rsidRPr="00933DAC">
              <w:rPr>
                <w:rFonts w:ascii="Arial" w:eastAsia="Times New Roman" w:hAnsi="Arial" w:cs="Times New Roman"/>
                <w:b/>
                <w:smallCaps/>
                <w:kern w:val="22"/>
                <w:sz w:val="18"/>
                <w:szCs w:val="20"/>
              </w:rPr>
              <w:t xml:space="preserve"> Market Cap</w:t>
            </w:r>
          </w:p>
        </w:tc>
      </w:tr>
      <w:tr w:rsidR="00DB38FC" w:rsidRPr="00933DAC" w14:paraId="5BD62AE3" w14:textId="77777777" w:rsidTr="00363B3B">
        <w:trPr>
          <w:trHeight w:val="285"/>
          <w:jc w:val="center"/>
        </w:trPr>
        <w:tc>
          <w:tcPr>
            <w:tcW w:w="2638" w:type="dxa"/>
            <w:tcBorders>
              <w:top w:val="single" w:sz="4" w:space="0" w:color="808080"/>
              <w:left w:val="nil"/>
              <w:bottom w:val="single" w:sz="4" w:space="0" w:color="808080"/>
              <w:right w:val="nil"/>
            </w:tcBorders>
            <w:shd w:val="clear" w:color="auto" w:fill="auto"/>
            <w:tcMar>
              <w:top w:w="72" w:type="dxa"/>
              <w:left w:w="115" w:type="dxa"/>
              <w:bottom w:w="72" w:type="dxa"/>
              <w:right w:w="115" w:type="dxa"/>
            </w:tcMar>
            <w:vAlign w:val="center"/>
          </w:tcPr>
          <w:p w14:paraId="0B69108C" w14:textId="77777777" w:rsidR="00DB38FC" w:rsidRPr="00933DAC" w:rsidRDefault="00DB38FC" w:rsidP="00363B3B">
            <w:pPr>
              <w:spacing w:after="0" w:line="240" w:lineRule="auto"/>
              <w:jc w:val="both"/>
              <w:rPr>
                <w:rFonts w:ascii="Arial" w:eastAsia="Times New Roman" w:hAnsi="Arial" w:cs="Times New Roman"/>
                <w:kern w:val="22"/>
                <w:sz w:val="20"/>
                <w:szCs w:val="20"/>
              </w:rPr>
            </w:pPr>
            <w:r w:rsidRPr="00933DAC">
              <w:rPr>
                <w:rFonts w:ascii="Arial" w:eastAsia="Times New Roman" w:hAnsi="Arial" w:cs="Times New Roman"/>
                <w:kern w:val="22"/>
                <w:sz w:val="20"/>
                <w:szCs w:val="20"/>
              </w:rPr>
              <w:t>Average Settlement</w:t>
            </w:r>
          </w:p>
        </w:tc>
        <w:tc>
          <w:tcPr>
            <w:tcW w:w="1862" w:type="dxa"/>
            <w:tcBorders>
              <w:top w:val="single" w:sz="4" w:space="0" w:color="808080"/>
              <w:left w:val="nil"/>
              <w:bottom w:val="single" w:sz="4" w:space="0" w:color="808080"/>
              <w:right w:val="nil"/>
            </w:tcBorders>
            <w:shd w:val="clear" w:color="auto" w:fill="auto"/>
            <w:tcMar>
              <w:top w:w="72" w:type="dxa"/>
              <w:left w:w="115" w:type="dxa"/>
              <w:bottom w:w="72" w:type="dxa"/>
              <w:right w:w="115" w:type="dxa"/>
            </w:tcMar>
            <w:vAlign w:val="center"/>
          </w:tcPr>
          <w:p w14:paraId="58AC8E72" w14:textId="77777777" w:rsidR="00DB38FC" w:rsidRPr="00933DAC" w:rsidRDefault="00DB38FC" w:rsidP="00363B3B">
            <w:pPr>
              <w:spacing w:after="0" w:line="240" w:lineRule="auto"/>
              <w:jc w:val="center"/>
              <w:rPr>
                <w:rFonts w:ascii="Arial" w:eastAsia="Times New Roman" w:hAnsi="Arial" w:cs="Times New Roman"/>
                <w:kern w:val="22"/>
                <w:sz w:val="20"/>
                <w:szCs w:val="20"/>
              </w:rPr>
            </w:pPr>
            <w:r>
              <w:rPr>
                <w:rFonts w:ascii="Arial" w:eastAsia="Times New Roman" w:hAnsi="Arial" w:cs="Times New Roman"/>
                <w:kern w:val="22"/>
                <w:sz w:val="20"/>
                <w:szCs w:val="20"/>
              </w:rPr>
              <w:t>1.8</w:t>
            </w:r>
            <w:r w:rsidRPr="00933DAC">
              <w:rPr>
                <w:rFonts w:ascii="Arial" w:eastAsia="Times New Roman" w:hAnsi="Arial" w:cs="Times New Roman"/>
                <w:kern w:val="22"/>
                <w:sz w:val="20"/>
                <w:szCs w:val="20"/>
              </w:rPr>
              <w:t>%</w:t>
            </w:r>
          </w:p>
        </w:tc>
        <w:tc>
          <w:tcPr>
            <w:tcW w:w="3420" w:type="dxa"/>
            <w:tcBorders>
              <w:top w:val="single" w:sz="4" w:space="0" w:color="808080"/>
              <w:left w:val="nil"/>
              <w:bottom w:val="single" w:sz="4" w:space="0" w:color="808080"/>
              <w:right w:val="nil"/>
            </w:tcBorders>
            <w:shd w:val="clear" w:color="auto" w:fill="auto"/>
            <w:tcMar>
              <w:top w:w="72" w:type="dxa"/>
              <w:left w:w="115" w:type="dxa"/>
              <w:bottom w:w="72" w:type="dxa"/>
              <w:right w:w="115" w:type="dxa"/>
            </w:tcMar>
            <w:vAlign w:val="center"/>
          </w:tcPr>
          <w:p w14:paraId="6EE17F1B" w14:textId="77777777" w:rsidR="00DB38FC" w:rsidRPr="005E29A4" w:rsidRDefault="00DB38FC" w:rsidP="00363B3B">
            <w:pPr>
              <w:spacing w:after="0" w:line="240" w:lineRule="auto"/>
              <w:ind w:left="612"/>
              <w:jc w:val="center"/>
              <w:rPr>
                <w:rFonts w:ascii="Arial" w:eastAsia="Times New Roman" w:hAnsi="Arial" w:cs="Times New Roman"/>
                <w:kern w:val="22"/>
                <w:sz w:val="20"/>
                <w:szCs w:val="20"/>
              </w:rPr>
            </w:pPr>
            <w:r w:rsidRPr="005E29A4">
              <w:rPr>
                <w:rFonts w:ascii="Arial" w:eastAsia="Times New Roman" w:hAnsi="Arial" w:cs="Times New Roman"/>
                <w:kern w:val="22"/>
                <w:sz w:val="20"/>
                <w:szCs w:val="20"/>
              </w:rPr>
              <w:t>$</w:t>
            </w:r>
            <w:r>
              <w:rPr>
                <w:rFonts w:ascii="Arial" w:eastAsia="Times New Roman" w:hAnsi="Arial" w:cs="Times New Roman"/>
                <w:kern w:val="22"/>
                <w:sz w:val="20"/>
                <w:szCs w:val="20"/>
              </w:rPr>
              <w:t>10.8</w:t>
            </w:r>
            <w:r w:rsidRPr="005E29A4">
              <w:rPr>
                <w:rFonts w:ascii="Arial" w:eastAsia="Times New Roman" w:hAnsi="Arial" w:cs="Times New Roman"/>
                <w:kern w:val="22"/>
                <w:sz w:val="20"/>
                <w:szCs w:val="20"/>
              </w:rPr>
              <w:t>M</w:t>
            </w:r>
          </w:p>
        </w:tc>
      </w:tr>
      <w:tr w:rsidR="00DB38FC" w:rsidRPr="00933DAC" w14:paraId="046C9FDC" w14:textId="77777777" w:rsidTr="00363B3B">
        <w:trPr>
          <w:trHeight w:val="285"/>
          <w:jc w:val="center"/>
        </w:trPr>
        <w:tc>
          <w:tcPr>
            <w:tcW w:w="2638" w:type="dxa"/>
            <w:tcBorders>
              <w:top w:val="single" w:sz="4" w:space="0" w:color="808080"/>
              <w:left w:val="nil"/>
              <w:bottom w:val="single" w:sz="4" w:space="0" w:color="808080"/>
              <w:right w:val="nil"/>
            </w:tcBorders>
            <w:shd w:val="clear" w:color="auto" w:fill="auto"/>
            <w:tcMar>
              <w:top w:w="72" w:type="dxa"/>
              <w:left w:w="115" w:type="dxa"/>
              <w:bottom w:w="72" w:type="dxa"/>
              <w:right w:w="115" w:type="dxa"/>
            </w:tcMar>
            <w:vAlign w:val="center"/>
          </w:tcPr>
          <w:p w14:paraId="42383EE0" w14:textId="77777777" w:rsidR="00DB38FC" w:rsidRPr="00933DAC" w:rsidRDefault="00DB38FC" w:rsidP="00363B3B">
            <w:pPr>
              <w:spacing w:after="0" w:line="240" w:lineRule="auto"/>
              <w:jc w:val="both"/>
              <w:rPr>
                <w:rFonts w:ascii="Arial" w:eastAsia="Times New Roman" w:hAnsi="Arial" w:cs="Times New Roman"/>
                <w:kern w:val="22"/>
                <w:sz w:val="20"/>
                <w:szCs w:val="20"/>
              </w:rPr>
            </w:pPr>
            <w:r w:rsidRPr="00933DAC">
              <w:rPr>
                <w:rFonts w:ascii="Arial" w:eastAsia="Times New Roman" w:hAnsi="Arial" w:cs="Times New Roman"/>
                <w:kern w:val="22"/>
                <w:sz w:val="20"/>
                <w:szCs w:val="20"/>
              </w:rPr>
              <w:t xml:space="preserve">Median Settlement </w:t>
            </w:r>
          </w:p>
        </w:tc>
        <w:tc>
          <w:tcPr>
            <w:tcW w:w="1862" w:type="dxa"/>
            <w:tcBorders>
              <w:top w:val="single" w:sz="4" w:space="0" w:color="808080"/>
              <w:left w:val="nil"/>
              <w:bottom w:val="single" w:sz="4" w:space="0" w:color="808080"/>
              <w:right w:val="nil"/>
            </w:tcBorders>
            <w:shd w:val="clear" w:color="auto" w:fill="auto"/>
            <w:tcMar>
              <w:top w:w="72" w:type="dxa"/>
              <w:left w:w="115" w:type="dxa"/>
              <w:bottom w:w="72" w:type="dxa"/>
              <w:right w:w="115" w:type="dxa"/>
            </w:tcMar>
            <w:vAlign w:val="center"/>
          </w:tcPr>
          <w:p w14:paraId="02D0ED3F" w14:textId="77777777" w:rsidR="00DB38FC" w:rsidRPr="00933DAC" w:rsidRDefault="00DB38FC" w:rsidP="00363B3B">
            <w:pPr>
              <w:spacing w:after="0" w:line="240" w:lineRule="auto"/>
              <w:jc w:val="center"/>
              <w:rPr>
                <w:rFonts w:ascii="Arial" w:eastAsia="Times New Roman" w:hAnsi="Arial" w:cs="Times New Roman"/>
                <w:kern w:val="22"/>
                <w:sz w:val="20"/>
                <w:szCs w:val="20"/>
              </w:rPr>
            </w:pPr>
            <w:r>
              <w:rPr>
                <w:rFonts w:ascii="Arial" w:eastAsia="Times New Roman" w:hAnsi="Arial" w:cs="Times New Roman"/>
                <w:kern w:val="22"/>
                <w:sz w:val="20"/>
                <w:szCs w:val="20"/>
              </w:rPr>
              <w:t>1.1</w:t>
            </w:r>
            <w:r w:rsidRPr="00933DAC">
              <w:rPr>
                <w:rFonts w:ascii="Arial" w:eastAsia="Times New Roman" w:hAnsi="Arial" w:cs="Times New Roman"/>
                <w:kern w:val="22"/>
                <w:sz w:val="20"/>
                <w:szCs w:val="20"/>
              </w:rPr>
              <w:t>%</w:t>
            </w:r>
          </w:p>
        </w:tc>
        <w:tc>
          <w:tcPr>
            <w:tcW w:w="3420" w:type="dxa"/>
            <w:tcBorders>
              <w:top w:val="single" w:sz="4" w:space="0" w:color="808080"/>
              <w:left w:val="nil"/>
              <w:bottom w:val="single" w:sz="4" w:space="0" w:color="808080"/>
              <w:right w:val="nil"/>
            </w:tcBorders>
            <w:shd w:val="clear" w:color="auto" w:fill="auto"/>
            <w:tcMar>
              <w:top w:w="72" w:type="dxa"/>
              <w:left w:w="115" w:type="dxa"/>
              <w:bottom w:w="72" w:type="dxa"/>
              <w:right w:w="115" w:type="dxa"/>
            </w:tcMar>
            <w:vAlign w:val="center"/>
          </w:tcPr>
          <w:p w14:paraId="242A4382" w14:textId="77777777" w:rsidR="00DB38FC" w:rsidRPr="005E29A4" w:rsidRDefault="00DB38FC" w:rsidP="00363B3B">
            <w:pPr>
              <w:spacing w:after="0" w:line="240" w:lineRule="auto"/>
              <w:ind w:left="612"/>
              <w:jc w:val="center"/>
              <w:rPr>
                <w:rFonts w:ascii="Arial" w:eastAsia="Times New Roman" w:hAnsi="Arial" w:cs="Times New Roman"/>
                <w:kern w:val="22"/>
                <w:sz w:val="20"/>
                <w:szCs w:val="20"/>
              </w:rPr>
            </w:pPr>
            <w:r w:rsidRPr="005E29A4">
              <w:rPr>
                <w:rFonts w:ascii="Arial" w:eastAsia="Times New Roman" w:hAnsi="Arial" w:cs="Times New Roman"/>
                <w:kern w:val="22"/>
                <w:sz w:val="20"/>
                <w:szCs w:val="20"/>
              </w:rPr>
              <w:t>$</w:t>
            </w:r>
            <w:r>
              <w:rPr>
                <w:rFonts w:ascii="Arial" w:eastAsia="Times New Roman" w:hAnsi="Arial" w:cs="Times New Roman"/>
                <w:kern w:val="22"/>
                <w:sz w:val="20"/>
                <w:szCs w:val="20"/>
              </w:rPr>
              <w:t>6.6</w:t>
            </w:r>
            <w:r w:rsidRPr="005E29A4">
              <w:rPr>
                <w:rFonts w:ascii="Arial" w:eastAsia="Times New Roman" w:hAnsi="Arial" w:cs="Times New Roman"/>
                <w:kern w:val="22"/>
                <w:sz w:val="20"/>
                <w:szCs w:val="20"/>
              </w:rPr>
              <w:t>M</w:t>
            </w:r>
          </w:p>
        </w:tc>
      </w:tr>
      <w:tr w:rsidR="00DB38FC" w:rsidRPr="00933DAC" w14:paraId="5502ACAE" w14:textId="77777777" w:rsidTr="00363B3B">
        <w:trPr>
          <w:trHeight w:val="285"/>
          <w:jc w:val="center"/>
        </w:trPr>
        <w:tc>
          <w:tcPr>
            <w:tcW w:w="2638" w:type="dxa"/>
            <w:tcBorders>
              <w:top w:val="single" w:sz="4" w:space="0" w:color="808080"/>
              <w:left w:val="nil"/>
              <w:bottom w:val="single" w:sz="4" w:space="0" w:color="808080"/>
              <w:right w:val="nil"/>
            </w:tcBorders>
            <w:shd w:val="clear" w:color="auto" w:fill="auto"/>
            <w:tcMar>
              <w:top w:w="72" w:type="dxa"/>
              <w:left w:w="115" w:type="dxa"/>
              <w:bottom w:w="72" w:type="dxa"/>
              <w:right w:w="115" w:type="dxa"/>
            </w:tcMar>
            <w:vAlign w:val="center"/>
          </w:tcPr>
          <w:p w14:paraId="563D65EE" w14:textId="77777777" w:rsidR="00DB38FC" w:rsidRPr="00933DAC" w:rsidRDefault="00DB38FC" w:rsidP="00363B3B">
            <w:pPr>
              <w:spacing w:after="0" w:line="240" w:lineRule="auto"/>
              <w:jc w:val="both"/>
              <w:rPr>
                <w:rFonts w:ascii="Arial" w:eastAsia="Times New Roman" w:hAnsi="Arial" w:cs="Times New Roman"/>
                <w:kern w:val="22"/>
                <w:sz w:val="20"/>
                <w:szCs w:val="20"/>
              </w:rPr>
            </w:pPr>
            <w:r w:rsidRPr="00933DAC">
              <w:rPr>
                <w:rFonts w:ascii="Arial" w:eastAsia="Times New Roman" w:hAnsi="Arial" w:cs="Times New Roman"/>
                <w:kern w:val="22"/>
                <w:sz w:val="20"/>
                <w:szCs w:val="20"/>
              </w:rPr>
              <w:t>1st Quartile Settlement</w:t>
            </w:r>
          </w:p>
        </w:tc>
        <w:tc>
          <w:tcPr>
            <w:tcW w:w="1862" w:type="dxa"/>
            <w:tcBorders>
              <w:top w:val="single" w:sz="4" w:space="0" w:color="808080"/>
              <w:left w:val="nil"/>
              <w:bottom w:val="single" w:sz="4" w:space="0" w:color="808080"/>
              <w:right w:val="nil"/>
            </w:tcBorders>
            <w:shd w:val="clear" w:color="auto" w:fill="auto"/>
            <w:tcMar>
              <w:top w:w="72" w:type="dxa"/>
              <w:left w:w="115" w:type="dxa"/>
              <w:bottom w:w="72" w:type="dxa"/>
              <w:right w:w="115" w:type="dxa"/>
            </w:tcMar>
            <w:vAlign w:val="center"/>
          </w:tcPr>
          <w:p w14:paraId="0C7C3F58" w14:textId="77777777" w:rsidR="00DB38FC" w:rsidRPr="00933DAC" w:rsidRDefault="00DB38FC" w:rsidP="00363B3B">
            <w:pPr>
              <w:spacing w:after="0" w:line="240" w:lineRule="auto"/>
              <w:jc w:val="center"/>
              <w:rPr>
                <w:rFonts w:ascii="Arial" w:eastAsia="Times New Roman" w:hAnsi="Arial" w:cs="Times New Roman"/>
                <w:kern w:val="22"/>
                <w:sz w:val="20"/>
                <w:szCs w:val="20"/>
              </w:rPr>
            </w:pPr>
            <w:r>
              <w:rPr>
                <w:rFonts w:ascii="Arial" w:eastAsia="Times New Roman" w:hAnsi="Arial" w:cs="Times New Roman"/>
                <w:kern w:val="22"/>
                <w:sz w:val="20"/>
                <w:szCs w:val="20"/>
              </w:rPr>
              <w:t>0.6</w:t>
            </w:r>
            <w:r w:rsidRPr="00933DAC">
              <w:rPr>
                <w:rFonts w:ascii="Arial" w:eastAsia="Times New Roman" w:hAnsi="Arial" w:cs="Times New Roman"/>
                <w:kern w:val="22"/>
                <w:sz w:val="20"/>
                <w:szCs w:val="20"/>
              </w:rPr>
              <w:t>%</w:t>
            </w:r>
          </w:p>
        </w:tc>
        <w:tc>
          <w:tcPr>
            <w:tcW w:w="3420" w:type="dxa"/>
            <w:tcBorders>
              <w:top w:val="single" w:sz="4" w:space="0" w:color="808080"/>
              <w:left w:val="nil"/>
              <w:bottom w:val="single" w:sz="4" w:space="0" w:color="808080"/>
              <w:right w:val="nil"/>
            </w:tcBorders>
            <w:shd w:val="clear" w:color="auto" w:fill="auto"/>
            <w:tcMar>
              <w:top w:w="72" w:type="dxa"/>
              <w:left w:w="115" w:type="dxa"/>
              <w:bottom w:w="72" w:type="dxa"/>
              <w:right w:w="115" w:type="dxa"/>
            </w:tcMar>
            <w:vAlign w:val="center"/>
          </w:tcPr>
          <w:p w14:paraId="1596CB51" w14:textId="77777777" w:rsidR="00DB38FC" w:rsidRPr="005E29A4" w:rsidRDefault="00DB38FC" w:rsidP="00363B3B">
            <w:pPr>
              <w:spacing w:after="0" w:line="240" w:lineRule="auto"/>
              <w:ind w:left="612"/>
              <w:jc w:val="center"/>
              <w:rPr>
                <w:rFonts w:ascii="Arial" w:eastAsia="Times New Roman" w:hAnsi="Arial" w:cs="Times New Roman"/>
                <w:kern w:val="22"/>
                <w:sz w:val="20"/>
                <w:szCs w:val="20"/>
              </w:rPr>
            </w:pPr>
            <w:r w:rsidRPr="005E29A4">
              <w:rPr>
                <w:rFonts w:ascii="Arial" w:eastAsia="Times New Roman" w:hAnsi="Arial" w:cs="Times New Roman"/>
                <w:kern w:val="22"/>
                <w:sz w:val="20"/>
                <w:szCs w:val="20"/>
              </w:rPr>
              <w:t>$</w:t>
            </w:r>
            <w:r>
              <w:rPr>
                <w:rFonts w:ascii="Arial" w:eastAsia="Times New Roman" w:hAnsi="Arial" w:cs="Times New Roman"/>
                <w:kern w:val="22"/>
                <w:sz w:val="20"/>
                <w:szCs w:val="20"/>
              </w:rPr>
              <w:t>3.6</w:t>
            </w:r>
            <w:r w:rsidRPr="005E29A4">
              <w:rPr>
                <w:rFonts w:ascii="Arial" w:eastAsia="Times New Roman" w:hAnsi="Arial" w:cs="Times New Roman"/>
                <w:kern w:val="22"/>
                <w:sz w:val="20"/>
                <w:szCs w:val="20"/>
              </w:rPr>
              <w:t>M</w:t>
            </w:r>
          </w:p>
        </w:tc>
      </w:tr>
      <w:tr w:rsidR="00DB38FC" w:rsidRPr="00933DAC" w14:paraId="49206176" w14:textId="77777777" w:rsidTr="00363B3B">
        <w:trPr>
          <w:trHeight w:val="285"/>
          <w:jc w:val="center"/>
        </w:trPr>
        <w:tc>
          <w:tcPr>
            <w:tcW w:w="2638" w:type="dxa"/>
            <w:tcBorders>
              <w:top w:val="single" w:sz="4" w:space="0" w:color="808080"/>
              <w:left w:val="nil"/>
              <w:bottom w:val="single" w:sz="4" w:space="0" w:color="808080"/>
              <w:right w:val="nil"/>
            </w:tcBorders>
            <w:shd w:val="clear" w:color="auto" w:fill="auto"/>
            <w:tcMar>
              <w:top w:w="72" w:type="dxa"/>
              <w:left w:w="115" w:type="dxa"/>
              <w:bottom w:w="72" w:type="dxa"/>
              <w:right w:w="115" w:type="dxa"/>
            </w:tcMar>
            <w:vAlign w:val="center"/>
          </w:tcPr>
          <w:p w14:paraId="62A76946" w14:textId="77777777" w:rsidR="00DB38FC" w:rsidRPr="00933DAC" w:rsidRDefault="00DB38FC" w:rsidP="00363B3B">
            <w:pPr>
              <w:spacing w:after="0" w:line="240" w:lineRule="auto"/>
              <w:jc w:val="both"/>
              <w:rPr>
                <w:rFonts w:ascii="Arial" w:eastAsia="Times New Roman" w:hAnsi="Arial" w:cs="Times New Roman"/>
                <w:kern w:val="22"/>
                <w:sz w:val="20"/>
                <w:szCs w:val="20"/>
              </w:rPr>
            </w:pPr>
            <w:r w:rsidRPr="00933DAC">
              <w:rPr>
                <w:rFonts w:ascii="Arial" w:eastAsia="Times New Roman" w:hAnsi="Arial" w:cs="Times New Roman"/>
                <w:kern w:val="22"/>
                <w:sz w:val="20"/>
                <w:szCs w:val="20"/>
              </w:rPr>
              <w:t>3rd Quartile Settlement</w:t>
            </w:r>
          </w:p>
        </w:tc>
        <w:tc>
          <w:tcPr>
            <w:tcW w:w="1862" w:type="dxa"/>
            <w:tcBorders>
              <w:top w:val="single" w:sz="4" w:space="0" w:color="808080"/>
              <w:left w:val="nil"/>
              <w:bottom w:val="single" w:sz="4" w:space="0" w:color="808080"/>
              <w:right w:val="nil"/>
            </w:tcBorders>
            <w:shd w:val="clear" w:color="auto" w:fill="auto"/>
            <w:tcMar>
              <w:top w:w="72" w:type="dxa"/>
              <w:left w:w="115" w:type="dxa"/>
              <w:bottom w:w="72" w:type="dxa"/>
              <w:right w:w="115" w:type="dxa"/>
            </w:tcMar>
            <w:vAlign w:val="center"/>
          </w:tcPr>
          <w:p w14:paraId="4B7E8902" w14:textId="77777777" w:rsidR="00DB38FC" w:rsidRPr="00933DAC" w:rsidRDefault="00DB38FC" w:rsidP="00363B3B">
            <w:pPr>
              <w:spacing w:after="0" w:line="240" w:lineRule="auto"/>
              <w:jc w:val="center"/>
              <w:rPr>
                <w:rFonts w:ascii="Arial" w:eastAsia="Times New Roman" w:hAnsi="Arial" w:cs="Times New Roman"/>
                <w:kern w:val="22"/>
                <w:sz w:val="20"/>
                <w:szCs w:val="20"/>
              </w:rPr>
            </w:pPr>
            <w:r>
              <w:rPr>
                <w:rFonts w:ascii="Arial" w:eastAsia="Times New Roman" w:hAnsi="Arial" w:cs="Times New Roman"/>
                <w:kern w:val="22"/>
                <w:sz w:val="20"/>
                <w:szCs w:val="20"/>
              </w:rPr>
              <w:t>2.0</w:t>
            </w:r>
            <w:r w:rsidRPr="00933DAC">
              <w:rPr>
                <w:rFonts w:ascii="Arial" w:eastAsia="Times New Roman" w:hAnsi="Arial" w:cs="Times New Roman"/>
                <w:kern w:val="22"/>
                <w:sz w:val="20"/>
                <w:szCs w:val="20"/>
              </w:rPr>
              <w:t>%</w:t>
            </w:r>
          </w:p>
        </w:tc>
        <w:tc>
          <w:tcPr>
            <w:tcW w:w="3420" w:type="dxa"/>
            <w:tcBorders>
              <w:top w:val="single" w:sz="4" w:space="0" w:color="808080"/>
              <w:left w:val="nil"/>
              <w:bottom w:val="single" w:sz="4" w:space="0" w:color="808080"/>
              <w:right w:val="nil"/>
            </w:tcBorders>
            <w:shd w:val="clear" w:color="auto" w:fill="auto"/>
            <w:tcMar>
              <w:top w:w="72" w:type="dxa"/>
              <w:left w:w="115" w:type="dxa"/>
              <w:bottom w:w="72" w:type="dxa"/>
              <w:right w:w="115" w:type="dxa"/>
            </w:tcMar>
            <w:vAlign w:val="center"/>
          </w:tcPr>
          <w:p w14:paraId="505ADEC1" w14:textId="77777777" w:rsidR="00DB38FC" w:rsidRPr="005E29A4" w:rsidRDefault="00DB38FC" w:rsidP="00363B3B">
            <w:pPr>
              <w:spacing w:after="0" w:line="240" w:lineRule="auto"/>
              <w:ind w:left="612"/>
              <w:jc w:val="center"/>
              <w:rPr>
                <w:rFonts w:ascii="Arial" w:eastAsia="Times New Roman" w:hAnsi="Arial" w:cs="Times New Roman"/>
                <w:kern w:val="22"/>
                <w:sz w:val="20"/>
                <w:szCs w:val="20"/>
              </w:rPr>
            </w:pPr>
            <w:r w:rsidRPr="005E29A4">
              <w:rPr>
                <w:rFonts w:ascii="Arial" w:eastAsia="Times New Roman" w:hAnsi="Arial" w:cs="Times New Roman"/>
                <w:kern w:val="22"/>
                <w:sz w:val="20"/>
                <w:szCs w:val="20"/>
              </w:rPr>
              <w:t>$</w:t>
            </w:r>
            <w:r>
              <w:rPr>
                <w:rFonts w:ascii="Arial" w:eastAsia="Times New Roman" w:hAnsi="Arial" w:cs="Times New Roman"/>
                <w:kern w:val="22"/>
                <w:sz w:val="20"/>
                <w:szCs w:val="20"/>
              </w:rPr>
              <w:t>12</w:t>
            </w:r>
            <w:r w:rsidRPr="005E29A4">
              <w:rPr>
                <w:rFonts w:ascii="Arial" w:eastAsia="Times New Roman" w:hAnsi="Arial" w:cs="Times New Roman"/>
                <w:kern w:val="22"/>
                <w:sz w:val="20"/>
                <w:szCs w:val="20"/>
              </w:rPr>
              <w:t>.</w:t>
            </w:r>
            <w:r>
              <w:rPr>
                <w:rFonts w:ascii="Arial" w:eastAsia="Times New Roman" w:hAnsi="Arial" w:cs="Times New Roman"/>
                <w:kern w:val="22"/>
                <w:sz w:val="20"/>
                <w:szCs w:val="20"/>
              </w:rPr>
              <w:t>0</w:t>
            </w:r>
            <w:r w:rsidRPr="005E29A4">
              <w:rPr>
                <w:rFonts w:ascii="Arial" w:eastAsia="Times New Roman" w:hAnsi="Arial" w:cs="Times New Roman"/>
                <w:kern w:val="22"/>
                <w:sz w:val="20"/>
                <w:szCs w:val="20"/>
              </w:rPr>
              <w:t>M</w:t>
            </w:r>
          </w:p>
        </w:tc>
      </w:tr>
      <w:tr w:rsidR="00DB38FC" w:rsidRPr="00933DAC" w14:paraId="17C8B51D" w14:textId="77777777" w:rsidTr="00363B3B">
        <w:trPr>
          <w:trHeight w:val="285"/>
          <w:jc w:val="center"/>
        </w:trPr>
        <w:tc>
          <w:tcPr>
            <w:tcW w:w="2638" w:type="dxa"/>
            <w:tcBorders>
              <w:top w:val="single" w:sz="4" w:space="0" w:color="808080"/>
              <w:left w:val="nil"/>
              <w:bottom w:val="single" w:sz="4" w:space="0" w:color="808080"/>
              <w:right w:val="nil"/>
            </w:tcBorders>
            <w:shd w:val="clear" w:color="auto" w:fill="auto"/>
            <w:tcMar>
              <w:top w:w="72" w:type="dxa"/>
              <w:left w:w="115" w:type="dxa"/>
              <w:bottom w:w="72" w:type="dxa"/>
              <w:right w:w="115" w:type="dxa"/>
            </w:tcMar>
            <w:vAlign w:val="center"/>
          </w:tcPr>
          <w:p w14:paraId="7A47D36A" w14:textId="77777777" w:rsidR="00DB38FC" w:rsidRPr="00933DAC" w:rsidRDefault="00DB38FC" w:rsidP="00363B3B">
            <w:pPr>
              <w:spacing w:after="0" w:line="240" w:lineRule="auto"/>
              <w:jc w:val="both"/>
              <w:rPr>
                <w:rFonts w:ascii="Arial" w:eastAsia="Times New Roman" w:hAnsi="Arial" w:cs="Times New Roman"/>
                <w:kern w:val="22"/>
                <w:sz w:val="20"/>
                <w:szCs w:val="20"/>
              </w:rPr>
            </w:pPr>
            <w:r w:rsidRPr="00933DAC">
              <w:rPr>
                <w:rFonts w:ascii="Arial" w:eastAsia="Times New Roman" w:hAnsi="Arial" w:cs="Times New Roman"/>
                <w:kern w:val="22"/>
                <w:sz w:val="20"/>
                <w:szCs w:val="20"/>
              </w:rPr>
              <w:t>90</w:t>
            </w:r>
            <w:r w:rsidRPr="00933DAC">
              <w:rPr>
                <w:rFonts w:ascii="Arial" w:eastAsia="Times New Roman" w:hAnsi="Arial" w:cs="Times New Roman"/>
                <w:kern w:val="22"/>
                <w:sz w:val="20"/>
                <w:szCs w:val="20"/>
                <w:vertAlign w:val="superscript"/>
              </w:rPr>
              <w:t>th</w:t>
            </w:r>
            <w:r w:rsidRPr="00933DAC">
              <w:rPr>
                <w:rFonts w:ascii="Arial" w:eastAsia="Times New Roman" w:hAnsi="Arial" w:cs="Times New Roman"/>
                <w:kern w:val="22"/>
                <w:sz w:val="20"/>
                <w:szCs w:val="20"/>
              </w:rPr>
              <w:t xml:space="preserve"> Percentile Settlement</w:t>
            </w:r>
          </w:p>
        </w:tc>
        <w:tc>
          <w:tcPr>
            <w:tcW w:w="1862" w:type="dxa"/>
            <w:tcBorders>
              <w:top w:val="single" w:sz="4" w:space="0" w:color="808080"/>
              <w:left w:val="nil"/>
              <w:bottom w:val="single" w:sz="4" w:space="0" w:color="808080"/>
              <w:right w:val="nil"/>
            </w:tcBorders>
            <w:shd w:val="clear" w:color="auto" w:fill="auto"/>
            <w:tcMar>
              <w:top w:w="72" w:type="dxa"/>
              <w:left w:w="115" w:type="dxa"/>
              <w:bottom w:w="72" w:type="dxa"/>
              <w:right w:w="115" w:type="dxa"/>
            </w:tcMar>
            <w:vAlign w:val="center"/>
          </w:tcPr>
          <w:p w14:paraId="30868AC3" w14:textId="77777777" w:rsidR="00DB38FC" w:rsidRPr="00933DAC" w:rsidRDefault="00DB38FC" w:rsidP="00363B3B">
            <w:pPr>
              <w:spacing w:after="0" w:line="240" w:lineRule="auto"/>
              <w:jc w:val="center"/>
              <w:rPr>
                <w:rFonts w:ascii="Arial" w:eastAsia="Times New Roman" w:hAnsi="Arial" w:cs="Times New Roman"/>
                <w:kern w:val="22"/>
                <w:sz w:val="20"/>
                <w:szCs w:val="20"/>
              </w:rPr>
            </w:pPr>
            <w:r>
              <w:rPr>
                <w:rFonts w:ascii="Arial" w:eastAsia="Times New Roman" w:hAnsi="Arial" w:cs="Times New Roman"/>
                <w:kern w:val="22"/>
                <w:sz w:val="20"/>
                <w:szCs w:val="20"/>
              </w:rPr>
              <w:t>3.6</w:t>
            </w:r>
            <w:r w:rsidRPr="00933DAC">
              <w:rPr>
                <w:rFonts w:ascii="Arial" w:eastAsia="Times New Roman" w:hAnsi="Arial" w:cs="Times New Roman"/>
                <w:kern w:val="22"/>
                <w:sz w:val="20"/>
                <w:szCs w:val="20"/>
              </w:rPr>
              <w:t>%</w:t>
            </w:r>
          </w:p>
        </w:tc>
        <w:tc>
          <w:tcPr>
            <w:tcW w:w="3420" w:type="dxa"/>
            <w:tcBorders>
              <w:top w:val="single" w:sz="4" w:space="0" w:color="808080"/>
              <w:left w:val="nil"/>
              <w:bottom w:val="single" w:sz="4" w:space="0" w:color="808080"/>
              <w:right w:val="nil"/>
            </w:tcBorders>
            <w:shd w:val="clear" w:color="auto" w:fill="auto"/>
            <w:tcMar>
              <w:top w:w="72" w:type="dxa"/>
              <w:left w:w="115" w:type="dxa"/>
              <w:bottom w:w="72" w:type="dxa"/>
              <w:right w:w="115" w:type="dxa"/>
            </w:tcMar>
            <w:vAlign w:val="center"/>
          </w:tcPr>
          <w:p w14:paraId="34861B0E" w14:textId="77777777" w:rsidR="00DB38FC" w:rsidRPr="005E29A4" w:rsidRDefault="00DB38FC" w:rsidP="00363B3B">
            <w:pPr>
              <w:spacing w:after="0" w:line="240" w:lineRule="auto"/>
              <w:ind w:left="612"/>
              <w:jc w:val="center"/>
              <w:rPr>
                <w:rFonts w:ascii="Arial" w:eastAsia="Times New Roman" w:hAnsi="Arial" w:cs="Times New Roman"/>
                <w:kern w:val="22"/>
                <w:sz w:val="20"/>
                <w:szCs w:val="20"/>
              </w:rPr>
            </w:pPr>
            <w:r w:rsidRPr="005E29A4">
              <w:rPr>
                <w:rFonts w:ascii="Arial" w:eastAsia="Times New Roman" w:hAnsi="Arial" w:cs="Times New Roman"/>
                <w:kern w:val="22"/>
                <w:sz w:val="20"/>
                <w:szCs w:val="20"/>
              </w:rPr>
              <w:t>$2</w:t>
            </w:r>
            <w:r>
              <w:rPr>
                <w:rFonts w:ascii="Arial" w:eastAsia="Times New Roman" w:hAnsi="Arial" w:cs="Times New Roman"/>
                <w:kern w:val="22"/>
                <w:sz w:val="20"/>
                <w:szCs w:val="20"/>
              </w:rPr>
              <w:t>1</w:t>
            </w:r>
            <w:r w:rsidRPr="005E29A4">
              <w:rPr>
                <w:rFonts w:ascii="Arial" w:eastAsia="Times New Roman" w:hAnsi="Arial" w:cs="Times New Roman"/>
                <w:kern w:val="22"/>
                <w:sz w:val="20"/>
                <w:szCs w:val="20"/>
              </w:rPr>
              <w:t>.</w:t>
            </w:r>
            <w:r>
              <w:rPr>
                <w:rFonts w:ascii="Arial" w:eastAsia="Times New Roman" w:hAnsi="Arial" w:cs="Times New Roman"/>
                <w:kern w:val="22"/>
                <w:sz w:val="20"/>
                <w:szCs w:val="20"/>
              </w:rPr>
              <w:t>6</w:t>
            </w:r>
            <w:r w:rsidRPr="005E29A4">
              <w:rPr>
                <w:rFonts w:ascii="Arial" w:eastAsia="Times New Roman" w:hAnsi="Arial" w:cs="Times New Roman"/>
                <w:kern w:val="22"/>
                <w:sz w:val="20"/>
                <w:szCs w:val="20"/>
              </w:rPr>
              <w:t>M</w:t>
            </w:r>
          </w:p>
        </w:tc>
      </w:tr>
      <w:tr w:rsidR="00DB38FC" w:rsidRPr="00933DAC" w14:paraId="616B0DA7" w14:textId="77777777" w:rsidTr="00363B3B">
        <w:trPr>
          <w:trHeight w:val="285"/>
          <w:jc w:val="center"/>
        </w:trPr>
        <w:tc>
          <w:tcPr>
            <w:tcW w:w="7920" w:type="dxa"/>
            <w:gridSpan w:val="3"/>
            <w:tcBorders>
              <w:top w:val="single" w:sz="4" w:space="0" w:color="808080"/>
              <w:left w:val="nil"/>
              <w:bottom w:val="single" w:sz="4" w:space="0" w:color="auto"/>
              <w:right w:val="nil"/>
            </w:tcBorders>
            <w:shd w:val="clear" w:color="auto" w:fill="auto"/>
            <w:tcMar>
              <w:top w:w="72" w:type="dxa"/>
              <w:left w:w="115" w:type="dxa"/>
              <w:bottom w:w="72" w:type="dxa"/>
              <w:right w:w="115" w:type="dxa"/>
            </w:tcMar>
            <w:vAlign w:val="center"/>
          </w:tcPr>
          <w:p w14:paraId="09D8E8E3" w14:textId="77777777" w:rsidR="00DB38FC" w:rsidRPr="00933DAC" w:rsidRDefault="00DB38FC" w:rsidP="00363B3B">
            <w:pPr>
              <w:spacing w:after="0" w:line="240" w:lineRule="auto"/>
              <w:jc w:val="center"/>
              <w:rPr>
                <w:rFonts w:ascii="Arial" w:eastAsia="Times New Roman" w:hAnsi="Arial" w:cs="Times New Roman"/>
                <w:b/>
                <w:smallCaps/>
                <w:kern w:val="22"/>
                <w:sz w:val="20"/>
                <w:szCs w:val="20"/>
              </w:rPr>
            </w:pPr>
            <w:r w:rsidRPr="00933DAC">
              <w:rPr>
                <w:rFonts w:ascii="Arial" w:eastAsia="Times New Roman" w:hAnsi="Arial" w:cs="Times New Roman"/>
                <w:b/>
                <w:smallCaps/>
                <w:sz w:val="20"/>
                <w:szCs w:val="20"/>
              </w:rPr>
              <w:t>Settlement Range: Minimum</w:t>
            </w:r>
            <w:r w:rsidRPr="00933DAC">
              <w:rPr>
                <w:rFonts w:ascii="Arial" w:eastAsia="Times New Roman" w:hAnsi="Arial" w:cs="Times New Roman"/>
                <w:b/>
                <w:smallCaps/>
                <w:color w:val="0046AD"/>
                <w:sz w:val="20"/>
                <w:szCs w:val="20"/>
              </w:rPr>
              <w:t xml:space="preserve"> </w:t>
            </w:r>
            <w:r w:rsidRPr="00933DAC">
              <w:rPr>
                <w:rFonts w:ascii="Arial" w:eastAsia="Times New Roman" w:hAnsi="Arial" w:cs="Times New Roman"/>
                <w:b/>
                <w:smallCaps/>
                <w:color w:val="0067B1"/>
                <w:sz w:val="20"/>
                <w:szCs w:val="20"/>
              </w:rPr>
              <w:t>$</w:t>
            </w:r>
            <w:r>
              <w:rPr>
                <w:rFonts w:ascii="Arial" w:eastAsia="Times New Roman" w:hAnsi="Arial" w:cs="Times New Roman"/>
                <w:b/>
                <w:smallCaps/>
                <w:color w:val="0067B1"/>
                <w:sz w:val="20"/>
                <w:szCs w:val="20"/>
              </w:rPr>
              <w:t>700</w:t>
            </w:r>
            <w:r w:rsidRPr="00933DAC">
              <w:rPr>
                <w:rFonts w:ascii="Arial" w:eastAsia="Times New Roman" w:hAnsi="Arial" w:cs="Times New Roman"/>
                <w:b/>
                <w:smallCaps/>
                <w:color w:val="0067B1"/>
                <w:sz w:val="20"/>
                <w:szCs w:val="20"/>
              </w:rPr>
              <w:t xml:space="preserve">,000  </w:t>
            </w:r>
            <w:r w:rsidRPr="00933DAC">
              <w:rPr>
                <w:rFonts w:ascii="Arial" w:eastAsia="Times New Roman" w:hAnsi="Arial" w:cs="Times New Roman"/>
                <w:b/>
                <w:smallCaps/>
                <w:sz w:val="20"/>
                <w:szCs w:val="20"/>
              </w:rPr>
              <w:t>Maximum:</w:t>
            </w:r>
            <w:r w:rsidRPr="00933DAC">
              <w:rPr>
                <w:rFonts w:ascii="Arial" w:eastAsia="Times New Roman" w:hAnsi="Arial" w:cs="Times New Roman"/>
                <w:b/>
                <w:smallCaps/>
                <w:color w:val="006666"/>
                <w:sz w:val="20"/>
                <w:szCs w:val="20"/>
              </w:rPr>
              <w:t xml:space="preserve"> </w:t>
            </w:r>
            <w:r w:rsidRPr="00933DAC">
              <w:rPr>
                <w:rFonts w:ascii="Arial" w:eastAsia="Times New Roman" w:hAnsi="Arial" w:cs="Times New Roman"/>
                <w:b/>
                <w:smallCaps/>
                <w:color w:val="0067B1"/>
                <w:sz w:val="20"/>
                <w:szCs w:val="20"/>
              </w:rPr>
              <w:t>$</w:t>
            </w:r>
            <w:r>
              <w:rPr>
                <w:rFonts w:ascii="Arial" w:eastAsia="Times New Roman" w:hAnsi="Arial" w:cs="Times New Roman"/>
                <w:b/>
                <w:smallCaps/>
                <w:color w:val="0067B1"/>
                <w:sz w:val="20"/>
                <w:szCs w:val="20"/>
              </w:rPr>
              <w:t xml:space="preserve">220 </w:t>
            </w:r>
            <w:r w:rsidRPr="00933DAC">
              <w:rPr>
                <w:rFonts w:ascii="Arial" w:eastAsia="Times New Roman" w:hAnsi="Arial" w:cs="Times New Roman"/>
                <w:b/>
                <w:smallCaps/>
                <w:color w:val="0067B1"/>
                <w:sz w:val="20"/>
                <w:szCs w:val="20"/>
              </w:rPr>
              <w:t>million</w:t>
            </w:r>
          </w:p>
        </w:tc>
      </w:tr>
    </w:tbl>
    <w:p w14:paraId="62F79A8E" w14:textId="7105C27F" w:rsidR="00DB38FC" w:rsidRPr="00933DAC" w:rsidRDefault="00DB38FC" w:rsidP="00DB38FC">
      <w:pPr>
        <w:spacing w:before="120" w:after="0" w:line="240" w:lineRule="auto"/>
        <w:ind w:left="547"/>
        <w:jc w:val="both"/>
        <w:rPr>
          <w:rFonts w:ascii="Arial" w:eastAsia="Times New Roman" w:hAnsi="Arial" w:cs="Times New Roman"/>
          <w:i/>
          <w:color w:val="404040"/>
          <w:sz w:val="16"/>
          <w:szCs w:val="24"/>
        </w:rPr>
      </w:pPr>
      <w:r>
        <w:rPr>
          <w:rFonts w:ascii="Arial" w:eastAsia="Times New Roman" w:hAnsi="Arial" w:cs="Times New Roman"/>
          <w:i/>
          <w:color w:val="404040"/>
          <w:sz w:val="16"/>
          <w:szCs w:val="24"/>
        </w:rPr>
        <w:t>Source: Proprietary 202</w:t>
      </w:r>
      <w:r w:rsidR="00B9461B">
        <w:rPr>
          <w:rFonts w:ascii="Arial" w:eastAsia="Times New Roman" w:hAnsi="Arial" w:cs="Times New Roman"/>
          <w:i/>
          <w:color w:val="404040"/>
          <w:sz w:val="16"/>
          <w:szCs w:val="24"/>
        </w:rPr>
        <w:t>1</w:t>
      </w:r>
      <w:r w:rsidRPr="00933DAC">
        <w:rPr>
          <w:rFonts w:ascii="Arial" w:eastAsia="Times New Roman" w:hAnsi="Arial" w:cs="Times New Roman"/>
          <w:i/>
          <w:color w:val="404040"/>
          <w:sz w:val="16"/>
          <w:szCs w:val="24"/>
        </w:rPr>
        <w:t xml:space="preserve"> Analysis Project performed for RT ProExec by Cornerstone Research</w:t>
      </w:r>
    </w:p>
    <w:p w14:paraId="4FF12016" w14:textId="77777777" w:rsidR="00DB38FC" w:rsidRPr="00933DAC" w:rsidRDefault="00DB38FC" w:rsidP="00DB38FC">
      <w:pPr>
        <w:pStyle w:val="OBISSubhead2"/>
        <w:outlineLvl w:val="0"/>
        <w:rPr>
          <w:b/>
          <w:color w:val="auto"/>
        </w:rPr>
      </w:pPr>
    </w:p>
    <w:p w14:paraId="7068D869" w14:textId="77777777" w:rsidR="00DB38FC" w:rsidRPr="00933DAC" w:rsidRDefault="00DB38FC" w:rsidP="00DB38FC">
      <w:pPr>
        <w:pStyle w:val="OBISSubhead2"/>
        <w:outlineLvl w:val="0"/>
        <w:rPr>
          <w:i w:val="0"/>
          <w:color w:val="0067B1"/>
        </w:rPr>
      </w:pPr>
      <w:r w:rsidRPr="00F748B9">
        <w:rPr>
          <w:i w:val="0"/>
          <w:color w:val="0067B1"/>
        </w:rPr>
        <w:t>Shareholder Class Action Settlements</w:t>
      </w:r>
    </w:p>
    <w:p w14:paraId="01432DFB" w14:textId="77777777" w:rsidR="00DB38FC" w:rsidRPr="00933DAC" w:rsidRDefault="00DB38FC" w:rsidP="00DB38FC">
      <w:pPr>
        <w:rPr>
          <w:rFonts w:ascii="Arial" w:hAnsi="Arial"/>
          <w:i/>
          <w:color w:val="0067B1"/>
        </w:rPr>
      </w:pPr>
      <w:r w:rsidRPr="00933DAC">
        <w:rPr>
          <w:rFonts w:ascii="Arial" w:hAnsi="Arial"/>
          <w:i/>
          <w:color w:val="0067B1"/>
        </w:rPr>
        <w:t>(By market capitalization at start of class period)</w:t>
      </w:r>
    </w:p>
    <w:p w14:paraId="0947B726" w14:textId="77777777" w:rsidR="00DB38FC" w:rsidRPr="00933DAC" w:rsidRDefault="00DB38FC" w:rsidP="00DB38FC">
      <w:pPr>
        <w:rPr>
          <w:rFonts w:ascii="Arial" w:hAnsi="Arial"/>
          <w:i/>
        </w:rPr>
      </w:pPr>
      <w:r>
        <w:rPr>
          <w:noProof/>
        </w:rPr>
        <w:drawing>
          <wp:inline distT="0" distB="0" distL="0" distR="0" wp14:anchorId="17468076" wp14:editId="06BAEC3D">
            <wp:extent cx="5875020" cy="2378602"/>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rket_cap_1B-2-5B_2018.png"/>
                    <pic:cNvPicPr/>
                  </pic:nvPicPr>
                  <pic:blipFill rotWithShape="1">
                    <a:blip r:embed="rId57" cstate="print">
                      <a:extLst>
                        <a:ext uri="{28A0092B-C50C-407E-A947-70E740481C1C}">
                          <a14:useLocalDpi xmlns:a14="http://schemas.microsoft.com/office/drawing/2010/main" val="0"/>
                        </a:ext>
                      </a:extLst>
                    </a:blip>
                    <a:srcRect t="18273"/>
                    <a:stretch/>
                  </pic:blipFill>
                  <pic:spPr bwMode="auto">
                    <a:xfrm>
                      <a:off x="0" y="0"/>
                      <a:ext cx="5899816" cy="2388641"/>
                    </a:xfrm>
                    <a:prstGeom prst="rect">
                      <a:avLst/>
                    </a:prstGeom>
                    <a:ln>
                      <a:noFill/>
                    </a:ln>
                    <a:extLst>
                      <a:ext uri="{53640926-AAD7-44D8-BBD7-CCE9431645EC}">
                        <a14:shadowObscured xmlns:a14="http://schemas.microsoft.com/office/drawing/2010/main"/>
                      </a:ext>
                    </a:extLst>
                  </pic:spPr>
                </pic:pic>
              </a:graphicData>
            </a:graphic>
          </wp:inline>
        </w:drawing>
      </w:r>
    </w:p>
    <w:p w14:paraId="1F49F2CB" w14:textId="77777777" w:rsidR="00DB38FC" w:rsidRPr="00933DAC" w:rsidRDefault="00DB38FC" w:rsidP="00DB38FC">
      <w:pPr>
        <w:spacing w:line="360" w:lineRule="auto"/>
        <w:ind w:left="-540" w:firstLine="540"/>
        <w:rPr>
          <w:rFonts w:ascii="Arial" w:hAnsi="Arial"/>
          <w:i/>
          <w:sz w:val="16"/>
          <w:szCs w:val="16"/>
        </w:rPr>
      </w:pPr>
      <w:r>
        <w:rPr>
          <w:rFonts w:ascii="Arial" w:hAnsi="Arial"/>
          <w:i/>
          <w:sz w:val="16"/>
          <w:szCs w:val="16"/>
        </w:rPr>
        <w:t>Source: Proprietary 2021</w:t>
      </w:r>
      <w:r w:rsidRPr="00933DAC">
        <w:rPr>
          <w:rFonts w:ascii="Arial" w:hAnsi="Arial"/>
          <w:i/>
          <w:sz w:val="16"/>
          <w:szCs w:val="16"/>
        </w:rPr>
        <w:t xml:space="preserve"> Analysis Project performed for RT ProExec by Cornerstone Research</w:t>
      </w:r>
    </w:p>
    <w:p w14:paraId="72F40762" w14:textId="77777777" w:rsidR="00DB38FC" w:rsidRDefault="00DB38FC" w:rsidP="00DB38FC">
      <w:pPr>
        <w:rPr>
          <w:i/>
          <w:color w:val="0067B1"/>
        </w:rPr>
      </w:pPr>
      <w:r>
        <w:rPr>
          <w:i/>
          <w:color w:val="0067B1"/>
        </w:rPr>
        <w:br w:type="page"/>
      </w:r>
    </w:p>
    <w:p w14:paraId="16CC348D" w14:textId="77777777" w:rsidR="00DB38FC" w:rsidRDefault="00DB38FC" w:rsidP="00DB38FC">
      <w:pPr>
        <w:pStyle w:val="OBISSubhead2"/>
        <w:outlineLvl w:val="0"/>
        <w:rPr>
          <w:i w:val="0"/>
          <w:color w:val="0067B1"/>
        </w:rPr>
      </w:pPr>
      <w:r>
        <w:rPr>
          <w:i w:val="0"/>
          <w:color w:val="0067B1"/>
        </w:rPr>
        <w:lastRenderedPageBreak/>
        <w:t xml:space="preserve">Median </w:t>
      </w:r>
      <w:r w:rsidRPr="00933DAC">
        <w:rPr>
          <w:i w:val="0"/>
          <w:color w:val="0067B1"/>
        </w:rPr>
        <w:t>Shareholder Class Action Settlements</w:t>
      </w:r>
      <w:r>
        <w:rPr>
          <w:i w:val="0"/>
          <w:color w:val="0067B1"/>
        </w:rPr>
        <w:t xml:space="preserve"> </w:t>
      </w:r>
    </w:p>
    <w:p w14:paraId="3308BD58" w14:textId="77777777" w:rsidR="00DB38FC" w:rsidRPr="00AA0FDF" w:rsidRDefault="00DB38FC" w:rsidP="00DB38FC">
      <w:pPr>
        <w:pStyle w:val="OBISSubhead2"/>
        <w:outlineLvl w:val="0"/>
        <w:rPr>
          <w:i w:val="0"/>
          <w:color w:val="0067B1"/>
          <w:szCs w:val="22"/>
        </w:rPr>
      </w:pPr>
      <w:r w:rsidRPr="00AA0FDF">
        <w:rPr>
          <w:smallCaps w:val="0"/>
          <w:color w:val="0067B1"/>
          <w:szCs w:val="22"/>
        </w:rPr>
        <w:t>(As a Percentage of NERA Defined Investor Losses* by Level of Investor Losses, December 2012-December 2021</w:t>
      </w:r>
      <w:r w:rsidRPr="00AA0FDF">
        <w:rPr>
          <w:color w:val="0067B1"/>
          <w:szCs w:val="22"/>
        </w:rPr>
        <w:t>)</w:t>
      </w:r>
    </w:p>
    <w:p w14:paraId="7154B4AE" w14:textId="77777777" w:rsidR="00DB38FC" w:rsidRPr="00CF3D35" w:rsidRDefault="00DB38FC" w:rsidP="00DB38FC">
      <w:pPr>
        <w:rPr>
          <w:rFonts w:ascii="Arial" w:hAnsi="Arial" w:cs="Arial"/>
          <w:iCs/>
          <w:color w:val="0067B1"/>
        </w:rPr>
      </w:pPr>
    </w:p>
    <w:p w14:paraId="59A45DA3" w14:textId="77777777" w:rsidR="00DB38FC" w:rsidRPr="00CF3D35" w:rsidRDefault="00DB38FC" w:rsidP="00DB38FC">
      <w:pPr>
        <w:rPr>
          <w:rFonts w:ascii="Arial" w:hAnsi="Arial" w:cs="Arial"/>
          <w:iCs/>
          <w:color w:val="0067B1"/>
        </w:rPr>
      </w:pPr>
    </w:p>
    <w:p w14:paraId="11A91BBF" w14:textId="77777777" w:rsidR="00DB38FC" w:rsidRPr="00CF3D35" w:rsidRDefault="00DB38FC" w:rsidP="00DB38FC">
      <w:pPr>
        <w:rPr>
          <w:rFonts w:ascii="Arial" w:hAnsi="Arial" w:cs="Arial"/>
          <w:iCs/>
          <w:color w:val="0067B1"/>
        </w:rPr>
      </w:pPr>
      <w:r>
        <w:rPr>
          <w:noProof/>
        </w:rPr>
        <w:drawing>
          <wp:inline distT="0" distB="0" distL="0" distR="0" wp14:anchorId="4C058A92" wp14:editId="0BA1D58A">
            <wp:extent cx="5943600" cy="36461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646170"/>
                    </a:xfrm>
                    <a:prstGeom prst="rect">
                      <a:avLst/>
                    </a:prstGeom>
                  </pic:spPr>
                </pic:pic>
              </a:graphicData>
            </a:graphic>
          </wp:inline>
        </w:drawing>
      </w:r>
    </w:p>
    <w:p w14:paraId="1F9A2696" w14:textId="77777777" w:rsidR="00DB38FC" w:rsidRPr="0028299A" w:rsidRDefault="00DB38FC" w:rsidP="00DB38FC">
      <w:pPr>
        <w:spacing w:after="0"/>
        <w:jc w:val="center"/>
        <w:rPr>
          <w:rFonts w:ascii="CIDFont+F3" w:hAnsi="CIDFont+F3" w:cs="CIDFont+F3"/>
          <w:i/>
          <w:iCs/>
          <w:sz w:val="16"/>
          <w:szCs w:val="16"/>
        </w:rPr>
      </w:pPr>
      <w:r w:rsidRPr="0028299A">
        <w:rPr>
          <w:rFonts w:ascii="CIDFont+F3" w:hAnsi="CIDFont+F3" w:cs="CIDFont+F3"/>
          <w:i/>
          <w:iCs/>
          <w:sz w:val="16"/>
          <w:szCs w:val="16"/>
        </w:rPr>
        <w:t>Source: Nera Economic Consulting</w:t>
      </w:r>
    </w:p>
    <w:p w14:paraId="77C704CE" w14:textId="77777777" w:rsidR="00DB38FC" w:rsidRPr="00CF3D35" w:rsidRDefault="00DB38FC" w:rsidP="00DB38FC">
      <w:pPr>
        <w:rPr>
          <w:iCs/>
          <w:color w:val="0067B1"/>
        </w:rPr>
      </w:pPr>
    </w:p>
    <w:p w14:paraId="29105B82" w14:textId="77777777" w:rsidR="00DB38FC" w:rsidRDefault="00DB38FC" w:rsidP="00DB38FC">
      <w:pPr>
        <w:spacing w:after="120" w:line="360" w:lineRule="auto"/>
        <w:jc w:val="both"/>
        <w:rPr>
          <w:rFonts w:ascii="Arial" w:hAnsi="Arial" w:cs="Arial"/>
          <w:noProof/>
        </w:rPr>
      </w:pPr>
      <w:r>
        <w:rPr>
          <w:rFonts w:ascii="Arial" w:hAnsi="Arial" w:cs="Arial"/>
          <w:noProof/>
        </w:rPr>
        <w:t>*NERA D</w:t>
      </w:r>
      <w:r w:rsidRPr="00EF5050">
        <w:rPr>
          <w:rFonts w:ascii="Arial" w:hAnsi="Arial" w:cs="Arial"/>
          <w:noProof/>
        </w:rPr>
        <w:t xml:space="preserve">efined Investor Losses is a measure of the aggregate amount that investors lost from buying </w:t>
      </w:r>
      <w:r>
        <w:rPr>
          <w:rFonts w:ascii="Arial" w:hAnsi="Arial" w:cs="Arial"/>
          <w:noProof/>
        </w:rPr>
        <w:t>a</w:t>
      </w:r>
      <w:r w:rsidRPr="00EF5050">
        <w:rPr>
          <w:rFonts w:ascii="Arial" w:hAnsi="Arial" w:cs="Arial"/>
          <w:noProof/>
        </w:rPr>
        <w:t xml:space="preserve"> defendant’s stock rather than investing in the broader market during the alleged class period. </w:t>
      </w:r>
      <w:r>
        <w:rPr>
          <w:rFonts w:ascii="Arial" w:hAnsi="Arial" w:cs="Arial"/>
          <w:noProof/>
        </w:rPr>
        <w:t xml:space="preserve"> Note that smaller cases settle for higher percentages of investor losses, and, while aggregate settlement values certaily increase as cases get larger, larger cases settle for significanltly lower percentages of shareholder losses.</w:t>
      </w:r>
    </w:p>
    <w:p w14:paraId="739349B0" w14:textId="77777777" w:rsidR="00DB38FC" w:rsidRDefault="00DB38FC" w:rsidP="00DB38FC">
      <w:pPr>
        <w:spacing w:after="120" w:line="360" w:lineRule="auto"/>
        <w:jc w:val="both"/>
        <w:rPr>
          <w:rFonts w:ascii="Arial" w:hAnsi="Arial" w:cs="Arial"/>
          <w:noProof/>
        </w:rPr>
      </w:pPr>
      <w:r>
        <w:rPr>
          <w:rFonts w:ascii="Arial" w:hAnsi="Arial" w:cs="Arial"/>
          <w:noProof/>
        </w:rPr>
        <w:t>While this data is helpful, it cannot be viewed in a vacuum as it is impossible to predict how the broader stock market will perform in a future period that coincides with a potential shareholder class action class period.</w:t>
      </w:r>
    </w:p>
    <w:p w14:paraId="747EDF5E" w14:textId="77777777" w:rsidR="00DB38FC" w:rsidRDefault="00DB38FC" w:rsidP="00DB38FC">
      <w:pPr>
        <w:rPr>
          <w:rFonts w:ascii="Arial" w:eastAsia="Times New Roman" w:hAnsi="Arial" w:cs="Times New Roman"/>
          <w:smallCaps/>
          <w:color w:val="0067B1"/>
          <w:kern w:val="22"/>
          <w:szCs w:val="24"/>
        </w:rPr>
      </w:pPr>
      <w:r>
        <w:rPr>
          <w:i/>
          <w:color w:val="0067B1"/>
        </w:rPr>
        <w:br w:type="page"/>
      </w:r>
    </w:p>
    <w:p w14:paraId="424C11DC" w14:textId="77777777" w:rsidR="00DB38FC" w:rsidRPr="00933DAC" w:rsidRDefault="00DB38FC" w:rsidP="00DB38FC">
      <w:pPr>
        <w:pStyle w:val="OBISSubhead2"/>
        <w:outlineLvl w:val="0"/>
        <w:rPr>
          <w:i w:val="0"/>
        </w:rPr>
      </w:pPr>
      <w:r w:rsidRPr="00933DAC">
        <w:rPr>
          <w:i w:val="0"/>
          <w:color w:val="0067B1"/>
        </w:rPr>
        <w:lastRenderedPageBreak/>
        <w:t xml:space="preserve">Regarding Notes and Preferred Stock </w:t>
      </w:r>
    </w:p>
    <w:p w14:paraId="7B55F05F" w14:textId="77777777" w:rsidR="00DB38FC" w:rsidRPr="00933DAC" w:rsidRDefault="00DB38FC" w:rsidP="00DB38FC">
      <w:pPr>
        <w:spacing w:after="120" w:line="360" w:lineRule="auto"/>
        <w:jc w:val="both"/>
        <w:rPr>
          <w:rFonts w:ascii="Arial" w:hAnsi="Arial"/>
          <w:i/>
          <w:color w:val="000000"/>
          <w:kern w:val="22"/>
          <w:sz w:val="20"/>
          <w:szCs w:val="20"/>
        </w:rPr>
      </w:pPr>
      <w:r w:rsidRPr="00933DAC">
        <w:rPr>
          <w:noProof/>
        </w:rPr>
        <w:drawing>
          <wp:anchor distT="0" distB="0" distL="114300" distR="114300" simplePos="0" relativeHeight="251804672" behindDoc="1" locked="0" layoutInCell="1" allowOverlap="1" wp14:anchorId="5A89C215" wp14:editId="71E78D3F">
            <wp:simplePos x="0" y="0"/>
            <wp:positionH relativeFrom="column">
              <wp:posOffset>5118100</wp:posOffset>
            </wp:positionH>
            <wp:positionV relativeFrom="paragraph">
              <wp:posOffset>29210</wp:posOffset>
            </wp:positionV>
            <wp:extent cx="887095" cy="887095"/>
            <wp:effectExtent l="0" t="0" r="8255" b="8255"/>
            <wp:wrapTight wrapText="bothSides">
              <wp:wrapPolygon edited="0">
                <wp:start x="0" y="0"/>
                <wp:lineTo x="0" y="21337"/>
                <wp:lineTo x="21337" y="21337"/>
                <wp:lineTo x="21337" y="0"/>
                <wp:lineTo x="0" y="0"/>
              </wp:wrapPolygon>
            </wp:wrapTight>
            <wp:docPr id="28" name="Picture 36" descr="INSURANCE-CARRIER_rt_121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URANCE-CARRIER_rt_121713.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887095" cy="887095"/>
                    </a:xfrm>
                    <a:prstGeom prst="rect">
                      <a:avLst/>
                    </a:prstGeom>
                  </pic:spPr>
                </pic:pic>
              </a:graphicData>
            </a:graphic>
            <wp14:sizeRelH relativeFrom="page">
              <wp14:pctWidth>0</wp14:pctWidth>
            </wp14:sizeRelH>
            <wp14:sizeRelV relativeFrom="page">
              <wp14:pctHeight>0</wp14:pctHeight>
            </wp14:sizeRelV>
          </wp:anchor>
        </w:drawing>
      </w:r>
      <w:r w:rsidRPr="00933DAC">
        <w:rPr>
          <w:rStyle w:val="OBISBodyCopyChar"/>
          <w:rFonts w:eastAsiaTheme="minorHAnsi"/>
        </w:rPr>
        <w:t>The above data projects possible loss scenarios based on losses to your common shareholders.  Generally speaking, absent a bankruptcy or other financially catastrophic situation, preferred shareholders and bondholders tend to be much less litigious than common shareholders.  However, in the event that preferred shareholders or bondholders do bring suit, their litigation can significantly impact a D&amp;O program.  Unfortunately, there are no data sources analogous to Cornerstone Research that would allow us to quantify the potential impact of suits by these securityholders, but it is important to take this issue into consideration, at least qualitatively, when deciding on the appropriate limit.</w:t>
      </w:r>
    </w:p>
    <w:p w14:paraId="2AF36958" w14:textId="77777777" w:rsidR="00DB38FC" w:rsidRPr="00933DAC" w:rsidRDefault="00DB38FC" w:rsidP="00DB38FC">
      <w:pPr>
        <w:pStyle w:val="OBISSubhead2"/>
        <w:outlineLvl w:val="0"/>
        <w:rPr>
          <w:b/>
          <w:color w:val="0067B1"/>
        </w:rPr>
      </w:pPr>
    </w:p>
    <w:p w14:paraId="571D201F" w14:textId="77777777" w:rsidR="00DB38FC" w:rsidRPr="00933DAC" w:rsidRDefault="00DB38FC" w:rsidP="00DB38FC">
      <w:pPr>
        <w:pStyle w:val="OBISSubhead2"/>
        <w:outlineLvl w:val="0"/>
        <w:rPr>
          <w:i w:val="0"/>
          <w:color w:val="0067B1"/>
        </w:rPr>
      </w:pPr>
      <w:r w:rsidRPr="00933DAC">
        <w:rPr>
          <w:i w:val="0"/>
          <w:color w:val="0067B1"/>
        </w:rPr>
        <w:t>A note on defense costs</w:t>
      </w:r>
    </w:p>
    <w:p w14:paraId="13662639" w14:textId="77777777" w:rsidR="00DB38FC" w:rsidRPr="00933DAC" w:rsidRDefault="00DB38FC" w:rsidP="00DB38FC">
      <w:pPr>
        <w:spacing w:after="120" w:line="360" w:lineRule="auto"/>
        <w:jc w:val="both"/>
        <w:rPr>
          <w:rStyle w:val="OBISBodyCopyChar"/>
          <w:rFonts w:eastAsiaTheme="minorHAnsi"/>
        </w:rPr>
      </w:pPr>
      <w:r w:rsidRPr="00933DAC">
        <w:rPr>
          <w:rStyle w:val="OBISBodyCopyChar"/>
          <w:rFonts w:eastAsiaTheme="minorHAnsi"/>
        </w:rPr>
        <w:t xml:space="preserve">It is imperative to note that the settlement value figures discussed above do not include the impact of defense costs, which are also paid from the D&amp;O policy limits.  </w:t>
      </w:r>
      <w:r>
        <w:rPr>
          <w:rStyle w:val="OBISBodyCopyChar"/>
          <w:rFonts w:eastAsiaTheme="minorHAnsi"/>
        </w:rPr>
        <w:t>Historically, s</w:t>
      </w:r>
      <w:r w:rsidRPr="00933DAC">
        <w:rPr>
          <w:rStyle w:val="OBISBodyCopyChar"/>
          <w:rFonts w:eastAsiaTheme="minorHAnsi"/>
        </w:rPr>
        <w:t xml:space="preserve">hareholder litigation experts </w:t>
      </w:r>
      <w:r>
        <w:rPr>
          <w:rStyle w:val="OBISBodyCopyChar"/>
          <w:rFonts w:eastAsiaTheme="minorHAnsi"/>
        </w:rPr>
        <w:t xml:space="preserve">warned </w:t>
      </w:r>
      <w:r w:rsidRPr="00933DAC">
        <w:rPr>
          <w:rStyle w:val="OBISBodyCopyChar"/>
          <w:rFonts w:eastAsiaTheme="minorHAnsi"/>
        </w:rPr>
        <w:t xml:space="preserve">that companies sued in shareholder class actions can expect to pay an amount equal to one third of the settlement value in defense costs.  As the rates charged by defense firms continue to increase and the complexity and costs of supplying information during discovery continues to skyrocket, we expect that defense costs will continue to increase as well.  </w:t>
      </w:r>
    </w:p>
    <w:p w14:paraId="1A05FBE3" w14:textId="50D50DD5" w:rsidR="006558D1" w:rsidRPr="00933DAC" w:rsidRDefault="00DB38FC" w:rsidP="00DB38FC">
      <w:pPr>
        <w:spacing w:after="120" w:line="360" w:lineRule="auto"/>
        <w:jc w:val="both"/>
        <w:rPr>
          <w:rFonts w:ascii="Arial" w:hAnsi="Arial"/>
        </w:rPr>
      </w:pPr>
      <w:r w:rsidRPr="00933DAC">
        <w:rPr>
          <w:rStyle w:val="OBISBodyCopyChar"/>
          <w:rFonts w:eastAsiaTheme="minorHAnsi"/>
        </w:rPr>
        <w:t xml:space="preserve">Defense costs also increase exponentially when other actions are brought alongside a shareholder class action.  These other actions may include opt-out suits and derivative suits as well as investigations and suits by the SEC and/or DOJ which may result in multiple defense counsel being retained to represent the potentially divergent interests of the various Insureds under the policy.  </w:t>
      </w:r>
    </w:p>
    <w:p w14:paraId="729CE105" w14:textId="77777777" w:rsidR="006558D1" w:rsidRPr="00933DAC" w:rsidRDefault="006558D1" w:rsidP="006558D1">
      <w:pPr>
        <w:rPr>
          <w:rFonts w:ascii="Arial" w:eastAsia="Times New Roman" w:hAnsi="Arial" w:cs="Times New Roman"/>
          <w:b/>
          <w:i/>
          <w:smallCaps/>
          <w:color w:val="0067B1"/>
          <w:kern w:val="22"/>
          <w:szCs w:val="24"/>
        </w:rPr>
      </w:pPr>
      <w:r w:rsidRPr="00933DAC">
        <w:rPr>
          <w:b/>
          <w:color w:val="0067B1"/>
        </w:rPr>
        <w:br w:type="page"/>
      </w:r>
    </w:p>
    <w:p w14:paraId="1A90AF8C" w14:textId="77777777" w:rsidR="005E2FB4" w:rsidRPr="00933DAC" w:rsidRDefault="005E2FB4" w:rsidP="005E2FB4">
      <w:pPr>
        <w:pStyle w:val="OBISSubhead2"/>
        <w:outlineLvl w:val="0"/>
        <w:rPr>
          <w:i w:val="0"/>
          <w:color w:val="0067B1"/>
        </w:rPr>
      </w:pPr>
      <w:r w:rsidRPr="004724CE">
        <w:rPr>
          <w:i w:val="0"/>
          <w:color w:val="0067B1"/>
        </w:rPr>
        <w:lastRenderedPageBreak/>
        <w:t>Historical SPAC Claim Settlements</w:t>
      </w:r>
    </w:p>
    <w:p w14:paraId="3BAB43A9" w14:textId="77777777" w:rsidR="005E2FB4" w:rsidRDefault="005E2FB4" w:rsidP="005E2FB4">
      <w:pPr>
        <w:spacing w:after="120" w:line="360" w:lineRule="auto"/>
        <w:jc w:val="both"/>
        <w:rPr>
          <w:rFonts w:ascii="Arial" w:hAnsi="Arial"/>
          <w:color w:val="000000"/>
          <w:kern w:val="22"/>
        </w:rPr>
      </w:pPr>
      <w:r>
        <w:rPr>
          <w:rStyle w:val="OBISBodyCopyChar"/>
          <w:rFonts w:eastAsiaTheme="minorHAnsi"/>
        </w:rPr>
        <w:t>There have been relatively few settlements of SPAC related shareholder litigation</w:t>
      </w:r>
      <w:r w:rsidRPr="00933DAC">
        <w:rPr>
          <w:rFonts w:ascii="Arial" w:hAnsi="Arial"/>
          <w:color w:val="000000"/>
          <w:kern w:val="22"/>
        </w:rPr>
        <w:t>.</w:t>
      </w:r>
      <w:r>
        <w:rPr>
          <w:rFonts w:ascii="Arial" w:hAnsi="Arial"/>
          <w:color w:val="000000"/>
          <w:kern w:val="22"/>
        </w:rPr>
        <w:t xml:space="preserve">  This is due in large part to the relatively limited number of SPAC offerings that had been consummated prior to 2019.  The following provides detail on the five SPAC litigation settlements that we are aware of.</w:t>
      </w:r>
    </w:p>
    <w:p w14:paraId="344F6DE8" w14:textId="77777777" w:rsidR="005E2FB4" w:rsidRDefault="005E2FB4" w:rsidP="005E2FB4">
      <w:pPr>
        <w:spacing w:after="120" w:line="360" w:lineRule="auto"/>
        <w:jc w:val="both"/>
        <w:rPr>
          <w:rFonts w:ascii="Arial" w:hAnsi="Arial"/>
          <w:color w:val="000000"/>
          <w:kern w:val="22"/>
        </w:rPr>
      </w:pPr>
      <w:r w:rsidRPr="004544EF">
        <w:rPr>
          <w:rFonts w:ascii="Arial" w:hAnsi="Arial"/>
          <w:noProof/>
          <w:color w:val="000000"/>
          <w:kern w:val="22"/>
        </w:rPr>
        <w:drawing>
          <wp:inline distT="0" distB="0" distL="0" distR="0" wp14:anchorId="2413228A" wp14:editId="0D20C534">
            <wp:extent cx="5943600" cy="1616075"/>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616075"/>
                    </a:xfrm>
                    <a:prstGeom prst="rect">
                      <a:avLst/>
                    </a:prstGeom>
                  </pic:spPr>
                </pic:pic>
              </a:graphicData>
            </a:graphic>
          </wp:inline>
        </w:drawing>
      </w:r>
    </w:p>
    <w:p w14:paraId="66382A01" w14:textId="77777777" w:rsidR="005E2FB4" w:rsidRDefault="005E2FB4" w:rsidP="005E2FB4">
      <w:pPr>
        <w:spacing w:line="360" w:lineRule="auto"/>
        <w:jc w:val="both"/>
        <w:rPr>
          <w:rFonts w:ascii="Arial" w:hAnsi="Arial" w:cs="Arial"/>
        </w:rPr>
      </w:pPr>
    </w:p>
    <w:p w14:paraId="13B06892" w14:textId="77777777" w:rsidR="005E2FB4" w:rsidRDefault="005E2FB4" w:rsidP="005E2FB4">
      <w:pPr>
        <w:spacing w:line="360" w:lineRule="auto"/>
        <w:jc w:val="both"/>
        <w:rPr>
          <w:rFonts w:ascii="Arial" w:hAnsi="Arial" w:cs="Arial"/>
        </w:rPr>
      </w:pPr>
      <w:r w:rsidRPr="005E2FB4">
        <w:rPr>
          <w:rFonts w:ascii="Arial" w:hAnsi="Arial" w:cs="Arial"/>
          <w:color w:val="0070C0"/>
        </w:rPr>
        <w:t>Cambridge Capital Acquisition Corp./Ability Inc.:</w:t>
      </w:r>
      <w:r w:rsidRPr="008C0433">
        <w:rPr>
          <w:rFonts w:ascii="Arial" w:hAnsi="Arial" w:cs="Arial"/>
        </w:rPr>
        <w:t xml:space="preserve"> Cambridge Capital Acquisition Corp. was a publicly traded blank check company that in 2015 merged with Ability Computer &amp; Software Industries, an Israeli surveillance, decryption, and cybersecurity firm. The merger resulted in the formation of Ability, Inc., which continued as a public company. </w:t>
      </w:r>
    </w:p>
    <w:p w14:paraId="71A85458" w14:textId="77777777" w:rsidR="005E2FB4" w:rsidRDefault="005E2FB4" w:rsidP="005E2FB4">
      <w:pPr>
        <w:spacing w:line="360" w:lineRule="auto"/>
        <w:jc w:val="both"/>
        <w:rPr>
          <w:rFonts w:ascii="Arial" w:hAnsi="Arial" w:cs="Arial"/>
        </w:rPr>
      </w:pPr>
      <w:r w:rsidRPr="008C0433">
        <w:rPr>
          <w:rFonts w:ascii="Arial" w:hAnsi="Arial" w:cs="Arial"/>
        </w:rPr>
        <w:t xml:space="preserve">In May 2016, plaintiff shareholders filed a securities class action lawsuit against Ability in the Southern District of New York. </w:t>
      </w:r>
      <w:r w:rsidRPr="00D36E7A">
        <w:rPr>
          <w:rFonts w:ascii="Arial" w:hAnsi="Arial" w:cs="Arial"/>
          <w:b/>
          <w:bCs/>
        </w:rPr>
        <w:t xml:space="preserve">The defendants named in the lawsuit included not only Ability and certain of its directors and officers, but also the former CEO of Cambridge Capital Acquisition. </w:t>
      </w:r>
      <w:r w:rsidRPr="008C0433">
        <w:rPr>
          <w:rFonts w:ascii="Arial" w:hAnsi="Arial" w:cs="Arial"/>
        </w:rPr>
        <w:t xml:space="preserve">The plaintiffs alleged that in the proxy statement in which Cambridge sought shareholder approval of the merger, as well as various other statements both before and after the merger, the defendants mispresented Ability’s financial condition. </w:t>
      </w:r>
    </w:p>
    <w:p w14:paraId="61B8B3B8" w14:textId="77777777" w:rsidR="005E2FB4" w:rsidRPr="008C0433" w:rsidRDefault="005E2FB4" w:rsidP="005E2FB4">
      <w:pPr>
        <w:spacing w:line="360" w:lineRule="auto"/>
        <w:jc w:val="both"/>
        <w:rPr>
          <w:rFonts w:ascii="Arial" w:hAnsi="Arial" w:cs="Arial"/>
        </w:rPr>
      </w:pPr>
      <w:r w:rsidRPr="008C0433">
        <w:rPr>
          <w:rFonts w:ascii="Arial" w:hAnsi="Arial" w:cs="Arial"/>
        </w:rPr>
        <w:t xml:space="preserve">After the merger was approved, Ability had to restate its financial statements for several reporting periods prior to the merger. After the plaintiffs filed an amended securities complaint, the parties to the securities litigation negotiated a settlement. </w:t>
      </w:r>
    </w:p>
    <w:p w14:paraId="05D38E83" w14:textId="77777777" w:rsidR="005E2FB4" w:rsidRDefault="005E2FB4" w:rsidP="005E2FB4">
      <w:pPr>
        <w:rPr>
          <w:rFonts w:ascii="Arial" w:hAnsi="Arial" w:cs="Arial"/>
        </w:rPr>
      </w:pPr>
      <w:r>
        <w:rPr>
          <w:rFonts w:ascii="Arial" w:hAnsi="Arial" w:cs="Arial"/>
        </w:rPr>
        <w:br w:type="page"/>
      </w:r>
    </w:p>
    <w:p w14:paraId="200EE3F3" w14:textId="77777777" w:rsidR="005E2FB4" w:rsidRPr="008C0433" w:rsidRDefault="005E2FB4" w:rsidP="005E2FB4">
      <w:pPr>
        <w:spacing w:line="360" w:lineRule="auto"/>
        <w:jc w:val="both"/>
        <w:rPr>
          <w:rFonts w:ascii="Arial" w:hAnsi="Arial" w:cs="Arial"/>
        </w:rPr>
      </w:pPr>
    </w:p>
    <w:p w14:paraId="764BA921" w14:textId="77777777" w:rsidR="005E2FB4" w:rsidRDefault="005E2FB4" w:rsidP="005E2FB4">
      <w:pPr>
        <w:spacing w:line="360" w:lineRule="auto"/>
        <w:jc w:val="both"/>
        <w:rPr>
          <w:rFonts w:ascii="Arial" w:hAnsi="Arial" w:cs="Arial"/>
        </w:rPr>
      </w:pPr>
      <w:r w:rsidRPr="005E2FB4">
        <w:rPr>
          <w:rFonts w:ascii="Arial" w:hAnsi="Arial" w:cs="Arial"/>
          <w:color w:val="0070C0"/>
        </w:rPr>
        <w:t>Heckmann Corporation/China Water:</w:t>
      </w:r>
      <w:r w:rsidRPr="008C0433">
        <w:rPr>
          <w:rFonts w:ascii="Arial" w:hAnsi="Arial" w:cs="Arial"/>
        </w:rPr>
        <w:t xml:space="preserve"> Heckmann Corporation was a special purpose acquisition company organized in 2007. Its principals included former Vice President Dan Quayle and former Notre Dame football coach Lou Holtz. Heckman completed an IPO in December 2007. </w:t>
      </w:r>
    </w:p>
    <w:p w14:paraId="4FA45E9C" w14:textId="77777777" w:rsidR="005E2FB4" w:rsidRDefault="005E2FB4" w:rsidP="005E2FB4">
      <w:pPr>
        <w:spacing w:line="360" w:lineRule="auto"/>
        <w:jc w:val="both"/>
        <w:rPr>
          <w:rFonts w:ascii="Arial" w:hAnsi="Arial" w:cs="Arial"/>
        </w:rPr>
      </w:pPr>
      <w:r w:rsidRPr="008C0433">
        <w:rPr>
          <w:rFonts w:ascii="Arial" w:hAnsi="Arial" w:cs="Arial"/>
        </w:rPr>
        <w:t xml:space="preserve">In May 2008, Heckmann announced that it had entered an agreement to merge with China Water, a Nevada corporation engaged in the manufacture and distribution of bottled water in China. The merger was completed in October 2008. </w:t>
      </w:r>
    </w:p>
    <w:p w14:paraId="6FCE57D1" w14:textId="77777777" w:rsidR="005E2FB4" w:rsidRDefault="005E2FB4" w:rsidP="005E2FB4">
      <w:pPr>
        <w:spacing w:line="360" w:lineRule="auto"/>
        <w:jc w:val="both"/>
        <w:rPr>
          <w:rFonts w:ascii="Arial" w:hAnsi="Arial" w:cs="Arial"/>
        </w:rPr>
      </w:pPr>
      <w:r w:rsidRPr="008C0433">
        <w:rPr>
          <w:rFonts w:ascii="Arial" w:hAnsi="Arial" w:cs="Arial"/>
        </w:rPr>
        <w:t xml:space="preserve">In the subsequent securities class action, the plaintiff shareholders allege that both in the proxy statement issued in support of the proposed merger as well as other public statements prior to the merger, and in public statements subsequent to the merger, the defendants misrepresented China Water’s financial performance and condition. </w:t>
      </w:r>
    </w:p>
    <w:p w14:paraId="5A0BE243" w14:textId="77777777" w:rsidR="005E2FB4" w:rsidRPr="008C0433" w:rsidRDefault="005E2FB4" w:rsidP="005E2FB4">
      <w:pPr>
        <w:spacing w:line="360" w:lineRule="auto"/>
        <w:jc w:val="both"/>
        <w:rPr>
          <w:rFonts w:ascii="Arial" w:hAnsi="Arial" w:cs="Arial"/>
        </w:rPr>
      </w:pPr>
      <w:r w:rsidRPr="008C0433">
        <w:rPr>
          <w:rFonts w:ascii="Arial" w:hAnsi="Arial" w:cs="Arial"/>
        </w:rPr>
        <w:t xml:space="preserve">The lawsuit, which was filed in the District of Delaware, the plaintiffs alleged that financial results presented in the proxy statement were “a complete sham.” </w:t>
      </w:r>
      <w:r w:rsidRPr="00D36E7A">
        <w:rPr>
          <w:rFonts w:ascii="Arial" w:hAnsi="Arial" w:cs="Arial"/>
          <w:b/>
          <w:bCs/>
        </w:rPr>
        <w:t xml:space="preserve">The defendants in the lawsuit included several directors and officers of the SPAC (including, among others, Quayle and Holtz), as well as China Water and several China Water executives. </w:t>
      </w:r>
      <w:r w:rsidRPr="008C0433">
        <w:rPr>
          <w:rFonts w:ascii="Arial" w:hAnsi="Arial" w:cs="Arial"/>
        </w:rPr>
        <w:t xml:space="preserve">The case ultimately settled in 2015. </w:t>
      </w:r>
    </w:p>
    <w:p w14:paraId="14F40F91" w14:textId="77777777" w:rsidR="005E2FB4" w:rsidRPr="008C0433" w:rsidRDefault="005E2FB4" w:rsidP="005E2FB4">
      <w:pPr>
        <w:spacing w:line="360" w:lineRule="auto"/>
        <w:jc w:val="both"/>
        <w:rPr>
          <w:rFonts w:ascii="Arial" w:hAnsi="Arial" w:cs="Arial"/>
        </w:rPr>
      </w:pPr>
    </w:p>
    <w:p w14:paraId="7205DE60" w14:textId="77777777" w:rsidR="005E2FB4" w:rsidRDefault="005E2FB4" w:rsidP="005E2FB4">
      <w:pPr>
        <w:spacing w:line="360" w:lineRule="auto"/>
        <w:jc w:val="both"/>
        <w:rPr>
          <w:rFonts w:ascii="Arial" w:hAnsi="Arial" w:cs="Arial"/>
        </w:rPr>
      </w:pPr>
      <w:r w:rsidRPr="005E2FB4">
        <w:rPr>
          <w:rFonts w:ascii="Arial" w:hAnsi="Arial" w:cs="Arial"/>
          <w:color w:val="0070C0"/>
        </w:rPr>
        <w:t>China MediaExpress/TM Entertainment &amp; Media:</w:t>
      </w:r>
      <w:r w:rsidRPr="008C0433">
        <w:rPr>
          <w:rFonts w:ascii="Arial" w:hAnsi="Arial" w:cs="Arial"/>
        </w:rPr>
        <w:t xml:space="preserve"> TM Entertainment &amp; Media was a blank check company that completed an IPO in October 2007. In January 2009, TM entered an agreement to acquire Hong Kong Mondefu Holding Ltd., a privately held television advertising company based in the People’s Republic of China. The combined companies emerged as a publicly traded entity renamed as China MediaExpress. </w:t>
      </w:r>
    </w:p>
    <w:p w14:paraId="66310B9F" w14:textId="77777777" w:rsidR="005E2FB4" w:rsidRDefault="005E2FB4" w:rsidP="005E2FB4">
      <w:pPr>
        <w:spacing w:line="360" w:lineRule="auto"/>
        <w:jc w:val="both"/>
        <w:rPr>
          <w:rFonts w:ascii="Arial" w:hAnsi="Arial" w:cs="Arial"/>
        </w:rPr>
      </w:pPr>
      <w:r w:rsidRPr="008C0433">
        <w:rPr>
          <w:rFonts w:ascii="Arial" w:hAnsi="Arial" w:cs="Arial"/>
        </w:rPr>
        <w:t xml:space="preserve">In the subsequent securities class action lawsuit, the plaintiffs alleged that in the proxy statement issued in support of the merger and in post-merger statements, the defendants made material misrepresentations about China MediaExpress’s operations, financial performance, and financial condition. </w:t>
      </w:r>
    </w:p>
    <w:p w14:paraId="0297D19F" w14:textId="77777777" w:rsidR="005E2FB4" w:rsidRPr="008C0433" w:rsidRDefault="005E2FB4" w:rsidP="005E2FB4">
      <w:pPr>
        <w:spacing w:line="360" w:lineRule="auto"/>
        <w:jc w:val="both"/>
        <w:rPr>
          <w:rFonts w:ascii="Arial" w:hAnsi="Arial" w:cs="Arial"/>
        </w:rPr>
      </w:pPr>
      <w:r w:rsidRPr="00D36E7A">
        <w:rPr>
          <w:rFonts w:ascii="Arial" w:hAnsi="Arial" w:cs="Arial"/>
          <w:b/>
          <w:bCs/>
        </w:rPr>
        <w:t>The defendants included China MediaExpress and several of its executives, who had previously served as directors and officers of Hong Kong Mondefu. The individual defendants also included two former officers of TM Entertainment &amp; Media.</w:t>
      </w:r>
      <w:r w:rsidRPr="008C0433">
        <w:rPr>
          <w:rFonts w:ascii="Arial" w:hAnsi="Arial" w:cs="Arial"/>
        </w:rPr>
        <w:t xml:space="preserve"> The case ultimately settled in May 2015. </w:t>
      </w:r>
    </w:p>
    <w:p w14:paraId="155161BC" w14:textId="77777777" w:rsidR="005E2FB4" w:rsidRPr="008C0433" w:rsidRDefault="005E2FB4" w:rsidP="005E2FB4">
      <w:pPr>
        <w:spacing w:line="360" w:lineRule="auto"/>
        <w:jc w:val="both"/>
        <w:rPr>
          <w:rFonts w:ascii="Arial" w:hAnsi="Arial" w:cs="Arial"/>
        </w:rPr>
      </w:pPr>
    </w:p>
    <w:p w14:paraId="6E1F19C6" w14:textId="77777777" w:rsidR="005E2FB4" w:rsidRDefault="005E2FB4" w:rsidP="005E2FB4">
      <w:pPr>
        <w:spacing w:line="360" w:lineRule="auto"/>
        <w:jc w:val="both"/>
        <w:rPr>
          <w:rFonts w:ascii="Arial" w:hAnsi="Arial" w:cs="Arial"/>
        </w:rPr>
      </w:pPr>
      <w:r w:rsidRPr="005E2FB4">
        <w:rPr>
          <w:rFonts w:ascii="Arial" w:hAnsi="Arial" w:cs="Arial"/>
          <w:color w:val="0070C0"/>
        </w:rPr>
        <w:t>Endeavor Acquisition Corp./American Apparel:</w:t>
      </w:r>
      <w:r w:rsidRPr="00D36E7A">
        <w:rPr>
          <w:rFonts w:ascii="Arial" w:hAnsi="Arial" w:cs="Arial"/>
          <w:color w:val="0070C0"/>
        </w:rPr>
        <w:t xml:space="preserve"> </w:t>
      </w:r>
      <w:r w:rsidRPr="008C0433">
        <w:rPr>
          <w:rFonts w:ascii="Arial" w:hAnsi="Arial" w:cs="Arial"/>
        </w:rPr>
        <w:t xml:space="preserve">Endeavor Acquisition Corp. was formed in July 2005 as a blank check company. Endeavor completed its IPO in December 2005. In November 2006, Endeavor entered an agreement to merge with American Apparel. The merger was completed in December 2007, with American Apparel as the surviving entity and as a publicly traded company. </w:t>
      </w:r>
    </w:p>
    <w:p w14:paraId="3A2CC5C7" w14:textId="77777777" w:rsidR="005E2FB4" w:rsidRPr="008C0433" w:rsidRDefault="005E2FB4" w:rsidP="005E2FB4">
      <w:pPr>
        <w:spacing w:line="360" w:lineRule="auto"/>
        <w:jc w:val="both"/>
        <w:rPr>
          <w:rFonts w:ascii="Arial" w:hAnsi="Arial" w:cs="Arial"/>
        </w:rPr>
      </w:pPr>
      <w:r w:rsidRPr="008C0433">
        <w:rPr>
          <w:rFonts w:ascii="Arial" w:hAnsi="Arial" w:cs="Arial"/>
        </w:rPr>
        <w:t xml:space="preserve">In the months following the merger, American Apparel experienced an increasingly serious number of immigration related issues having to do with the immigration status of workers in its manufacturing facilities. These issues led to immigration enforcement actions and adverse publicity, and caused American Apparel’s share price to decline. American Apparel shareholder filed a securities lawsuit against the company, its founder and CEO, its CFO. The shareholders alleged that investors had been misled about the company’s business practices. The lawsuit settled in July 2014. </w:t>
      </w:r>
    </w:p>
    <w:p w14:paraId="62AC3F14" w14:textId="77777777" w:rsidR="005E2FB4" w:rsidRPr="008C0433" w:rsidRDefault="005E2FB4" w:rsidP="005E2FB4">
      <w:pPr>
        <w:spacing w:line="360" w:lineRule="auto"/>
        <w:jc w:val="both"/>
        <w:rPr>
          <w:rFonts w:ascii="Arial" w:hAnsi="Arial" w:cs="Arial"/>
        </w:rPr>
      </w:pPr>
    </w:p>
    <w:p w14:paraId="04FCCFAA" w14:textId="77777777" w:rsidR="005E2FB4" w:rsidRDefault="005E2FB4" w:rsidP="005E2FB4">
      <w:pPr>
        <w:spacing w:line="360" w:lineRule="auto"/>
        <w:jc w:val="both"/>
        <w:rPr>
          <w:rFonts w:ascii="Arial" w:hAnsi="Arial" w:cs="Arial"/>
        </w:rPr>
      </w:pPr>
      <w:r w:rsidRPr="005E2FB4">
        <w:rPr>
          <w:rFonts w:ascii="Arial" w:hAnsi="Arial" w:cs="Arial"/>
          <w:color w:val="0070C0"/>
        </w:rPr>
        <w:t>Ideation Acquisition Corp./Search Media:</w:t>
      </w:r>
      <w:r w:rsidRPr="008C0433">
        <w:rPr>
          <w:rFonts w:ascii="Arial" w:hAnsi="Arial" w:cs="Arial"/>
        </w:rPr>
        <w:t xml:space="preserve"> Ideation Acquisition Corp. was a blank check company that completed an IPO in November 2007. In April 2009, Ideation announced its plan to merge with SearchMedia International Ltd., an outdoor advertising firm operating in China and organized under the laws of the Cayman Islands. The merger was completed in October 2009, with SearchMedia Holdings Ltd. as the successor entity, and as a publicly traded company. </w:t>
      </w:r>
    </w:p>
    <w:p w14:paraId="71B767B9" w14:textId="77777777" w:rsidR="005E2FB4" w:rsidRPr="008C0433" w:rsidRDefault="005E2FB4" w:rsidP="005E2FB4">
      <w:pPr>
        <w:spacing w:line="360" w:lineRule="auto"/>
        <w:jc w:val="both"/>
        <w:rPr>
          <w:rFonts w:ascii="Arial" w:hAnsi="Arial" w:cs="Arial"/>
        </w:rPr>
      </w:pPr>
      <w:r w:rsidRPr="008C0433">
        <w:rPr>
          <w:rFonts w:ascii="Arial" w:hAnsi="Arial" w:cs="Arial"/>
        </w:rPr>
        <w:t xml:space="preserve">In the months following the merger, SearchMedia announced that its prior financial statements, including statements for the period prior to the merger would have to be restated. When the restated financials ultimately were published, the company disclosed among other things that “financial irregularities” had been uncovered, which had resulted in the significant overstatement of revenues. The company’s share price declined, and plaintiff shareholders initiated a securities class action lawsuit. </w:t>
      </w:r>
      <w:r w:rsidRPr="00D36E7A">
        <w:rPr>
          <w:rFonts w:ascii="Arial" w:hAnsi="Arial" w:cs="Arial"/>
          <w:b/>
          <w:bCs/>
        </w:rPr>
        <w:t>The named defendants included SearchMedia and eight former directors and officers of Ideation.</w:t>
      </w:r>
      <w:r w:rsidRPr="008C0433">
        <w:rPr>
          <w:rFonts w:ascii="Arial" w:hAnsi="Arial" w:cs="Arial"/>
        </w:rPr>
        <w:t xml:space="preserve"> The case settled in November 2011. </w:t>
      </w:r>
    </w:p>
    <w:p w14:paraId="02839C01" w14:textId="4756BE6D" w:rsidR="006558D1" w:rsidRPr="00933DAC" w:rsidRDefault="006558D1" w:rsidP="006558D1">
      <w:pPr>
        <w:spacing w:after="120" w:line="360" w:lineRule="auto"/>
        <w:jc w:val="both"/>
        <w:rPr>
          <w:rFonts w:ascii="Arial" w:eastAsia="Times New Roman" w:hAnsi="Arial" w:cs="Times New Roman"/>
          <w:b/>
          <w:i/>
          <w:smallCaps/>
          <w:color w:val="0067B1"/>
          <w:kern w:val="22"/>
          <w:szCs w:val="24"/>
        </w:rPr>
      </w:pPr>
      <w:r w:rsidRPr="00933DAC">
        <w:rPr>
          <w:b/>
          <w:color w:val="0067B1"/>
        </w:rPr>
        <w:br w:type="page"/>
      </w:r>
    </w:p>
    <w:p w14:paraId="76804B93" w14:textId="77777777" w:rsidR="000010C3" w:rsidRPr="00933DAC" w:rsidRDefault="000010C3" w:rsidP="000010C3">
      <w:pPr>
        <w:pStyle w:val="OBISSubhead2"/>
        <w:outlineLvl w:val="0"/>
        <w:rPr>
          <w:i w:val="0"/>
          <w:color w:val="auto"/>
        </w:rPr>
      </w:pPr>
      <w:r w:rsidRPr="00933DAC">
        <w:rPr>
          <w:i w:val="0"/>
          <w:color w:val="0067B1"/>
        </w:rPr>
        <w:lastRenderedPageBreak/>
        <w:t>Peer Purchasing Data</w:t>
      </w:r>
    </w:p>
    <w:p w14:paraId="32E04C4D" w14:textId="77777777" w:rsidR="000010C3" w:rsidRPr="00933DAC" w:rsidRDefault="000010C3" w:rsidP="000010C3">
      <w:pPr>
        <w:spacing w:after="240" w:line="360" w:lineRule="auto"/>
        <w:jc w:val="both"/>
        <w:rPr>
          <w:rFonts w:ascii="Arial" w:hAnsi="Arial"/>
          <w:b/>
          <w:kern w:val="22"/>
        </w:rPr>
      </w:pPr>
      <w:r w:rsidRPr="00933DAC">
        <w:rPr>
          <w:rFonts w:ascii="Arial" w:hAnsi="Arial" w:cs="Arial"/>
          <w:color w:val="333333"/>
        </w:rPr>
        <w:t xml:space="preserve">Once we have analyzed the </w:t>
      </w:r>
      <w:r w:rsidRPr="00933DAC">
        <w:rPr>
          <w:rFonts w:ascii="Arial" w:hAnsi="Arial"/>
          <w:color w:val="000000"/>
          <w:kern w:val="22"/>
        </w:rPr>
        <w:t>historical statistics on past settlement values for shareholder class action claims, we then look to the purchasing patterns for companies with similar market capitalizations. When evaluating peer data, it is also important to consider other factors that reflect each Company’s unique risk profile and might suggest more or less limits as being appropriate than for the average company in the same market cap range. Items to consider when sizing a D&amp;O program include:</w:t>
      </w:r>
    </w:p>
    <w:tbl>
      <w:tblPr>
        <w:tblW w:w="0" w:type="auto"/>
        <w:tblLook w:val="01E0" w:firstRow="1" w:lastRow="1" w:firstColumn="1" w:lastColumn="1" w:noHBand="0" w:noVBand="0"/>
      </w:tblPr>
      <w:tblGrid>
        <w:gridCol w:w="4388"/>
        <w:gridCol w:w="4388"/>
      </w:tblGrid>
      <w:tr w:rsidR="000010C3" w:rsidRPr="00933DAC" w14:paraId="6A66EDED" w14:textId="77777777" w:rsidTr="00363B3B">
        <w:trPr>
          <w:trHeight w:val="128"/>
        </w:trPr>
        <w:tc>
          <w:tcPr>
            <w:tcW w:w="4388" w:type="dxa"/>
          </w:tcPr>
          <w:p w14:paraId="61DBF03A" w14:textId="77777777" w:rsidR="000010C3" w:rsidRPr="00933DAC" w:rsidRDefault="000010C3" w:rsidP="000010C3">
            <w:pPr>
              <w:numPr>
                <w:ilvl w:val="0"/>
                <w:numId w:val="8"/>
              </w:numPr>
              <w:spacing w:after="120" w:line="240" w:lineRule="auto"/>
              <w:rPr>
                <w:rFonts w:ascii="Arial" w:hAnsi="Arial"/>
              </w:rPr>
            </w:pPr>
            <w:r w:rsidRPr="00933DAC">
              <w:rPr>
                <w:rFonts w:ascii="Arial" w:hAnsi="Arial"/>
              </w:rPr>
              <w:t xml:space="preserve">Revenue model </w:t>
            </w:r>
          </w:p>
        </w:tc>
        <w:tc>
          <w:tcPr>
            <w:tcW w:w="4388" w:type="dxa"/>
          </w:tcPr>
          <w:p w14:paraId="4D9BBB22" w14:textId="77777777" w:rsidR="000010C3" w:rsidRPr="00933DAC" w:rsidRDefault="000010C3" w:rsidP="000010C3">
            <w:pPr>
              <w:numPr>
                <w:ilvl w:val="0"/>
                <w:numId w:val="8"/>
              </w:numPr>
              <w:spacing w:after="120" w:line="240" w:lineRule="auto"/>
              <w:rPr>
                <w:rFonts w:ascii="Arial" w:hAnsi="Arial"/>
              </w:rPr>
            </w:pPr>
            <w:r w:rsidRPr="00933DAC">
              <w:rPr>
                <w:rFonts w:ascii="Arial" w:hAnsi="Arial"/>
              </w:rPr>
              <w:t>Planned / recent insider sales</w:t>
            </w:r>
          </w:p>
        </w:tc>
      </w:tr>
      <w:tr w:rsidR="000010C3" w:rsidRPr="00933DAC" w14:paraId="622E2C07" w14:textId="77777777" w:rsidTr="00363B3B">
        <w:trPr>
          <w:trHeight w:val="128"/>
        </w:trPr>
        <w:tc>
          <w:tcPr>
            <w:tcW w:w="4388" w:type="dxa"/>
          </w:tcPr>
          <w:p w14:paraId="09C2907E" w14:textId="77777777" w:rsidR="000010C3" w:rsidRPr="00933DAC" w:rsidRDefault="000010C3" w:rsidP="000010C3">
            <w:pPr>
              <w:numPr>
                <w:ilvl w:val="0"/>
                <w:numId w:val="8"/>
              </w:numPr>
              <w:spacing w:after="120" w:line="240" w:lineRule="auto"/>
              <w:rPr>
                <w:rFonts w:ascii="Arial" w:hAnsi="Arial"/>
              </w:rPr>
            </w:pPr>
            <w:r w:rsidRPr="00933DAC">
              <w:rPr>
                <w:rFonts w:ascii="Arial" w:hAnsi="Arial"/>
              </w:rPr>
              <w:t>Strength of balance sheet</w:t>
            </w:r>
          </w:p>
        </w:tc>
        <w:tc>
          <w:tcPr>
            <w:tcW w:w="4388" w:type="dxa"/>
          </w:tcPr>
          <w:p w14:paraId="082DDAC3" w14:textId="77777777" w:rsidR="000010C3" w:rsidRPr="00933DAC" w:rsidRDefault="000010C3" w:rsidP="000010C3">
            <w:pPr>
              <w:numPr>
                <w:ilvl w:val="0"/>
                <w:numId w:val="8"/>
              </w:numPr>
              <w:spacing w:after="120" w:line="240" w:lineRule="auto"/>
              <w:rPr>
                <w:rFonts w:ascii="Arial" w:hAnsi="Arial"/>
              </w:rPr>
            </w:pPr>
            <w:r w:rsidRPr="00933DAC">
              <w:rPr>
                <w:rFonts w:ascii="Arial" w:hAnsi="Arial"/>
              </w:rPr>
              <w:t xml:space="preserve">Claims activity </w:t>
            </w:r>
          </w:p>
        </w:tc>
      </w:tr>
      <w:tr w:rsidR="000010C3" w:rsidRPr="00933DAC" w14:paraId="6D137049" w14:textId="77777777" w:rsidTr="00363B3B">
        <w:trPr>
          <w:trHeight w:val="123"/>
        </w:trPr>
        <w:tc>
          <w:tcPr>
            <w:tcW w:w="4388" w:type="dxa"/>
          </w:tcPr>
          <w:p w14:paraId="205BE36F" w14:textId="77777777" w:rsidR="000010C3" w:rsidRPr="00933DAC" w:rsidRDefault="000010C3" w:rsidP="000010C3">
            <w:pPr>
              <w:numPr>
                <w:ilvl w:val="0"/>
                <w:numId w:val="8"/>
              </w:numPr>
              <w:spacing w:after="120" w:line="240" w:lineRule="auto"/>
              <w:rPr>
                <w:rFonts w:ascii="Arial" w:hAnsi="Arial"/>
              </w:rPr>
            </w:pPr>
            <w:r w:rsidRPr="00933DAC">
              <w:rPr>
                <w:rFonts w:ascii="Arial" w:hAnsi="Arial"/>
              </w:rPr>
              <w:t>M&amp;A activity</w:t>
            </w:r>
          </w:p>
        </w:tc>
        <w:tc>
          <w:tcPr>
            <w:tcW w:w="4388" w:type="dxa"/>
          </w:tcPr>
          <w:p w14:paraId="0030D978" w14:textId="77777777" w:rsidR="000010C3" w:rsidRPr="00933DAC" w:rsidRDefault="000010C3" w:rsidP="000010C3">
            <w:pPr>
              <w:numPr>
                <w:ilvl w:val="0"/>
                <w:numId w:val="8"/>
              </w:numPr>
              <w:spacing w:after="120" w:line="240" w:lineRule="auto"/>
              <w:rPr>
                <w:rFonts w:ascii="Arial" w:hAnsi="Arial"/>
              </w:rPr>
            </w:pPr>
            <w:r w:rsidRPr="00933DAC">
              <w:rPr>
                <w:rFonts w:ascii="Arial" w:hAnsi="Arial"/>
              </w:rPr>
              <w:t>Board / corporate philosophy</w:t>
            </w:r>
          </w:p>
        </w:tc>
      </w:tr>
      <w:tr w:rsidR="000010C3" w:rsidRPr="00933DAC" w14:paraId="536D994C" w14:textId="77777777" w:rsidTr="00363B3B">
        <w:trPr>
          <w:trHeight w:val="354"/>
        </w:trPr>
        <w:tc>
          <w:tcPr>
            <w:tcW w:w="4388" w:type="dxa"/>
          </w:tcPr>
          <w:p w14:paraId="1DC79A5B" w14:textId="77777777" w:rsidR="000010C3" w:rsidRPr="00933DAC" w:rsidRDefault="000010C3" w:rsidP="000010C3">
            <w:pPr>
              <w:numPr>
                <w:ilvl w:val="0"/>
                <w:numId w:val="8"/>
              </w:numPr>
              <w:spacing w:after="120" w:line="240" w:lineRule="auto"/>
              <w:rPr>
                <w:rFonts w:ascii="Arial" w:hAnsi="Arial"/>
              </w:rPr>
            </w:pPr>
            <w:r w:rsidRPr="00933DAC">
              <w:rPr>
                <w:rFonts w:ascii="Arial" w:hAnsi="Arial"/>
              </w:rPr>
              <w:t>Industry dynamics</w:t>
            </w:r>
          </w:p>
          <w:p w14:paraId="0D796443" w14:textId="77777777" w:rsidR="000010C3" w:rsidRPr="00933DAC" w:rsidRDefault="000010C3" w:rsidP="000010C3">
            <w:pPr>
              <w:numPr>
                <w:ilvl w:val="0"/>
                <w:numId w:val="8"/>
              </w:numPr>
              <w:spacing w:after="120" w:line="240" w:lineRule="auto"/>
              <w:rPr>
                <w:rFonts w:ascii="Arial" w:hAnsi="Arial"/>
              </w:rPr>
            </w:pPr>
            <w:r w:rsidRPr="00933DAC">
              <w:rPr>
                <w:rFonts w:ascii="Arial" w:hAnsi="Arial"/>
              </w:rPr>
              <w:t>Public Offerings</w:t>
            </w:r>
          </w:p>
        </w:tc>
        <w:tc>
          <w:tcPr>
            <w:tcW w:w="4388" w:type="dxa"/>
          </w:tcPr>
          <w:p w14:paraId="05081198" w14:textId="77777777" w:rsidR="000010C3" w:rsidRPr="00933DAC" w:rsidRDefault="000010C3" w:rsidP="000010C3">
            <w:pPr>
              <w:numPr>
                <w:ilvl w:val="0"/>
                <w:numId w:val="8"/>
              </w:numPr>
              <w:spacing w:after="120" w:line="240" w:lineRule="auto"/>
              <w:rPr>
                <w:rFonts w:ascii="Arial" w:hAnsi="Arial"/>
              </w:rPr>
            </w:pPr>
            <w:r w:rsidRPr="00933DAC">
              <w:rPr>
                <w:rFonts w:ascii="Arial" w:hAnsi="Arial"/>
              </w:rPr>
              <w:t>Board net worth</w:t>
            </w:r>
          </w:p>
          <w:p w14:paraId="2197B0FD" w14:textId="77777777" w:rsidR="000010C3" w:rsidRPr="00933DAC" w:rsidRDefault="000010C3" w:rsidP="000010C3">
            <w:pPr>
              <w:numPr>
                <w:ilvl w:val="0"/>
                <w:numId w:val="8"/>
              </w:numPr>
              <w:spacing w:after="120" w:line="240" w:lineRule="auto"/>
              <w:rPr>
                <w:rFonts w:ascii="Arial" w:hAnsi="Arial"/>
              </w:rPr>
            </w:pPr>
            <w:r w:rsidRPr="00933DAC">
              <w:rPr>
                <w:rFonts w:ascii="Arial" w:hAnsi="Arial"/>
              </w:rPr>
              <w:t>Regulatory Environment</w:t>
            </w:r>
          </w:p>
        </w:tc>
      </w:tr>
    </w:tbl>
    <w:p w14:paraId="2E9EEC13" w14:textId="77777777" w:rsidR="000010C3" w:rsidRPr="00933DAC" w:rsidRDefault="000010C3" w:rsidP="000010C3">
      <w:pPr>
        <w:rPr>
          <w:rFonts w:ascii="Arial" w:hAnsi="Arial"/>
          <w:b/>
          <w:color w:val="0067B1"/>
        </w:rPr>
      </w:pPr>
    </w:p>
    <w:p w14:paraId="21D36B39" w14:textId="77777777" w:rsidR="000010C3" w:rsidRPr="00933DAC" w:rsidRDefault="000010C3" w:rsidP="000010C3">
      <w:pPr>
        <w:rPr>
          <w:rFonts w:ascii="Arial" w:hAnsi="Arial"/>
          <w:b/>
          <w:color w:val="006666"/>
          <w:sz w:val="18"/>
        </w:rPr>
      </w:pPr>
      <w:r w:rsidRPr="00933DAC">
        <w:rPr>
          <w:rFonts w:ascii="Arial" w:hAnsi="Arial"/>
          <w:b/>
          <w:color w:val="0067B1"/>
        </w:rPr>
        <w:t xml:space="preserve">RT ProExec Peer Limits Data: </w:t>
      </w:r>
      <w:r w:rsidRPr="00933DAC">
        <w:rPr>
          <w:rFonts w:ascii="Arial" w:hAnsi="Arial"/>
          <w:b/>
          <w:color w:val="0067B1"/>
          <w:sz w:val="18"/>
        </w:rPr>
        <w:t>Total Limits by Market Capitalization</w:t>
      </w:r>
    </w:p>
    <w:p w14:paraId="46C526C6" w14:textId="77777777" w:rsidR="000010C3" w:rsidRPr="00933DAC" w:rsidRDefault="000010C3" w:rsidP="000010C3">
      <w:pPr>
        <w:pBdr>
          <w:top w:val="single" w:sz="4" w:space="1" w:color="C0C0C0"/>
        </w:pBdr>
        <w:spacing w:before="60" w:after="240"/>
        <w:rPr>
          <w:rFonts w:ascii="Arial" w:hAnsi="Arial"/>
          <w:b/>
          <w:color w:val="404040"/>
          <w:sz w:val="16"/>
        </w:rPr>
      </w:pPr>
      <w:r w:rsidRPr="00933DAC">
        <w:rPr>
          <w:rFonts w:ascii="Arial" w:hAnsi="Arial"/>
          <w:caps/>
          <w:color w:val="404040"/>
          <w:sz w:val="14"/>
        </w:rPr>
        <w:t xml:space="preserve">Industry: </w:t>
      </w:r>
      <w:r w:rsidRPr="00933DAC">
        <w:rPr>
          <w:rFonts w:ascii="Arial" w:hAnsi="Arial"/>
          <w:b/>
          <w:color w:val="404040"/>
          <w:sz w:val="16"/>
        </w:rPr>
        <w:t>All</w:t>
      </w:r>
      <w:r w:rsidRPr="00933DAC">
        <w:rPr>
          <w:rFonts w:ascii="Arial" w:hAnsi="Arial"/>
          <w:caps/>
          <w:color w:val="404040"/>
          <w:sz w:val="14"/>
        </w:rPr>
        <w:tab/>
        <w:t xml:space="preserve">    Market Capitalization </w:t>
      </w:r>
      <w:r w:rsidRPr="00933DAC">
        <w:rPr>
          <w:rFonts w:ascii="Arial" w:hAnsi="Arial"/>
          <w:b/>
          <w:caps/>
          <w:color w:val="404040"/>
          <w:sz w:val="16"/>
          <w:szCs w:val="16"/>
        </w:rPr>
        <w:t>$</w:t>
      </w:r>
      <w:r>
        <w:rPr>
          <w:rFonts w:ascii="Arial" w:hAnsi="Arial"/>
          <w:b/>
          <w:caps/>
          <w:color w:val="404040"/>
          <w:sz w:val="16"/>
          <w:szCs w:val="16"/>
        </w:rPr>
        <w:t>1B</w:t>
      </w:r>
      <w:r w:rsidRPr="00933DAC">
        <w:rPr>
          <w:rFonts w:ascii="Arial" w:hAnsi="Arial"/>
          <w:b/>
          <w:caps/>
          <w:color w:val="404040"/>
          <w:sz w:val="16"/>
          <w:szCs w:val="16"/>
        </w:rPr>
        <w:t xml:space="preserve"> to $</w:t>
      </w:r>
      <w:r>
        <w:rPr>
          <w:rFonts w:ascii="Arial" w:hAnsi="Arial"/>
          <w:b/>
          <w:caps/>
          <w:color w:val="404040"/>
          <w:sz w:val="16"/>
          <w:szCs w:val="16"/>
        </w:rPr>
        <w:t>2.5b</w:t>
      </w:r>
      <w:r w:rsidRPr="00933DAC">
        <w:rPr>
          <w:rFonts w:ascii="Arial" w:hAnsi="Arial"/>
          <w:caps/>
          <w:color w:val="404040"/>
          <w:sz w:val="14"/>
        </w:rPr>
        <w:tab/>
      </w:r>
      <w:r w:rsidRPr="00933DAC">
        <w:rPr>
          <w:rFonts w:ascii="Arial" w:hAnsi="Arial"/>
          <w:caps/>
          <w:color w:val="404040"/>
          <w:sz w:val="14"/>
        </w:rPr>
        <w:tab/>
        <w:t xml:space="preserve"> Time Period: </w:t>
      </w:r>
      <w:r w:rsidRPr="00933DAC">
        <w:rPr>
          <w:rFonts w:ascii="Arial" w:hAnsi="Arial"/>
          <w:b/>
          <w:color w:val="404040"/>
          <w:sz w:val="16"/>
        </w:rPr>
        <w:t>Previous 12 Months</w:t>
      </w: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38"/>
        <w:gridCol w:w="1862"/>
        <w:gridCol w:w="3420"/>
      </w:tblGrid>
      <w:tr w:rsidR="000010C3" w14:paraId="416A1BC8" w14:textId="77777777" w:rsidTr="00363B3B">
        <w:trPr>
          <w:jc w:val="center"/>
        </w:trPr>
        <w:tc>
          <w:tcPr>
            <w:tcW w:w="7920" w:type="dxa"/>
            <w:gridSpan w:val="3"/>
            <w:tcBorders>
              <w:top w:val="nil"/>
              <w:left w:val="nil"/>
              <w:bottom w:val="single" w:sz="4" w:space="0" w:color="auto"/>
              <w:right w:val="nil"/>
            </w:tcBorders>
            <w:shd w:val="clear" w:color="auto" w:fill="E6E6E6"/>
            <w:hideMark/>
          </w:tcPr>
          <w:p w14:paraId="146D5532" w14:textId="77777777" w:rsidR="000010C3" w:rsidRDefault="000010C3" w:rsidP="00363B3B">
            <w:pPr>
              <w:spacing w:before="120" w:after="120" w:line="240" w:lineRule="auto"/>
              <w:jc w:val="center"/>
              <w:rPr>
                <w:rFonts w:ascii="Arial" w:eastAsia="Times New Roman" w:hAnsi="Arial" w:cs="Times New Roman"/>
                <w:kern w:val="22"/>
                <w:sz w:val="20"/>
                <w:szCs w:val="20"/>
              </w:rPr>
            </w:pPr>
            <w:r>
              <w:rPr>
                <w:rFonts w:ascii="Arial" w:eastAsia="Times New Roman" w:hAnsi="Arial" w:cs="Times New Roman"/>
                <w:b/>
                <w:smallCaps/>
                <w:color w:val="0067B1"/>
                <w:kern w:val="22"/>
                <w:sz w:val="20"/>
                <w:szCs w:val="20"/>
              </w:rPr>
              <w:t>Public D&amp;O Peer Group Limit Purchasing Data Analysis</w:t>
            </w:r>
          </w:p>
        </w:tc>
      </w:tr>
      <w:tr w:rsidR="000010C3" w14:paraId="6494259B" w14:textId="77777777" w:rsidTr="00363B3B">
        <w:trPr>
          <w:trHeight w:hRule="exact" w:val="795"/>
          <w:jc w:val="center"/>
        </w:trPr>
        <w:tc>
          <w:tcPr>
            <w:tcW w:w="2638" w:type="dxa"/>
            <w:tcBorders>
              <w:top w:val="single" w:sz="4" w:space="0" w:color="auto"/>
              <w:left w:val="nil"/>
              <w:bottom w:val="single" w:sz="4" w:space="0" w:color="808080"/>
              <w:right w:val="nil"/>
            </w:tcBorders>
            <w:vAlign w:val="center"/>
          </w:tcPr>
          <w:p w14:paraId="1EB89F79" w14:textId="77777777" w:rsidR="000010C3" w:rsidRDefault="000010C3" w:rsidP="00363B3B">
            <w:pPr>
              <w:spacing w:after="0" w:line="240" w:lineRule="auto"/>
              <w:jc w:val="center"/>
              <w:rPr>
                <w:rFonts w:ascii="Arial" w:eastAsia="Times New Roman" w:hAnsi="Arial" w:cs="Times New Roman"/>
                <w:b/>
                <w:smallCaps/>
                <w:kern w:val="22"/>
                <w:sz w:val="18"/>
                <w:szCs w:val="18"/>
              </w:rPr>
            </w:pPr>
          </w:p>
        </w:tc>
        <w:tc>
          <w:tcPr>
            <w:tcW w:w="1862" w:type="dxa"/>
            <w:tcBorders>
              <w:top w:val="single" w:sz="4" w:space="0" w:color="auto"/>
              <w:left w:val="nil"/>
              <w:bottom w:val="single" w:sz="4" w:space="0" w:color="808080"/>
              <w:right w:val="nil"/>
            </w:tcBorders>
            <w:vAlign w:val="center"/>
            <w:hideMark/>
          </w:tcPr>
          <w:p w14:paraId="2BCABA4D" w14:textId="77777777" w:rsidR="000010C3" w:rsidRPr="00C637BD" w:rsidRDefault="000010C3" w:rsidP="00363B3B">
            <w:pPr>
              <w:spacing w:after="0" w:line="240" w:lineRule="auto"/>
              <w:jc w:val="center"/>
              <w:rPr>
                <w:rFonts w:ascii="Arial" w:eastAsia="Times New Roman" w:hAnsi="Arial" w:cs="Times New Roman"/>
                <w:b/>
                <w:smallCaps/>
                <w:kern w:val="22"/>
                <w:sz w:val="20"/>
                <w:szCs w:val="20"/>
              </w:rPr>
            </w:pPr>
            <w:r w:rsidRPr="00C637BD">
              <w:rPr>
                <w:rFonts w:ascii="Arial" w:eastAsia="Times New Roman" w:hAnsi="Arial" w:cs="Times New Roman"/>
                <w:b/>
                <w:smallCaps/>
                <w:kern w:val="22"/>
                <w:sz w:val="20"/>
                <w:szCs w:val="20"/>
              </w:rPr>
              <w:t>Total Limit</w:t>
            </w:r>
          </w:p>
        </w:tc>
        <w:tc>
          <w:tcPr>
            <w:tcW w:w="3420" w:type="dxa"/>
            <w:tcBorders>
              <w:top w:val="single" w:sz="4" w:space="0" w:color="auto"/>
              <w:left w:val="nil"/>
              <w:bottom w:val="single" w:sz="4" w:space="0" w:color="808080"/>
              <w:right w:val="nil"/>
            </w:tcBorders>
            <w:vAlign w:val="center"/>
            <w:hideMark/>
          </w:tcPr>
          <w:p w14:paraId="1B59F18B" w14:textId="77777777" w:rsidR="000010C3" w:rsidRPr="00C637BD" w:rsidRDefault="000010C3" w:rsidP="00363B3B">
            <w:pPr>
              <w:spacing w:after="0" w:line="240" w:lineRule="auto"/>
              <w:jc w:val="center"/>
              <w:rPr>
                <w:rFonts w:ascii="Arial" w:eastAsia="Times New Roman" w:hAnsi="Arial" w:cs="Times New Roman"/>
                <w:smallCaps/>
                <w:kern w:val="22"/>
                <w:sz w:val="20"/>
                <w:szCs w:val="20"/>
              </w:rPr>
            </w:pPr>
            <w:r w:rsidRPr="00C637BD">
              <w:rPr>
                <w:rFonts w:ascii="Arial" w:eastAsia="Times New Roman" w:hAnsi="Arial" w:cs="Times New Roman"/>
                <w:b/>
                <w:smallCaps/>
                <w:kern w:val="22"/>
                <w:sz w:val="20"/>
                <w:szCs w:val="20"/>
              </w:rPr>
              <w:tab/>
              <w:t>Side A Limit</w:t>
            </w:r>
          </w:p>
        </w:tc>
      </w:tr>
      <w:tr w:rsidR="000010C3" w14:paraId="04C460E7" w14:textId="77777777" w:rsidTr="00363B3B">
        <w:trPr>
          <w:trHeight w:val="285"/>
          <w:jc w:val="center"/>
        </w:trPr>
        <w:tc>
          <w:tcPr>
            <w:tcW w:w="2638"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2273896C" w14:textId="77777777" w:rsidR="000010C3" w:rsidRDefault="000010C3" w:rsidP="00363B3B">
            <w:pPr>
              <w:spacing w:after="0" w:line="240" w:lineRule="auto"/>
              <w:jc w:val="both"/>
              <w:rPr>
                <w:rFonts w:ascii="Arial" w:eastAsia="Times New Roman" w:hAnsi="Arial" w:cs="Times New Roman"/>
                <w:kern w:val="22"/>
                <w:sz w:val="20"/>
                <w:szCs w:val="20"/>
              </w:rPr>
            </w:pPr>
            <w:r>
              <w:rPr>
                <w:rFonts w:ascii="Arial" w:eastAsia="Times New Roman" w:hAnsi="Arial" w:cs="Times New Roman"/>
                <w:kern w:val="22"/>
                <w:sz w:val="20"/>
                <w:szCs w:val="20"/>
              </w:rPr>
              <w:t>Average Limit</w:t>
            </w:r>
          </w:p>
        </w:tc>
        <w:tc>
          <w:tcPr>
            <w:tcW w:w="1862" w:type="dxa"/>
            <w:tcBorders>
              <w:top w:val="single" w:sz="4" w:space="0" w:color="808080"/>
              <w:left w:val="nil"/>
              <w:bottom w:val="single" w:sz="4" w:space="0" w:color="808080"/>
              <w:right w:val="nil"/>
            </w:tcBorders>
            <w:tcMar>
              <w:top w:w="72" w:type="dxa"/>
              <w:left w:w="115" w:type="dxa"/>
              <w:bottom w:w="72" w:type="dxa"/>
              <w:right w:w="115" w:type="dxa"/>
            </w:tcMar>
            <w:vAlign w:val="center"/>
          </w:tcPr>
          <w:p w14:paraId="456BAD1B" w14:textId="77777777" w:rsidR="000010C3" w:rsidRDefault="000010C3" w:rsidP="00363B3B">
            <w:pPr>
              <w:spacing w:after="0" w:line="240" w:lineRule="auto"/>
              <w:jc w:val="center"/>
              <w:rPr>
                <w:rFonts w:ascii="Arial" w:eastAsia="Times New Roman" w:hAnsi="Arial" w:cs="Times New Roman"/>
                <w:kern w:val="22"/>
                <w:sz w:val="20"/>
                <w:szCs w:val="20"/>
              </w:rPr>
            </w:pPr>
            <w:r>
              <w:rPr>
                <w:rFonts w:ascii="Arial" w:eastAsia="Times New Roman" w:hAnsi="Arial" w:cs="Times New Roman"/>
                <w:kern w:val="22"/>
                <w:sz w:val="20"/>
                <w:szCs w:val="20"/>
              </w:rPr>
              <w:t>$53,000,000</w:t>
            </w: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tcPr>
          <w:p w14:paraId="4EDCB97A" w14:textId="77777777" w:rsidR="000010C3" w:rsidRDefault="000010C3" w:rsidP="00363B3B">
            <w:pPr>
              <w:spacing w:after="0" w:line="240" w:lineRule="auto"/>
              <w:ind w:left="612"/>
              <w:jc w:val="center"/>
              <w:rPr>
                <w:rFonts w:ascii="Arial" w:eastAsia="Times New Roman" w:hAnsi="Arial" w:cs="Times New Roman"/>
                <w:kern w:val="22"/>
                <w:sz w:val="20"/>
                <w:szCs w:val="20"/>
              </w:rPr>
            </w:pPr>
            <w:r>
              <w:rPr>
                <w:rFonts w:ascii="Arial" w:eastAsia="Times New Roman" w:hAnsi="Arial" w:cs="Times New Roman"/>
                <w:kern w:val="22"/>
                <w:sz w:val="20"/>
                <w:szCs w:val="20"/>
              </w:rPr>
              <w:t>$14,400,000</w:t>
            </w:r>
          </w:p>
        </w:tc>
      </w:tr>
      <w:tr w:rsidR="000010C3" w14:paraId="33013403" w14:textId="77777777" w:rsidTr="00363B3B">
        <w:trPr>
          <w:trHeight w:val="285"/>
          <w:jc w:val="center"/>
        </w:trPr>
        <w:tc>
          <w:tcPr>
            <w:tcW w:w="2638"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7CC640C0" w14:textId="77777777" w:rsidR="000010C3" w:rsidRDefault="000010C3" w:rsidP="00363B3B">
            <w:pPr>
              <w:spacing w:after="0" w:line="240" w:lineRule="auto"/>
              <w:jc w:val="both"/>
              <w:rPr>
                <w:rFonts w:ascii="Arial" w:eastAsia="Times New Roman" w:hAnsi="Arial" w:cs="Times New Roman"/>
                <w:kern w:val="22"/>
                <w:sz w:val="20"/>
                <w:szCs w:val="20"/>
              </w:rPr>
            </w:pPr>
            <w:r>
              <w:rPr>
                <w:rFonts w:ascii="Arial" w:eastAsia="Times New Roman" w:hAnsi="Arial" w:cs="Times New Roman"/>
                <w:kern w:val="22"/>
                <w:sz w:val="20"/>
                <w:szCs w:val="20"/>
              </w:rPr>
              <w:t>Median Limit</w:t>
            </w:r>
          </w:p>
        </w:tc>
        <w:tc>
          <w:tcPr>
            <w:tcW w:w="1862" w:type="dxa"/>
            <w:tcBorders>
              <w:top w:val="single" w:sz="4" w:space="0" w:color="808080"/>
              <w:left w:val="nil"/>
              <w:bottom w:val="single" w:sz="4" w:space="0" w:color="808080"/>
              <w:right w:val="nil"/>
            </w:tcBorders>
            <w:tcMar>
              <w:top w:w="72" w:type="dxa"/>
              <w:left w:w="115" w:type="dxa"/>
              <w:bottom w:w="72" w:type="dxa"/>
              <w:right w:w="115" w:type="dxa"/>
            </w:tcMar>
            <w:vAlign w:val="center"/>
          </w:tcPr>
          <w:p w14:paraId="5CAF06DA" w14:textId="77777777" w:rsidR="000010C3" w:rsidRDefault="000010C3" w:rsidP="00363B3B">
            <w:pPr>
              <w:spacing w:after="0" w:line="240" w:lineRule="auto"/>
              <w:jc w:val="center"/>
              <w:rPr>
                <w:rFonts w:ascii="Arial" w:eastAsia="Times New Roman" w:hAnsi="Arial" w:cs="Times New Roman"/>
                <w:kern w:val="22"/>
                <w:sz w:val="20"/>
                <w:szCs w:val="20"/>
              </w:rPr>
            </w:pPr>
            <w:r>
              <w:rPr>
                <w:rFonts w:ascii="Arial" w:eastAsia="Times New Roman" w:hAnsi="Arial" w:cs="Times New Roman"/>
                <w:kern w:val="22"/>
                <w:sz w:val="20"/>
                <w:szCs w:val="20"/>
              </w:rPr>
              <w:t>$50,000,000</w:t>
            </w: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tcPr>
          <w:p w14:paraId="41A6B1D6" w14:textId="77777777" w:rsidR="000010C3" w:rsidRDefault="000010C3" w:rsidP="00363B3B">
            <w:pPr>
              <w:spacing w:after="0" w:line="240" w:lineRule="auto"/>
              <w:ind w:left="612"/>
              <w:jc w:val="center"/>
              <w:rPr>
                <w:rFonts w:ascii="Arial" w:eastAsia="Times New Roman" w:hAnsi="Arial" w:cs="Times New Roman"/>
                <w:kern w:val="22"/>
                <w:sz w:val="20"/>
                <w:szCs w:val="20"/>
              </w:rPr>
            </w:pPr>
            <w:r>
              <w:rPr>
                <w:rFonts w:ascii="Arial" w:eastAsia="Times New Roman" w:hAnsi="Arial" w:cs="Times New Roman"/>
                <w:kern w:val="22"/>
                <w:sz w:val="20"/>
                <w:szCs w:val="20"/>
              </w:rPr>
              <w:t>$10,000,000</w:t>
            </w:r>
          </w:p>
        </w:tc>
      </w:tr>
      <w:tr w:rsidR="000010C3" w14:paraId="02E421D6" w14:textId="77777777" w:rsidTr="00363B3B">
        <w:trPr>
          <w:trHeight w:val="285"/>
          <w:jc w:val="center"/>
        </w:trPr>
        <w:tc>
          <w:tcPr>
            <w:tcW w:w="2638"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503525B0" w14:textId="77777777" w:rsidR="000010C3" w:rsidRDefault="000010C3" w:rsidP="00363B3B">
            <w:pPr>
              <w:spacing w:after="0" w:line="240" w:lineRule="auto"/>
              <w:jc w:val="both"/>
              <w:rPr>
                <w:rFonts w:ascii="Arial" w:eastAsia="Times New Roman" w:hAnsi="Arial" w:cs="Times New Roman"/>
                <w:kern w:val="22"/>
                <w:sz w:val="20"/>
                <w:szCs w:val="20"/>
              </w:rPr>
            </w:pPr>
            <w:r>
              <w:rPr>
                <w:rFonts w:ascii="Arial" w:eastAsia="Times New Roman" w:hAnsi="Arial" w:cs="Times New Roman"/>
                <w:kern w:val="22"/>
                <w:sz w:val="20"/>
                <w:szCs w:val="20"/>
              </w:rPr>
              <w:t>3rd Quartile Limit</w:t>
            </w:r>
          </w:p>
        </w:tc>
        <w:tc>
          <w:tcPr>
            <w:tcW w:w="1862" w:type="dxa"/>
            <w:tcBorders>
              <w:top w:val="single" w:sz="4" w:space="0" w:color="808080"/>
              <w:left w:val="nil"/>
              <w:bottom w:val="single" w:sz="4" w:space="0" w:color="808080"/>
              <w:right w:val="nil"/>
            </w:tcBorders>
            <w:tcMar>
              <w:top w:w="72" w:type="dxa"/>
              <w:left w:w="115" w:type="dxa"/>
              <w:bottom w:w="72" w:type="dxa"/>
              <w:right w:w="115" w:type="dxa"/>
            </w:tcMar>
            <w:vAlign w:val="center"/>
          </w:tcPr>
          <w:p w14:paraId="21F3BF89" w14:textId="77777777" w:rsidR="000010C3" w:rsidRDefault="000010C3" w:rsidP="00363B3B">
            <w:pPr>
              <w:spacing w:after="0" w:line="240" w:lineRule="auto"/>
              <w:jc w:val="center"/>
              <w:rPr>
                <w:rFonts w:ascii="Arial" w:eastAsia="Times New Roman" w:hAnsi="Arial" w:cs="Times New Roman"/>
                <w:kern w:val="22"/>
                <w:sz w:val="20"/>
                <w:szCs w:val="20"/>
              </w:rPr>
            </w:pPr>
            <w:r>
              <w:rPr>
                <w:rFonts w:ascii="Arial" w:eastAsia="Times New Roman" w:hAnsi="Arial" w:cs="Times New Roman"/>
                <w:kern w:val="22"/>
                <w:sz w:val="20"/>
                <w:szCs w:val="20"/>
              </w:rPr>
              <w:t>$60,000,000</w:t>
            </w: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tcPr>
          <w:p w14:paraId="1F07A225" w14:textId="77777777" w:rsidR="000010C3" w:rsidRDefault="000010C3" w:rsidP="00363B3B">
            <w:pPr>
              <w:spacing w:after="0" w:line="240" w:lineRule="auto"/>
              <w:ind w:left="612"/>
              <w:jc w:val="center"/>
              <w:rPr>
                <w:rFonts w:ascii="Arial" w:eastAsia="Times New Roman" w:hAnsi="Arial" w:cs="Times New Roman"/>
                <w:kern w:val="22"/>
                <w:sz w:val="20"/>
                <w:szCs w:val="20"/>
              </w:rPr>
            </w:pPr>
            <w:r>
              <w:rPr>
                <w:rFonts w:ascii="Arial" w:eastAsia="Times New Roman" w:hAnsi="Arial" w:cs="Times New Roman"/>
                <w:kern w:val="22"/>
                <w:sz w:val="20"/>
                <w:szCs w:val="20"/>
              </w:rPr>
              <w:t>$20,000,000</w:t>
            </w:r>
          </w:p>
        </w:tc>
      </w:tr>
      <w:tr w:rsidR="000010C3" w14:paraId="75A96CE5" w14:textId="77777777" w:rsidTr="00363B3B">
        <w:trPr>
          <w:trHeight w:val="285"/>
          <w:jc w:val="center"/>
        </w:trPr>
        <w:tc>
          <w:tcPr>
            <w:tcW w:w="2638"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04F2D1A8" w14:textId="77777777" w:rsidR="000010C3" w:rsidRDefault="000010C3" w:rsidP="00363B3B">
            <w:pPr>
              <w:spacing w:after="0" w:line="240" w:lineRule="auto"/>
              <w:jc w:val="both"/>
              <w:rPr>
                <w:rFonts w:ascii="Arial" w:eastAsia="Times New Roman" w:hAnsi="Arial" w:cs="Times New Roman"/>
                <w:kern w:val="22"/>
                <w:sz w:val="20"/>
                <w:szCs w:val="20"/>
              </w:rPr>
            </w:pPr>
            <w:r>
              <w:rPr>
                <w:rFonts w:ascii="Arial" w:eastAsia="Times New Roman" w:hAnsi="Arial" w:cs="Times New Roman"/>
                <w:kern w:val="22"/>
                <w:sz w:val="20"/>
                <w:szCs w:val="20"/>
              </w:rPr>
              <w:t>90</w:t>
            </w:r>
            <w:r>
              <w:rPr>
                <w:rFonts w:ascii="Arial" w:eastAsia="Times New Roman" w:hAnsi="Arial" w:cs="Times New Roman"/>
                <w:kern w:val="22"/>
                <w:sz w:val="20"/>
                <w:szCs w:val="20"/>
                <w:vertAlign w:val="superscript"/>
              </w:rPr>
              <w:t>th</w:t>
            </w:r>
            <w:r>
              <w:rPr>
                <w:rFonts w:ascii="Arial" w:eastAsia="Times New Roman" w:hAnsi="Arial" w:cs="Times New Roman"/>
                <w:kern w:val="22"/>
                <w:sz w:val="20"/>
                <w:szCs w:val="20"/>
              </w:rPr>
              <w:t xml:space="preserve"> Percentile Limit</w:t>
            </w:r>
          </w:p>
        </w:tc>
        <w:tc>
          <w:tcPr>
            <w:tcW w:w="1862" w:type="dxa"/>
            <w:tcBorders>
              <w:top w:val="single" w:sz="4" w:space="0" w:color="808080"/>
              <w:left w:val="nil"/>
              <w:bottom w:val="single" w:sz="4" w:space="0" w:color="808080"/>
              <w:right w:val="nil"/>
            </w:tcBorders>
            <w:tcMar>
              <w:top w:w="72" w:type="dxa"/>
              <w:left w:w="115" w:type="dxa"/>
              <w:bottom w:w="72" w:type="dxa"/>
              <w:right w:w="115" w:type="dxa"/>
            </w:tcMar>
            <w:vAlign w:val="center"/>
          </w:tcPr>
          <w:p w14:paraId="7261D560" w14:textId="77777777" w:rsidR="000010C3" w:rsidRDefault="000010C3" w:rsidP="00363B3B">
            <w:pPr>
              <w:spacing w:after="0" w:line="240" w:lineRule="auto"/>
              <w:jc w:val="center"/>
              <w:rPr>
                <w:rFonts w:ascii="Arial" w:eastAsia="Times New Roman" w:hAnsi="Arial" w:cs="Times New Roman"/>
                <w:kern w:val="22"/>
                <w:sz w:val="20"/>
                <w:szCs w:val="20"/>
              </w:rPr>
            </w:pPr>
            <w:r>
              <w:rPr>
                <w:rFonts w:ascii="Arial" w:eastAsia="Times New Roman" w:hAnsi="Arial" w:cs="Times New Roman"/>
                <w:kern w:val="22"/>
                <w:sz w:val="20"/>
                <w:szCs w:val="20"/>
              </w:rPr>
              <w:t>$65,000,000</w:t>
            </w: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tcPr>
          <w:p w14:paraId="2E43AF50" w14:textId="77777777" w:rsidR="000010C3" w:rsidRDefault="000010C3" w:rsidP="00363B3B">
            <w:pPr>
              <w:spacing w:after="0" w:line="240" w:lineRule="auto"/>
              <w:ind w:left="612"/>
              <w:jc w:val="center"/>
              <w:rPr>
                <w:rFonts w:ascii="Arial" w:eastAsia="Times New Roman" w:hAnsi="Arial" w:cs="Times New Roman"/>
                <w:kern w:val="22"/>
                <w:sz w:val="20"/>
                <w:szCs w:val="20"/>
              </w:rPr>
            </w:pPr>
            <w:r>
              <w:rPr>
                <w:rFonts w:ascii="Arial" w:eastAsia="Times New Roman" w:hAnsi="Arial" w:cs="Times New Roman"/>
                <w:kern w:val="22"/>
                <w:sz w:val="20"/>
                <w:szCs w:val="20"/>
              </w:rPr>
              <w:t>$26,500,000</w:t>
            </w:r>
          </w:p>
        </w:tc>
      </w:tr>
      <w:tr w:rsidR="000010C3" w14:paraId="0C61CA06" w14:textId="77777777" w:rsidTr="00363B3B">
        <w:trPr>
          <w:trHeight w:val="285"/>
          <w:jc w:val="center"/>
        </w:trPr>
        <w:tc>
          <w:tcPr>
            <w:tcW w:w="7920" w:type="dxa"/>
            <w:gridSpan w:val="3"/>
            <w:tcBorders>
              <w:top w:val="single" w:sz="4" w:space="0" w:color="808080"/>
              <w:left w:val="nil"/>
              <w:bottom w:val="single" w:sz="4" w:space="0" w:color="auto"/>
              <w:right w:val="nil"/>
            </w:tcBorders>
            <w:tcMar>
              <w:top w:w="72" w:type="dxa"/>
              <w:left w:w="115" w:type="dxa"/>
              <w:bottom w:w="72" w:type="dxa"/>
              <w:right w:w="115" w:type="dxa"/>
            </w:tcMar>
            <w:vAlign w:val="center"/>
            <w:hideMark/>
          </w:tcPr>
          <w:p w14:paraId="7FC38F6A" w14:textId="77777777" w:rsidR="000010C3" w:rsidRDefault="000010C3" w:rsidP="00363B3B">
            <w:pPr>
              <w:spacing w:after="0" w:line="240" w:lineRule="auto"/>
              <w:jc w:val="center"/>
              <w:rPr>
                <w:rFonts w:ascii="Arial" w:eastAsia="Times New Roman" w:hAnsi="Arial" w:cs="Times New Roman"/>
                <w:b/>
                <w:smallCaps/>
                <w:kern w:val="22"/>
                <w:sz w:val="20"/>
                <w:szCs w:val="20"/>
              </w:rPr>
            </w:pPr>
            <w:r>
              <w:rPr>
                <w:rFonts w:ascii="Arial" w:eastAsia="Times New Roman" w:hAnsi="Arial" w:cs="Times New Roman"/>
                <w:b/>
                <w:smallCaps/>
                <w:sz w:val="20"/>
                <w:szCs w:val="20"/>
              </w:rPr>
              <w:t>Market Cap Range: Minimum</w:t>
            </w:r>
            <w:r>
              <w:rPr>
                <w:rFonts w:ascii="Arial" w:eastAsia="Times New Roman" w:hAnsi="Arial" w:cs="Times New Roman"/>
                <w:b/>
                <w:smallCaps/>
                <w:color w:val="0046AD"/>
                <w:sz w:val="20"/>
                <w:szCs w:val="20"/>
              </w:rPr>
              <w:t xml:space="preserve"> </w:t>
            </w:r>
            <w:r>
              <w:rPr>
                <w:rFonts w:ascii="Arial" w:eastAsia="Times New Roman" w:hAnsi="Arial" w:cs="Times New Roman"/>
                <w:b/>
                <w:smallCaps/>
                <w:color w:val="0067B1"/>
                <w:sz w:val="20"/>
                <w:szCs w:val="20"/>
              </w:rPr>
              <w:t xml:space="preserve">$1 billion </w:t>
            </w:r>
            <w:r>
              <w:rPr>
                <w:rFonts w:ascii="Arial" w:eastAsia="Times New Roman" w:hAnsi="Arial" w:cs="Times New Roman"/>
                <w:b/>
                <w:smallCaps/>
                <w:sz w:val="20"/>
                <w:szCs w:val="20"/>
              </w:rPr>
              <w:t>Maximum:</w:t>
            </w:r>
            <w:r>
              <w:rPr>
                <w:rFonts w:ascii="Arial" w:eastAsia="Times New Roman" w:hAnsi="Arial" w:cs="Times New Roman"/>
                <w:b/>
                <w:smallCaps/>
                <w:color w:val="006666"/>
                <w:sz w:val="20"/>
                <w:szCs w:val="20"/>
              </w:rPr>
              <w:t xml:space="preserve"> </w:t>
            </w:r>
            <w:r>
              <w:rPr>
                <w:rFonts w:ascii="Arial" w:eastAsia="Times New Roman" w:hAnsi="Arial" w:cs="Times New Roman"/>
                <w:b/>
                <w:smallCaps/>
                <w:color w:val="0067B1"/>
                <w:sz w:val="20"/>
                <w:szCs w:val="20"/>
              </w:rPr>
              <w:t>$2.5 billion</w:t>
            </w:r>
          </w:p>
        </w:tc>
      </w:tr>
    </w:tbl>
    <w:p w14:paraId="1E900D0B" w14:textId="77777777" w:rsidR="000010C3" w:rsidRDefault="000010C3" w:rsidP="000010C3">
      <w:pPr>
        <w:spacing w:before="120" w:after="0" w:line="240" w:lineRule="auto"/>
        <w:ind w:left="547"/>
        <w:jc w:val="both"/>
        <w:rPr>
          <w:rFonts w:ascii="Arial" w:eastAsia="Times New Roman" w:hAnsi="Arial" w:cs="Times New Roman"/>
          <w:i/>
          <w:color w:val="404040"/>
          <w:sz w:val="16"/>
          <w:szCs w:val="24"/>
        </w:rPr>
      </w:pPr>
      <w:r>
        <w:rPr>
          <w:rFonts w:ascii="Arial" w:eastAsia="Times New Roman" w:hAnsi="Arial" w:cs="Times New Roman"/>
          <w:i/>
          <w:color w:val="404040"/>
          <w:sz w:val="16"/>
          <w:szCs w:val="24"/>
        </w:rPr>
        <w:t>Source: Proprietary 2021 Analysis of RT ProExec Public Company D&amp;O placements</w:t>
      </w:r>
    </w:p>
    <w:p w14:paraId="17510FB4" w14:textId="77777777" w:rsidR="000010C3" w:rsidRPr="00933DAC" w:rsidRDefault="000010C3" w:rsidP="000010C3">
      <w:pPr>
        <w:rPr>
          <w:rStyle w:val="OBISBodyCopyChar"/>
          <w:rFonts w:eastAsiaTheme="minorHAnsi"/>
          <w:color w:val="0067B1"/>
          <w:sz w:val="24"/>
        </w:rPr>
      </w:pPr>
    </w:p>
    <w:p w14:paraId="1BD4226B" w14:textId="77777777" w:rsidR="000010C3" w:rsidRPr="00933DAC" w:rsidRDefault="000010C3" w:rsidP="000010C3">
      <w:pPr>
        <w:jc w:val="center"/>
        <w:rPr>
          <w:rStyle w:val="OBISBodyCopyChar"/>
          <w:rFonts w:eastAsiaTheme="minorHAnsi"/>
          <w:color w:val="0067B1"/>
          <w:sz w:val="24"/>
        </w:rPr>
      </w:pPr>
      <w:r w:rsidRPr="00933DAC">
        <w:rPr>
          <w:noProof/>
        </w:rPr>
        <w:lastRenderedPageBreak/>
        <w:drawing>
          <wp:inline distT="0" distB="0" distL="0" distR="0" wp14:anchorId="0CE48877" wp14:editId="3653F1D5">
            <wp:extent cx="5033217" cy="2965450"/>
            <wp:effectExtent l="0" t="0" r="15240" b="25400"/>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343914ED" w14:textId="77777777" w:rsidR="000010C3" w:rsidRPr="00933DAC" w:rsidRDefault="000010C3" w:rsidP="000010C3">
      <w:pPr>
        <w:rPr>
          <w:rFonts w:ascii="Arial" w:hAnsi="Arial" w:cs="Arial"/>
          <w:i/>
          <w:sz w:val="18"/>
          <w:szCs w:val="18"/>
        </w:rPr>
      </w:pPr>
      <w:r w:rsidRPr="009A7D6E">
        <w:rPr>
          <w:rFonts w:ascii="Arial" w:hAnsi="Arial" w:cs="Arial"/>
          <w:i/>
          <w:sz w:val="18"/>
          <w:szCs w:val="18"/>
        </w:rPr>
        <w:t>* Cornerstone Research 20</w:t>
      </w:r>
      <w:r>
        <w:rPr>
          <w:rFonts w:ascii="Arial" w:hAnsi="Arial" w:cs="Arial"/>
          <w:i/>
          <w:sz w:val="18"/>
          <w:szCs w:val="18"/>
        </w:rPr>
        <w:t>21</w:t>
      </w:r>
      <w:r w:rsidRPr="009A7D6E">
        <w:rPr>
          <w:rFonts w:ascii="Arial" w:hAnsi="Arial" w:cs="Arial"/>
          <w:i/>
          <w:sz w:val="18"/>
          <w:szCs w:val="18"/>
        </w:rPr>
        <w:t xml:space="preserve"> Securities Class Action Case Filings Year in Review</w:t>
      </w:r>
    </w:p>
    <w:p w14:paraId="001FD480" w14:textId="77777777" w:rsidR="00D72960" w:rsidRDefault="00D72960" w:rsidP="00BA2A4B">
      <w:pPr>
        <w:rPr>
          <w:rFonts w:ascii="Arial" w:eastAsia="Times New Roman" w:hAnsi="Arial" w:cs="Times New Roman"/>
          <w:b/>
          <w:bCs/>
          <w:smallCaps/>
          <w:color w:val="0067B1"/>
          <w:sz w:val="28"/>
          <w:szCs w:val="24"/>
        </w:rPr>
      </w:pPr>
      <w:r>
        <w:rPr>
          <w:b/>
          <w:bCs/>
          <w:smallCaps/>
          <w:color w:val="0067B1"/>
          <w:sz w:val="28"/>
        </w:rPr>
        <w:br w:type="page"/>
      </w:r>
    </w:p>
    <w:p w14:paraId="6027D3EB" w14:textId="26A9AA8E" w:rsidR="00246DE1" w:rsidRPr="00A94665" w:rsidRDefault="00246DE1" w:rsidP="00246DE1">
      <w:pPr>
        <w:pStyle w:val="OBISBodyCopy"/>
        <w:spacing w:after="120"/>
        <w:rPr>
          <w:b/>
          <w:bCs/>
          <w:smallCaps/>
          <w:color w:val="0067B1"/>
          <w:sz w:val="28"/>
        </w:rPr>
      </w:pPr>
      <w:r w:rsidRPr="00A94665">
        <w:rPr>
          <w:b/>
          <w:bCs/>
          <w:smallCaps/>
          <w:color w:val="0067B1"/>
          <w:sz w:val="28"/>
        </w:rPr>
        <w:lastRenderedPageBreak/>
        <w:t>V</w:t>
      </w:r>
      <w:r w:rsidR="002D5670">
        <w:rPr>
          <w:b/>
          <w:bCs/>
          <w:smallCaps/>
          <w:color w:val="0067B1"/>
          <w:sz w:val="28"/>
        </w:rPr>
        <w:t>I</w:t>
      </w:r>
      <w:r w:rsidRPr="00A94665">
        <w:rPr>
          <w:b/>
          <w:bCs/>
          <w:smallCaps/>
          <w:color w:val="0067B1"/>
          <w:sz w:val="28"/>
        </w:rPr>
        <w:t>I</w:t>
      </w:r>
      <w:r w:rsidR="007A1A2A" w:rsidRPr="00A94665">
        <w:rPr>
          <w:b/>
          <w:bCs/>
          <w:smallCaps/>
          <w:color w:val="0067B1"/>
          <w:sz w:val="28"/>
        </w:rPr>
        <w:t>I</w:t>
      </w:r>
      <w:r w:rsidRPr="00A94665">
        <w:rPr>
          <w:b/>
          <w:bCs/>
          <w:smallCaps/>
          <w:color w:val="0067B1"/>
          <w:sz w:val="28"/>
        </w:rPr>
        <w:t>. Marketplace Update</w:t>
      </w:r>
      <w:bookmarkEnd w:id="7"/>
      <w:bookmarkEnd w:id="8"/>
    </w:p>
    <w:p w14:paraId="72F9B8A9" w14:textId="5343C311" w:rsidR="00C011C7" w:rsidRPr="004F6898" w:rsidRDefault="00B53568" w:rsidP="00C011C7">
      <w:pPr>
        <w:pStyle w:val="OBISBodyCopy"/>
        <w:rPr>
          <w:kern w:val="22"/>
        </w:rPr>
      </w:pPr>
      <w:bookmarkStart w:id="11" w:name="_Hlk66108734"/>
      <w:r>
        <w:rPr>
          <w:kern w:val="22"/>
        </w:rPr>
        <w:t xml:space="preserve">Notwithstanding the fact that there are a number of insurers that will provide quotations for your </w:t>
      </w:r>
      <w:r w:rsidR="00297844">
        <w:rPr>
          <w:kern w:val="22"/>
        </w:rPr>
        <w:t>placement</w:t>
      </w:r>
      <w:r>
        <w:rPr>
          <w:kern w:val="22"/>
        </w:rPr>
        <w:t>, the selection of your D&amp;O</w:t>
      </w:r>
      <w:r w:rsidR="00C011C7" w:rsidRPr="006153F5">
        <w:rPr>
          <w:kern w:val="22"/>
        </w:rPr>
        <w:t xml:space="preserve"> insurer</w:t>
      </w:r>
      <w:r>
        <w:rPr>
          <w:kern w:val="22"/>
        </w:rPr>
        <w:t>s should be made</w:t>
      </w:r>
      <w:r w:rsidR="00C011C7" w:rsidRPr="006153F5">
        <w:rPr>
          <w:kern w:val="22"/>
        </w:rPr>
        <w:t xml:space="preserve"> only after careful consideration of a number of factors.</w:t>
      </w:r>
    </w:p>
    <w:p w14:paraId="712E0EE6" w14:textId="77777777" w:rsidR="00C011C7" w:rsidRPr="00C17395" w:rsidRDefault="00C011C7" w:rsidP="00C011C7">
      <w:pPr>
        <w:spacing w:after="240" w:line="360" w:lineRule="auto"/>
        <w:ind w:left="2160" w:hanging="2160"/>
        <w:jc w:val="both"/>
        <w:rPr>
          <w:rStyle w:val="OBISBodyCopyChar"/>
          <w:rFonts w:eastAsiaTheme="minorHAnsi"/>
        </w:rPr>
      </w:pPr>
      <w:r w:rsidRPr="0097281C">
        <w:rPr>
          <w:rStyle w:val="OBISSubhead2Char"/>
          <w:rFonts w:eastAsiaTheme="minorHAnsi"/>
          <w:b/>
          <w:color w:val="0067B1"/>
        </w:rPr>
        <w:t>Financial Rating</w:t>
      </w:r>
      <w:r>
        <w:rPr>
          <w:rFonts w:ascii="Arial" w:hAnsi="Arial"/>
          <w:b/>
        </w:rPr>
        <w:tab/>
      </w:r>
      <w:r w:rsidRPr="00C17395">
        <w:rPr>
          <w:rStyle w:val="OBISBodyCopyChar"/>
          <w:rFonts w:eastAsiaTheme="minorHAnsi"/>
        </w:rPr>
        <w:t>It can be difficult to accurately analyze an insurer’s financial strength</w:t>
      </w:r>
      <w:r>
        <w:rPr>
          <w:rStyle w:val="OBISBodyCopyChar"/>
          <w:rFonts w:eastAsiaTheme="minorHAnsi"/>
        </w:rPr>
        <w:t xml:space="preserve"> b</w:t>
      </w:r>
      <w:r w:rsidRPr="00C17395">
        <w:rPr>
          <w:rStyle w:val="OBISBodyCopyChar"/>
          <w:rFonts w:eastAsiaTheme="minorHAnsi"/>
        </w:rPr>
        <w:t>ecause claims can take three or more years to resolve</w:t>
      </w:r>
      <w:r>
        <w:rPr>
          <w:rStyle w:val="OBISBodyCopyChar"/>
          <w:rFonts w:eastAsiaTheme="minorHAnsi"/>
        </w:rPr>
        <w:t xml:space="preserve">. Thus </w:t>
      </w:r>
      <w:r w:rsidRPr="00C17395">
        <w:rPr>
          <w:rStyle w:val="OBISBodyCopyChar"/>
          <w:rFonts w:eastAsiaTheme="minorHAnsi"/>
        </w:rPr>
        <w:t xml:space="preserve">it is important when evaluating financial strength to consider not just the rating today, but what the rating might be at the time a claim will be paid. </w:t>
      </w:r>
      <w:r>
        <w:rPr>
          <w:rStyle w:val="OBISBodyCopyChar"/>
          <w:rFonts w:eastAsiaTheme="minorHAnsi"/>
        </w:rPr>
        <w:t>The impact of the subprime crisis on insurers has become a key focus for the rating agencies and we will keep you apprised as further information becomes available.</w:t>
      </w:r>
    </w:p>
    <w:p w14:paraId="0EFE6FCA" w14:textId="77777777" w:rsidR="00C011C7" w:rsidRPr="008A2528" w:rsidRDefault="00C011C7" w:rsidP="00C011C7">
      <w:pPr>
        <w:pStyle w:val="BodyTextIndent"/>
        <w:spacing w:after="240" w:line="360" w:lineRule="auto"/>
        <w:ind w:left="2160" w:hanging="2160"/>
        <w:jc w:val="both"/>
        <w:rPr>
          <w:rStyle w:val="OBISBodyCopyChar"/>
          <w:sz w:val="22"/>
          <w:szCs w:val="22"/>
        </w:rPr>
      </w:pPr>
      <w:r w:rsidRPr="0097281C">
        <w:rPr>
          <w:rStyle w:val="OBISSubhead2Char"/>
          <w:b/>
          <w:color w:val="0067B1"/>
        </w:rPr>
        <w:t>Track Record</w:t>
      </w:r>
      <w:r w:rsidRPr="0097281C">
        <w:rPr>
          <w:color w:val="0067B1"/>
          <w:sz w:val="22"/>
        </w:rPr>
        <w:t xml:space="preserve">  </w:t>
      </w:r>
      <w:r>
        <w:rPr>
          <w:sz w:val="22"/>
        </w:rPr>
        <w:tab/>
      </w:r>
      <w:r w:rsidRPr="008A2528">
        <w:rPr>
          <w:rStyle w:val="OBISBodyCopyChar"/>
          <w:sz w:val="22"/>
          <w:szCs w:val="22"/>
        </w:rPr>
        <w:t xml:space="preserve">An insurer that has proven its commitment to the D&amp;O market should not be undervalued. Some insurers have come and gone opportunistically and/or greatly shifted their use of reinsurance, while others have demonstrated an ongoing commitment to their insureds and to the market.  </w:t>
      </w:r>
    </w:p>
    <w:p w14:paraId="521350F4" w14:textId="77777777" w:rsidR="00C011C7" w:rsidRDefault="00C011C7" w:rsidP="00C011C7">
      <w:pPr>
        <w:pStyle w:val="BodyTextIndent"/>
        <w:spacing w:after="240" w:line="360" w:lineRule="auto"/>
        <w:ind w:left="2160" w:hanging="2160"/>
        <w:jc w:val="both"/>
        <w:rPr>
          <w:sz w:val="22"/>
        </w:rPr>
      </w:pPr>
      <w:r w:rsidRPr="0097281C">
        <w:rPr>
          <w:rStyle w:val="OBISSubhead2Char"/>
          <w:b/>
          <w:color w:val="0067B1"/>
        </w:rPr>
        <w:t>Claims Expertise</w:t>
      </w:r>
      <w:r w:rsidRPr="0097281C">
        <w:rPr>
          <w:b/>
          <w:color w:val="0067B1"/>
          <w:sz w:val="22"/>
        </w:rPr>
        <w:t xml:space="preserve">  </w:t>
      </w:r>
      <w:r>
        <w:rPr>
          <w:b/>
          <w:sz w:val="22"/>
        </w:rPr>
        <w:tab/>
      </w:r>
      <w:r>
        <w:rPr>
          <w:sz w:val="22"/>
        </w:rPr>
        <w:t>D&amp;O coverage issues are complex. It is important to select an insurer, particularly on a primary basis, that has the institutional knowledge and expertise to understand and efficiently resolve these issues. Securities defense counsel is typically a good reference on this topic.</w:t>
      </w:r>
    </w:p>
    <w:p w14:paraId="4A157FCD" w14:textId="336AF762" w:rsidR="00B53568" w:rsidRDefault="00C011C7" w:rsidP="00B53568">
      <w:pPr>
        <w:spacing w:after="240" w:line="360" w:lineRule="auto"/>
        <w:jc w:val="both"/>
        <w:rPr>
          <w:rFonts w:ascii="Arial" w:hAnsi="Arial"/>
          <w:color w:val="000000"/>
          <w:kern w:val="22"/>
        </w:rPr>
      </w:pPr>
      <w:r w:rsidRPr="006700A8">
        <w:rPr>
          <w:rFonts w:ascii="Arial" w:hAnsi="Arial"/>
          <w:color w:val="000000"/>
          <w:kern w:val="22"/>
        </w:rPr>
        <w:t>Above all else, the most important consideration when purchasing a D&amp;O program is the quality of the coverage provided by the policy form.</w:t>
      </w:r>
      <w:r>
        <w:rPr>
          <w:rFonts w:ascii="Arial" w:hAnsi="Arial"/>
          <w:color w:val="000000"/>
          <w:kern w:val="22"/>
        </w:rPr>
        <w:t xml:space="preserve"> There are more than </w:t>
      </w:r>
      <w:r w:rsidR="00297844">
        <w:rPr>
          <w:rFonts w:ascii="Arial" w:hAnsi="Arial"/>
          <w:color w:val="000000"/>
          <w:kern w:val="22"/>
        </w:rPr>
        <w:t xml:space="preserve">40 </w:t>
      </w:r>
      <w:r>
        <w:rPr>
          <w:rFonts w:ascii="Arial" w:hAnsi="Arial"/>
          <w:color w:val="000000"/>
          <w:kern w:val="22"/>
        </w:rPr>
        <w:t xml:space="preserve">insurers that currently provide D&amp;O coverage for publicly traded companies and no two insurers’ policies are exactly alike, meaning that there are multiple policy forms with provisions that can vary widely. This, coupled with the fact that we continue to face an ever-changing legal landscape, makes it our duty as your broker to keep up with the latest decisions and how they can affect the exposures facing directors and officers. </w:t>
      </w:r>
    </w:p>
    <w:bookmarkEnd w:id="11"/>
    <w:p w14:paraId="35D4A92D" w14:textId="5CCA3041" w:rsidR="00637D14" w:rsidRPr="006052C7" w:rsidRDefault="00C011C7" w:rsidP="006E22F7">
      <w:pPr>
        <w:spacing w:after="0" w:line="360" w:lineRule="auto"/>
        <w:jc w:val="both"/>
        <w:rPr>
          <w:b/>
          <w:bCs/>
        </w:rPr>
      </w:pPr>
      <w:r w:rsidRPr="006052C7">
        <w:rPr>
          <w:b/>
          <w:bCs/>
        </w:rPr>
        <w:br w:type="page"/>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CellMar>
          <w:top w:w="58" w:type="dxa"/>
          <w:left w:w="58" w:type="dxa"/>
          <w:bottom w:w="58" w:type="dxa"/>
          <w:right w:w="0" w:type="dxa"/>
        </w:tblCellMar>
        <w:tblLook w:val="04A0" w:firstRow="1" w:lastRow="0" w:firstColumn="1" w:lastColumn="0" w:noHBand="0" w:noVBand="1"/>
      </w:tblPr>
      <w:tblGrid>
        <w:gridCol w:w="2970"/>
        <w:gridCol w:w="6380"/>
      </w:tblGrid>
      <w:tr w:rsidR="009118C8" w:rsidRPr="00FF1B62" w14:paraId="79C00FC6" w14:textId="77777777" w:rsidTr="007065A8">
        <w:tc>
          <w:tcPr>
            <w:tcW w:w="9350" w:type="dxa"/>
            <w:gridSpan w:val="2"/>
            <w:tcBorders>
              <w:top w:val="single" w:sz="12" w:space="0" w:color="0058A4"/>
              <w:bottom w:val="single" w:sz="4" w:space="0" w:color="auto"/>
            </w:tcBorders>
            <w:shd w:val="clear" w:color="auto" w:fill="FFFFFF" w:themeFill="background1"/>
          </w:tcPr>
          <w:p w14:paraId="3798BE0F" w14:textId="77777777" w:rsidR="009118C8" w:rsidRPr="006E22F7" w:rsidRDefault="009118C8" w:rsidP="007065A8">
            <w:pPr>
              <w:rPr>
                <w:rFonts w:ascii="Arial" w:hAnsi="Arial" w:cs="Arial"/>
                <w:color w:val="0058A4"/>
                <w:sz w:val="20"/>
                <w:szCs w:val="20"/>
              </w:rPr>
            </w:pPr>
            <w:r w:rsidRPr="006E22F7">
              <w:rPr>
                <w:rFonts w:ascii="Arial" w:hAnsi="Arial" w:cs="Arial"/>
                <w:b/>
                <w:bCs/>
                <w:color w:val="0058A4"/>
                <w:sz w:val="24"/>
                <w:szCs w:val="24"/>
              </w:rPr>
              <w:lastRenderedPageBreak/>
              <w:t>D&amp;O Market Overview</w:t>
            </w:r>
          </w:p>
        </w:tc>
      </w:tr>
      <w:tr w:rsidR="009118C8" w:rsidRPr="00FF1B62" w14:paraId="634DADDE" w14:textId="77777777" w:rsidTr="007065A8">
        <w:tc>
          <w:tcPr>
            <w:tcW w:w="2970" w:type="dxa"/>
            <w:tcBorders>
              <w:top w:val="single" w:sz="12" w:space="0" w:color="0058A4"/>
              <w:bottom w:val="single" w:sz="4" w:space="0" w:color="auto"/>
            </w:tcBorders>
          </w:tcPr>
          <w:p w14:paraId="582A2653" w14:textId="77777777" w:rsidR="009118C8" w:rsidRPr="006052C7" w:rsidRDefault="009118C8" w:rsidP="007065A8">
            <w:pPr>
              <w:rPr>
                <w:rFonts w:ascii="Georgia" w:hAnsi="Georgia" w:cs="Arial"/>
                <w:b/>
                <w:bCs/>
                <w:i/>
                <w:iCs/>
                <w:sz w:val="20"/>
                <w:szCs w:val="20"/>
              </w:rPr>
            </w:pPr>
            <w:r w:rsidRPr="006052C7">
              <w:rPr>
                <w:rFonts w:ascii="Georgia" w:hAnsi="Georgia" w:cs="Arial"/>
                <w:b/>
                <w:bCs/>
                <w:i/>
                <w:iCs/>
                <w:color w:val="0058A4"/>
                <w:sz w:val="20"/>
                <w:szCs w:val="20"/>
              </w:rPr>
              <w:t>Superior A++</w:t>
            </w:r>
          </w:p>
        </w:tc>
        <w:tc>
          <w:tcPr>
            <w:tcW w:w="6380" w:type="dxa"/>
            <w:tcBorders>
              <w:top w:val="single" w:sz="12" w:space="0" w:color="0058A4"/>
              <w:bottom w:val="single" w:sz="4" w:space="0" w:color="auto"/>
            </w:tcBorders>
          </w:tcPr>
          <w:p w14:paraId="640D20AE" w14:textId="77777777" w:rsidR="009118C8" w:rsidRPr="006052C7" w:rsidRDefault="009118C8" w:rsidP="007065A8">
            <w:pPr>
              <w:spacing w:line="276" w:lineRule="auto"/>
              <w:rPr>
                <w:rFonts w:ascii="Arial" w:hAnsi="Arial" w:cs="Arial"/>
                <w:sz w:val="20"/>
                <w:szCs w:val="20"/>
              </w:rPr>
            </w:pPr>
            <w:r w:rsidRPr="006052C7">
              <w:rPr>
                <w:rFonts w:ascii="Arial" w:hAnsi="Arial" w:cs="Arial"/>
                <w:sz w:val="20"/>
                <w:szCs w:val="20"/>
              </w:rPr>
              <w:t>Chubb</w:t>
            </w:r>
          </w:p>
          <w:p w14:paraId="66ABADF1" w14:textId="77777777" w:rsidR="009118C8" w:rsidRPr="006052C7" w:rsidRDefault="009118C8" w:rsidP="007065A8">
            <w:pPr>
              <w:spacing w:line="276" w:lineRule="auto"/>
              <w:rPr>
                <w:rFonts w:ascii="Arial" w:hAnsi="Arial" w:cs="Arial"/>
                <w:sz w:val="20"/>
                <w:szCs w:val="20"/>
              </w:rPr>
            </w:pPr>
            <w:r w:rsidRPr="006052C7">
              <w:rPr>
                <w:rFonts w:ascii="Arial" w:hAnsi="Arial" w:cs="Arial"/>
                <w:sz w:val="20"/>
                <w:szCs w:val="20"/>
              </w:rPr>
              <w:t>Berkshire Hathaway</w:t>
            </w:r>
          </w:p>
          <w:p w14:paraId="633CE49E" w14:textId="77777777" w:rsidR="009118C8" w:rsidRPr="006052C7" w:rsidRDefault="009118C8" w:rsidP="007065A8">
            <w:pPr>
              <w:spacing w:line="276" w:lineRule="auto"/>
              <w:rPr>
                <w:rFonts w:ascii="Arial" w:hAnsi="Arial" w:cs="Arial"/>
                <w:sz w:val="20"/>
                <w:szCs w:val="20"/>
              </w:rPr>
            </w:pPr>
            <w:r w:rsidRPr="006052C7">
              <w:rPr>
                <w:rFonts w:ascii="Arial" w:hAnsi="Arial" w:cs="Arial"/>
                <w:sz w:val="20"/>
                <w:szCs w:val="20"/>
              </w:rPr>
              <w:t>Tokio Maine HCC</w:t>
            </w:r>
          </w:p>
          <w:p w14:paraId="321B7B15" w14:textId="77777777" w:rsidR="009118C8" w:rsidRPr="006052C7" w:rsidRDefault="009118C8" w:rsidP="007065A8">
            <w:pPr>
              <w:spacing w:line="276" w:lineRule="auto"/>
              <w:rPr>
                <w:rFonts w:ascii="Arial" w:hAnsi="Arial" w:cs="Arial"/>
                <w:sz w:val="20"/>
                <w:szCs w:val="20"/>
              </w:rPr>
            </w:pPr>
            <w:r w:rsidRPr="006052C7">
              <w:rPr>
                <w:rFonts w:ascii="Arial" w:hAnsi="Arial" w:cs="Arial"/>
                <w:sz w:val="20"/>
                <w:szCs w:val="20"/>
              </w:rPr>
              <w:t>Travelers</w:t>
            </w:r>
          </w:p>
        </w:tc>
      </w:tr>
      <w:tr w:rsidR="009118C8" w:rsidRPr="00FF1B62" w14:paraId="36FC4C71" w14:textId="77777777" w:rsidTr="007065A8">
        <w:tc>
          <w:tcPr>
            <w:tcW w:w="2970" w:type="dxa"/>
            <w:tcBorders>
              <w:top w:val="single" w:sz="4" w:space="0" w:color="auto"/>
            </w:tcBorders>
          </w:tcPr>
          <w:p w14:paraId="3614044D" w14:textId="77777777" w:rsidR="009118C8" w:rsidRPr="00FF1B62" w:rsidRDefault="009118C8" w:rsidP="007065A8">
            <w:pPr>
              <w:rPr>
                <w:rFonts w:ascii="Arial" w:hAnsi="Arial" w:cs="Arial"/>
                <w:b/>
                <w:bCs/>
                <w:i/>
                <w:iCs/>
                <w:sz w:val="20"/>
                <w:szCs w:val="20"/>
              </w:rPr>
            </w:pPr>
            <w:r w:rsidRPr="006052C7">
              <w:rPr>
                <w:rFonts w:ascii="Georgia" w:hAnsi="Georgia" w:cs="Arial"/>
                <w:b/>
                <w:bCs/>
                <w:i/>
                <w:iCs/>
                <w:color w:val="0058A4"/>
                <w:sz w:val="20"/>
                <w:szCs w:val="20"/>
              </w:rPr>
              <w:t>Superior A+</w:t>
            </w:r>
          </w:p>
        </w:tc>
        <w:tc>
          <w:tcPr>
            <w:tcW w:w="6380" w:type="dxa"/>
            <w:tcBorders>
              <w:top w:val="single" w:sz="4" w:space="0" w:color="auto"/>
            </w:tcBorders>
          </w:tcPr>
          <w:p w14:paraId="38F5D1F8" w14:textId="77777777" w:rsidR="009118C8" w:rsidRPr="006052C7" w:rsidRDefault="009118C8" w:rsidP="007065A8">
            <w:pPr>
              <w:spacing w:line="276" w:lineRule="auto"/>
              <w:rPr>
                <w:rFonts w:ascii="Arial" w:eastAsia="Times New Roman" w:hAnsi="Arial" w:cs="Arial"/>
                <w:sz w:val="20"/>
                <w:szCs w:val="20"/>
              </w:rPr>
            </w:pPr>
            <w:r w:rsidRPr="006052C7">
              <w:rPr>
                <w:rFonts w:ascii="Arial" w:eastAsia="Times New Roman" w:hAnsi="Arial" w:cs="Arial"/>
                <w:sz w:val="20"/>
                <w:szCs w:val="20"/>
              </w:rPr>
              <w:t>Allianz</w:t>
            </w:r>
          </w:p>
          <w:p w14:paraId="4984E252" w14:textId="77777777" w:rsidR="009118C8" w:rsidRDefault="009118C8" w:rsidP="007065A8">
            <w:pPr>
              <w:spacing w:line="276" w:lineRule="auto"/>
              <w:rPr>
                <w:rFonts w:ascii="Arial" w:eastAsia="Times New Roman" w:hAnsi="Arial" w:cs="Arial"/>
                <w:sz w:val="20"/>
                <w:szCs w:val="20"/>
              </w:rPr>
            </w:pPr>
            <w:r w:rsidRPr="006052C7">
              <w:rPr>
                <w:rFonts w:ascii="Arial" w:eastAsia="Times New Roman" w:hAnsi="Arial" w:cs="Arial"/>
                <w:sz w:val="20"/>
                <w:szCs w:val="20"/>
              </w:rPr>
              <w:t>Arch Capital Group</w:t>
            </w:r>
          </w:p>
          <w:p w14:paraId="09EB4BB8" w14:textId="77777777" w:rsidR="009118C8" w:rsidRPr="006052C7" w:rsidRDefault="009118C8" w:rsidP="007065A8">
            <w:pPr>
              <w:spacing w:line="276" w:lineRule="auto"/>
              <w:rPr>
                <w:rFonts w:ascii="Arial" w:eastAsia="Times New Roman" w:hAnsi="Arial" w:cs="Arial"/>
                <w:sz w:val="20"/>
                <w:szCs w:val="20"/>
              </w:rPr>
            </w:pPr>
            <w:r>
              <w:rPr>
                <w:rFonts w:ascii="Arial" w:eastAsia="Times New Roman" w:hAnsi="Arial" w:cs="Arial"/>
                <w:sz w:val="20"/>
                <w:szCs w:val="20"/>
              </w:rPr>
              <w:t>ATRI Insurance Services (Fair Co)</w:t>
            </w:r>
          </w:p>
          <w:p w14:paraId="22C482D9" w14:textId="77777777" w:rsidR="009118C8" w:rsidRPr="006052C7" w:rsidRDefault="009118C8" w:rsidP="007065A8">
            <w:pPr>
              <w:spacing w:line="276" w:lineRule="auto"/>
              <w:rPr>
                <w:rFonts w:ascii="Arial" w:eastAsia="Times New Roman" w:hAnsi="Arial" w:cs="Arial"/>
                <w:sz w:val="20"/>
                <w:szCs w:val="20"/>
              </w:rPr>
            </w:pPr>
            <w:r w:rsidRPr="006052C7">
              <w:rPr>
                <w:rFonts w:ascii="Arial" w:eastAsia="Times New Roman" w:hAnsi="Arial" w:cs="Arial"/>
                <w:sz w:val="20"/>
                <w:szCs w:val="20"/>
              </w:rPr>
              <w:t>AXA XL</w:t>
            </w:r>
          </w:p>
          <w:p w14:paraId="67DC90BA" w14:textId="77777777" w:rsidR="009118C8" w:rsidRPr="006052C7" w:rsidRDefault="009118C8" w:rsidP="007065A8">
            <w:pPr>
              <w:spacing w:line="276" w:lineRule="auto"/>
              <w:rPr>
                <w:rFonts w:ascii="Arial" w:eastAsia="Times New Roman" w:hAnsi="Arial" w:cs="Arial"/>
                <w:sz w:val="20"/>
                <w:szCs w:val="20"/>
              </w:rPr>
            </w:pPr>
            <w:r w:rsidRPr="006052C7">
              <w:rPr>
                <w:rFonts w:ascii="Arial" w:eastAsia="Times New Roman" w:hAnsi="Arial" w:cs="Arial"/>
                <w:sz w:val="20"/>
                <w:szCs w:val="20"/>
              </w:rPr>
              <w:t>Berkley</w:t>
            </w:r>
          </w:p>
          <w:p w14:paraId="13A91DDE" w14:textId="77777777" w:rsidR="009118C8" w:rsidRDefault="009118C8" w:rsidP="007065A8">
            <w:pPr>
              <w:spacing w:line="276" w:lineRule="auto"/>
              <w:rPr>
                <w:rFonts w:ascii="Arial" w:eastAsia="Times New Roman" w:hAnsi="Arial" w:cs="Arial"/>
                <w:sz w:val="20"/>
                <w:szCs w:val="20"/>
              </w:rPr>
            </w:pPr>
            <w:r w:rsidRPr="006052C7">
              <w:rPr>
                <w:rFonts w:ascii="Arial" w:eastAsia="Times New Roman" w:hAnsi="Arial" w:cs="Arial"/>
                <w:sz w:val="20"/>
                <w:szCs w:val="20"/>
              </w:rPr>
              <w:t>Everest</w:t>
            </w:r>
          </w:p>
          <w:p w14:paraId="59EB8F82" w14:textId="77777777" w:rsidR="009118C8" w:rsidRPr="009118C8" w:rsidRDefault="009118C8" w:rsidP="007065A8">
            <w:pPr>
              <w:spacing w:line="276" w:lineRule="auto"/>
              <w:rPr>
                <w:rFonts w:ascii="Arial" w:eastAsia="Times New Roman" w:hAnsi="Arial" w:cs="Arial"/>
                <w:sz w:val="20"/>
                <w:szCs w:val="20"/>
              </w:rPr>
            </w:pPr>
            <w:r w:rsidRPr="009118C8">
              <w:rPr>
                <w:rFonts w:ascii="Arial" w:eastAsia="Times New Roman" w:hAnsi="Arial" w:cs="Arial"/>
                <w:sz w:val="20"/>
                <w:szCs w:val="20"/>
              </w:rPr>
              <w:t>Forge Underwriting (Partner Re)</w:t>
            </w:r>
          </w:p>
          <w:p w14:paraId="3CED6177" w14:textId="77777777" w:rsidR="009118C8" w:rsidRPr="009118C8" w:rsidRDefault="009118C8" w:rsidP="007065A8">
            <w:pPr>
              <w:spacing w:line="276" w:lineRule="auto"/>
              <w:rPr>
                <w:rFonts w:ascii="Arial" w:eastAsia="Times New Roman" w:hAnsi="Arial" w:cs="Arial"/>
                <w:sz w:val="20"/>
                <w:szCs w:val="20"/>
              </w:rPr>
            </w:pPr>
            <w:r w:rsidRPr="009118C8">
              <w:rPr>
                <w:rFonts w:ascii="Arial" w:eastAsia="Times New Roman" w:hAnsi="Arial" w:cs="Arial"/>
                <w:sz w:val="20"/>
                <w:szCs w:val="20"/>
              </w:rPr>
              <w:t xml:space="preserve">Great American </w:t>
            </w:r>
          </w:p>
          <w:p w14:paraId="79C0FA01" w14:textId="77777777" w:rsidR="009118C8" w:rsidRPr="009118C8" w:rsidRDefault="009118C8" w:rsidP="007065A8">
            <w:pPr>
              <w:spacing w:line="276" w:lineRule="auto"/>
              <w:rPr>
                <w:rFonts w:ascii="Arial" w:eastAsia="Times New Roman" w:hAnsi="Arial" w:cs="Arial"/>
                <w:sz w:val="20"/>
                <w:szCs w:val="20"/>
              </w:rPr>
            </w:pPr>
            <w:r w:rsidRPr="009118C8">
              <w:rPr>
                <w:rFonts w:ascii="Arial" w:eastAsia="Times New Roman" w:hAnsi="Arial" w:cs="Arial"/>
                <w:sz w:val="20"/>
                <w:szCs w:val="20"/>
              </w:rPr>
              <w:t>Hartford (including Navigators)</w:t>
            </w:r>
          </w:p>
          <w:p w14:paraId="7B43E827" w14:textId="77777777" w:rsidR="009118C8" w:rsidRPr="009118C8" w:rsidRDefault="009118C8" w:rsidP="007065A8">
            <w:pPr>
              <w:spacing w:line="276" w:lineRule="auto"/>
              <w:rPr>
                <w:rFonts w:ascii="Arial" w:eastAsia="Times New Roman" w:hAnsi="Arial" w:cs="Arial"/>
                <w:sz w:val="20"/>
                <w:szCs w:val="20"/>
              </w:rPr>
            </w:pPr>
            <w:r w:rsidRPr="009118C8">
              <w:rPr>
                <w:rFonts w:ascii="Arial" w:eastAsia="Times New Roman" w:hAnsi="Arial" w:cs="Arial"/>
                <w:sz w:val="20"/>
                <w:szCs w:val="20"/>
              </w:rPr>
              <w:t>Intact Financial (formerly OneBeacon)</w:t>
            </w:r>
          </w:p>
          <w:p w14:paraId="772E20AB" w14:textId="77777777" w:rsidR="009118C8" w:rsidRPr="009118C8" w:rsidRDefault="009118C8" w:rsidP="007065A8">
            <w:pPr>
              <w:spacing w:line="276" w:lineRule="auto"/>
              <w:rPr>
                <w:rFonts w:ascii="Arial" w:eastAsia="Times New Roman" w:hAnsi="Arial" w:cs="Arial"/>
                <w:sz w:val="20"/>
                <w:szCs w:val="20"/>
              </w:rPr>
            </w:pPr>
            <w:r w:rsidRPr="009118C8">
              <w:rPr>
                <w:rFonts w:ascii="Arial" w:eastAsia="Times New Roman" w:hAnsi="Arial" w:cs="Arial"/>
                <w:sz w:val="20"/>
                <w:szCs w:val="20"/>
              </w:rPr>
              <w:t>Munich Re</w:t>
            </w:r>
          </w:p>
          <w:p w14:paraId="3FA82DBE" w14:textId="77777777" w:rsidR="009118C8" w:rsidRPr="009118C8" w:rsidRDefault="009118C8" w:rsidP="007065A8">
            <w:pPr>
              <w:spacing w:line="276" w:lineRule="auto"/>
              <w:rPr>
                <w:rFonts w:ascii="Arial" w:eastAsia="Times New Roman" w:hAnsi="Arial" w:cs="Arial"/>
                <w:sz w:val="20"/>
                <w:szCs w:val="20"/>
              </w:rPr>
            </w:pPr>
            <w:r w:rsidRPr="009118C8">
              <w:rPr>
                <w:rFonts w:ascii="Arial" w:eastAsia="Times New Roman" w:hAnsi="Arial" w:cs="Arial"/>
                <w:sz w:val="20"/>
                <w:szCs w:val="20"/>
              </w:rPr>
              <w:t>Nationwide</w:t>
            </w:r>
          </w:p>
          <w:p w14:paraId="31EFA1F9" w14:textId="77777777" w:rsidR="009118C8" w:rsidRPr="006052C7" w:rsidRDefault="009118C8" w:rsidP="007065A8">
            <w:pPr>
              <w:spacing w:line="276" w:lineRule="auto"/>
              <w:rPr>
                <w:rFonts w:ascii="Arial" w:eastAsia="Times New Roman" w:hAnsi="Arial" w:cs="Arial"/>
                <w:sz w:val="20"/>
                <w:szCs w:val="20"/>
              </w:rPr>
            </w:pPr>
            <w:r w:rsidRPr="006052C7">
              <w:rPr>
                <w:rFonts w:ascii="Arial" w:eastAsia="Times New Roman" w:hAnsi="Arial" w:cs="Arial"/>
                <w:sz w:val="20"/>
                <w:szCs w:val="20"/>
              </w:rPr>
              <w:t>Old Republic (Chicago Underwriting Group)</w:t>
            </w:r>
          </w:p>
          <w:p w14:paraId="5125A007" w14:textId="77777777" w:rsidR="009118C8" w:rsidRPr="006052C7" w:rsidRDefault="009118C8" w:rsidP="007065A8">
            <w:pPr>
              <w:spacing w:line="276" w:lineRule="auto"/>
              <w:rPr>
                <w:rFonts w:ascii="Arial" w:eastAsia="Times New Roman" w:hAnsi="Arial" w:cs="Arial"/>
                <w:sz w:val="20"/>
                <w:szCs w:val="20"/>
              </w:rPr>
            </w:pPr>
            <w:r w:rsidRPr="006052C7">
              <w:rPr>
                <w:rFonts w:ascii="Arial" w:eastAsia="Times New Roman" w:hAnsi="Arial" w:cs="Arial"/>
                <w:sz w:val="20"/>
                <w:szCs w:val="20"/>
              </w:rPr>
              <w:t>RLI</w:t>
            </w:r>
          </w:p>
          <w:p w14:paraId="2B790CD4" w14:textId="77777777" w:rsidR="009118C8" w:rsidRPr="006052C7" w:rsidRDefault="009118C8" w:rsidP="007065A8">
            <w:pPr>
              <w:spacing w:line="276" w:lineRule="auto"/>
              <w:rPr>
                <w:rFonts w:ascii="Arial" w:eastAsia="Times New Roman" w:hAnsi="Arial" w:cs="Arial"/>
                <w:sz w:val="20"/>
                <w:szCs w:val="20"/>
              </w:rPr>
            </w:pPr>
            <w:r w:rsidRPr="006052C7">
              <w:rPr>
                <w:rFonts w:ascii="Arial" w:eastAsia="Times New Roman" w:hAnsi="Arial" w:cs="Arial"/>
                <w:sz w:val="20"/>
                <w:szCs w:val="20"/>
              </w:rPr>
              <w:t>RSUI Indemnity</w:t>
            </w:r>
          </w:p>
          <w:p w14:paraId="5DEDE426" w14:textId="77777777" w:rsidR="009118C8" w:rsidRPr="006052C7" w:rsidRDefault="009118C8" w:rsidP="007065A8">
            <w:pPr>
              <w:spacing w:line="276" w:lineRule="auto"/>
              <w:rPr>
                <w:rFonts w:ascii="Arial" w:eastAsia="Times New Roman" w:hAnsi="Arial" w:cs="Arial"/>
                <w:sz w:val="20"/>
                <w:szCs w:val="20"/>
              </w:rPr>
            </w:pPr>
            <w:r w:rsidRPr="006052C7">
              <w:rPr>
                <w:rFonts w:ascii="Arial" w:eastAsia="Times New Roman" w:hAnsi="Arial" w:cs="Arial"/>
                <w:sz w:val="20"/>
                <w:szCs w:val="20"/>
              </w:rPr>
              <w:t>Sompo</w:t>
            </w:r>
          </w:p>
          <w:p w14:paraId="0A567C6B" w14:textId="77777777" w:rsidR="009118C8" w:rsidRPr="006052C7" w:rsidRDefault="009118C8" w:rsidP="007065A8">
            <w:pPr>
              <w:spacing w:line="276" w:lineRule="auto"/>
              <w:rPr>
                <w:rFonts w:ascii="Arial" w:eastAsia="Times New Roman" w:hAnsi="Arial" w:cs="Arial"/>
                <w:sz w:val="20"/>
                <w:szCs w:val="20"/>
              </w:rPr>
            </w:pPr>
            <w:r w:rsidRPr="006052C7">
              <w:rPr>
                <w:rFonts w:ascii="Arial" w:eastAsia="Times New Roman" w:hAnsi="Arial" w:cs="Arial"/>
                <w:sz w:val="20"/>
                <w:szCs w:val="20"/>
              </w:rPr>
              <w:t>Swiss Re</w:t>
            </w:r>
          </w:p>
          <w:p w14:paraId="32EFDCF4" w14:textId="77777777" w:rsidR="009118C8" w:rsidRPr="006052C7" w:rsidRDefault="009118C8" w:rsidP="007065A8">
            <w:pPr>
              <w:spacing w:line="276" w:lineRule="auto"/>
              <w:rPr>
                <w:rFonts w:ascii="Arial" w:hAnsi="Arial" w:cs="Arial"/>
                <w:sz w:val="20"/>
                <w:szCs w:val="20"/>
              </w:rPr>
            </w:pPr>
            <w:r w:rsidRPr="006052C7">
              <w:rPr>
                <w:rFonts w:ascii="Arial" w:eastAsia="Times New Roman" w:hAnsi="Arial" w:cs="Arial"/>
                <w:sz w:val="20"/>
                <w:szCs w:val="20"/>
              </w:rPr>
              <w:t>Zurich</w:t>
            </w:r>
          </w:p>
        </w:tc>
      </w:tr>
      <w:tr w:rsidR="009118C8" w:rsidRPr="00FF1B62" w14:paraId="34E3409F" w14:textId="77777777" w:rsidTr="007065A8">
        <w:tc>
          <w:tcPr>
            <w:tcW w:w="2970" w:type="dxa"/>
          </w:tcPr>
          <w:p w14:paraId="080D4FB0" w14:textId="77777777" w:rsidR="009118C8" w:rsidRPr="00FF1B62" w:rsidRDefault="009118C8" w:rsidP="007065A8">
            <w:pPr>
              <w:rPr>
                <w:rFonts w:ascii="Arial" w:hAnsi="Arial" w:cs="Arial"/>
                <w:b/>
                <w:bCs/>
                <w:i/>
                <w:iCs/>
                <w:sz w:val="20"/>
                <w:szCs w:val="20"/>
              </w:rPr>
            </w:pPr>
            <w:r w:rsidRPr="006052C7">
              <w:rPr>
                <w:rFonts w:ascii="Georgia" w:hAnsi="Georgia" w:cs="Arial"/>
                <w:b/>
                <w:bCs/>
                <w:i/>
                <w:iCs/>
                <w:color w:val="0058A4"/>
                <w:sz w:val="20"/>
                <w:szCs w:val="20"/>
              </w:rPr>
              <w:t>Excellent A</w:t>
            </w:r>
          </w:p>
        </w:tc>
        <w:tc>
          <w:tcPr>
            <w:tcW w:w="6380" w:type="dxa"/>
          </w:tcPr>
          <w:p w14:paraId="01B6D51A" w14:textId="77777777" w:rsidR="009118C8" w:rsidRDefault="009118C8" w:rsidP="007065A8">
            <w:pPr>
              <w:spacing w:line="276" w:lineRule="auto"/>
              <w:rPr>
                <w:rFonts w:ascii="Arial" w:hAnsi="Arial" w:cs="Arial"/>
                <w:sz w:val="20"/>
                <w:szCs w:val="20"/>
              </w:rPr>
            </w:pPr>
            <w:r w:rsidRPr="006052C7">
              <w:rPr>
                <w:rFonts w:ascii="Arial" w:hAnsi="Arial" w:cs="Arial"/>
                <w:sz w:val="20"/>
                <w:szCs w:val="20"/>
              </w:rPr>
              <w:t>AIG</w:t>
            </w:r>
          </w:p>
          <w:p w14:paraId="5E1A08D5"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Ambridge</w:t>
            </w:r>
          </w:p>
          <w:p w14:paraId="27D1AAAD"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Applied Underwriters</w:t>
            </w:r>
          </w:p>
          <w:p w14:paraId="318D6A6B"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Aspen Specialty</w:t>
            </w:r>
          </w:p>
          <w:p w14:paraId="19384DDC"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AWAC (Allied World Assurance Co.)</w:t>
            </w:r>
          </w:p>
          <w:p w14:paraId="200FB33C"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Ascot</w:t>
            </w:r>
          </w:p>
          <w:p w14:paraId="155BD51F"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AXIS</w:t>
            </w:r>
          </w:p>
          <w:p w14:paraId="7F0BD54F"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Bowhead Underwriting (American Family)</w:t>
            </w:r>
          </w:p>
          <w:p w14:paraId="040329BE"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Canopius</w:t>
            </w:r>
          </w:p>
          <w:p w14:paraId="08652330"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Capitol Specialty</w:t>
            </w:r>
          </w:p>
          <w:p w14:paraId="2B038EA7"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CNA</w:t>
            </w:r>
          </w:p>
          <w:p w14:paraId="42846892"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Crum and Forster</w:t>
            </w:r>
          </w:p>
          <w:p w14:paraId="6CAC82F3"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DUAL</w:t>
            </w:r>
          </w:p>
          <w:p w14:paraId="3128A348"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 xml:space="preserve">Hudson </w:t>
            </w:r>
          </w:p>
          <w:p w14:paraId="7F0CD67F"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Ironshore</w:t>
            </w:r>
          </w:p>
          <w:p w14:paraId="2A8DC212" w14:textId="77777777" w:rsidR="009118C8" w:rsidRPr="009118C8" w:rsidRDefault="009118C8" w:rsidP="007065A8">
            <w:pPr>
              <w:spacing w:line="276" w:lineRule="auto"/>
              <w:rPr>
                <w:rFonts w:ascii="Arial" w:hAnsi="Arial" w:cs="Arial"/>
                <w:sz w:val="20"/>
                <w:szCs w:val="20"/>
              </w:rPr>
            </w:pPr>
            <w:bookmarkStart w:id="12" w:name="_Hlk102993132"/>
            <w:r w:rsidRPr="009118C8">
              <w:rPr>
                <w:rFonts w:ascii="Arial" w:hAnsi="Arial" w:cs="Arial"/>
                <w:sz w:val="20"/>
                <w:szCs w:val="20"/>
              </w:rPr>
              <w:t>Lloyd's of London (Beazley, Hiscox, StartPoint, Inigo, Convex, SCOR, IQUW, Ki, Tegron)</w:t>
            </w:r>
          </w:p>
          <w:bookmarkEnd w:id="12"/>
          <w:p w14:paraId="1B5AF0CD"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Markel</w:t>
            </w:r>
          </w:p>
          <w:p w14:paraId="0AD4AE29"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QBE</w:t>
            </w:r>
          </w:p>
          <w:p w14:paraId="1C2A0B87"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Starr Indemnity</w:t>
            </w:r>
          </w:p>
          <w:p w14:paraId="1408E91A" w14:textId="77777777" w:rsidR="009118C8" w:rsidRPr="006052C7" w:rsidRDefault="009118C8" w:rsidP="007065A8">
            <w:pPr>
              <w:spacing w:line="276" w:lineRule="auto"/>
              <w:rPr>
                <w:rFonts w:ascii="Arial" w:hAnsi="Arial" w:cs="Arial"/>
                <w:sz w:val="20"/>
                <w:szCs w:val="20"/>
              </w:rPr>
            </w:pPr>
            <w:r w:rsidRPr="009118C8">
              <w:rPr>
                <w:rFonts w:ascii="Arial" w:hAnsi="Arial" w:cs="Arial"/>
                <w:sz w:val="20"/>
                <w:szCs w:val="20"/>
              </w:rPr>
              <w:t>Westfield</w:t>
            </w:r>
          </w:p>
        </w:tc>
      </w:tr>
      <w:tr w:rsidR="009118C8" w:rsidRPr="00FF1B62" w14:paraId="25C3BD7B" w14:textId="77777777" w:rsidTr="007065A8">
        <w:tc>
          <w:tcPr>
            <w:tcW w:w="2970" w:type="dxa"/>
          </w:tcPr>
          <w:p w14:paraId="0D32D3C1" w14:textId="77777777" w:rsidR="009118C8" w:rsidRPr="00FF1B62" w:rsidRDefault="009118C8" w:rsidP="007065A8">
            <w:pPr>
              <w:rPr>
                <w:rFonts w:ascii="Arial" w:hAnsi="Arial" w:cs="Arial"/>
                <w:b/>
                <w:bCs/>
                <w:i/>
                <w:iCs/>
                <w:sz w:val="20"/>
                <w:szCs w:val="20"/>
              </w:rPr>
            </w:pPr>
            <w:r w:rsidRPr="006052C7">
              <w:rPr>
                <w:rFonts w:ascii="Georgia" w:hAnsi="Georgia" w:cs="Arial"/>
                <w:b/>
                <w:bCs/>
                <w:i/>
                <w:iCs/>
                <w:color w:val="0058A4"/>
                <w:sz w:val="20"/>
                <w:szCs w:val="20"/>
              </w:rPr>
              <w:t>Excellent A-</w:t>
            </w:r>
          </w:p>
        </w:tc>
        <w:tc>
          <w:tcPr>
            <w:tcW w:w="6380" w:type="dxa"/>
          </w:tcPr>
          <w:p w14:paraId="71F24B3B" w14:textId="77777777" w:rsidR="009118C8" w:rsidRPr="006052C7" w:rsidRDefault="009118C8" w:rsidP="007065A8">
            <w:pPr>
              <w:spacing w:line="276" w:lineRule="auto"/>
              <w:rPr>
                <w:rFonts w:ascii="Arial" w:hAnsi="Arial" w:cs="Arial"/>
                <w:sz w:val="20"/>
                <w:szCs w:val="20"/>
              </w:rPr>
            </w:pPr>
            <w:r w:rsidRPr="006052C7">
              <w:rPr>
                <w:rFonts w:ascii="Arial" w:hAnsi="Arial" w:cs="Arial"/>
                <w:sz w:val="20"/>
                <w:szCs w:val="20"/>
              </w:rPr>
              <w:t>AmTrust Financial (ANV and Euclid)</w:t>
            </w:r>
          </w:p>
          <w:p w14:paraId="773D1882" w14:textId="77777777" w:rsidR="009118C8" w:rsidRPr="006052C7" w:rsidRDefault="009118C8" w:rsidP="007065A8">
            <w:pPr>
              <w:spacing w:line="276" w:lineRule="auto"/>
              <w:rPr>
                <w:rFonts w:ascii="Arial" w:hAnsi="Arial" w:cs="Arial"/>
                <w:sz w:val="20"/>
                <w:szCs w:val="20"/>
              </w:rPr>
            </w:pPr>
            <w:r w:rsidRPr="006052C7">
              <w:rPr>
                <w:rFonts w:ascii="Arial" w:hAnsi="Arial" w:cs="Arial"/>
                <w:sz w:val="20"/>
                <w:szCs w:val="20"/>
              </w:rPr>
              <w:t>Arcadian (Third Point Re)</w:t>
            </w:r>
          </w:p>
          <w:p w14:paraId="7DE219A6" w14:textId="77777777" w:rsidR="009118C8" w:rsidRDefault="009118C8" w:rsidP="007065A8">
            <w:pPr>
              <w:spacing w:line="276" w:lineRule="auto"/>
              <w:rPr>
                <w:rFonts w:ascii="Arial" w:hAnsi="Arial" w:cs="Arial"/>
                <w:sz w:val="20"/>
                <w:szCs w:val="20"/>
              </w:rPr>
            </w:pPr>
            <w:r w:rsidRPr="006052C7">
              <w:rPr>
                <w:rFonts w:ascii="Arial" w:hAnsi="Arial" w:cs="Arial"/>
                <w:sz w:val="20"/>
                <w:szCs w:val="20"/>
              </w:rPr>
              <w:lastRenderedPageBreak/>
              <w:t>Argo Group</w:t>
            </w:r>
          </w:p>
          <w:p w14:paraId="65FF0132"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Coaction Global (ProSight)</w:t>
            </w:r>
          </w:p>
          <w:p w14:paraId="02DDB9CD"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Core Specialty (including Celerity Pro)</w:t>
            </w:r>
          </w:p>
          <w:p w14:paraId="0F2DB0C3"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Guide One</w:t>
            </w:r>
          </w:p>
          <w:p w14:paraId="66E2E0A9"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Hallmark</w:t>
            </w:r>
          </w:p>
          <w:p w14:paraId="28D1B09A" w14:textId="566BE051" w:rsidR="009118C8" w:rsidRDefault="009118C8" w:rsidP="007065A8">
            <w:pPr>
              <w:spacing w:line="276" w:lineRule="auto"/>
              <w:rPr>
                <w:rFonts w:ascii="Arial" w:hAnsi="Arial" w:cs="Arial"/>
                <w:sz w:val="20"/>
                <w:szCs w:val="20"/>
              </w:rPr>
            </w:pPr>
            <w:r w:rsidRPr="009118C8">
              <w:rPr>
                <w:rFonts w:ascii="Arial" w:hAnsi="Arial" w:cs="Arial"/>
                <w:sz w:val="20"/>
                <w:szCs w:val="20"/>
              </w:rPr>
              <w:t>Orion</w:t>
            </w:r>
          </w:p>
          <w:p w14:paraId="0F70CB6E" w14:textId="77777777" w:rsidR="009118C8" w:rsidRPr="009118C8" w:rsidRDefault="009118C8" w:rsidP="007065A8">
            <w:pPr>
              <w:spacing w:line="276" w:lineRule="auto"/>
              <w:rPr>
                <w:rFonts w:ascii="Arial" w:hAnsi="Arial" w:cs="Arial"/>
                <w:sz w:val="20"/>
                <w:szCs w:val="20"/>
              </w:rPr>
            </w:pPr>
            <w:r w:rsidRPr="009118C8">
              <w:rPr>
                <w:rFonts w:ascii="Arial" w:hAnsi="Arial" w:cs="Arial"/>
                <w:sz w:val="20"/>
                <w:szCs w:val="20"/>
              </w:rPr>
              <w:t>Skyward Specialty</w:t>
            </w:r>
          </w:p>
          <w:p w14:paraId="7538F960" w14:textId="77777777" w:rsidR="009118C8" w:rsidRPr="006052C7" w:rsidRDefault="009118C8" w:rsidP="007065A8">
            <w:pPr>
              <w:spacing w:line="276" w:lineRule="auto"/>
              <w:rPr>
                <w:rFonts w:ascii="Arial" w:hAnsi="Arial" w:cs="Arial"/>
                <w:sz w:val="20"/>
                <w:szCs w:val="20"/>
              </w:rPr>
            </w:pPr>
            <w:r w:rsidRPr="009118C8">
              <w:rPr>
                <w:rFonts w:ascii="Arial" w:hAnsi="Arial" w:cs="Arial"/>
                <w:sz w:val="20"/>
                <w:szCs w:val="20"/>
              </w:rPr>
              <w:t>Vantage</w:t>
            </w:r>
          </w:p>
        </w:tc>
      </w:tr>
    </w:tbl>
    <w:p w14:paraId="77AFF7C2" w14:textId="3A6FD73D" w:rsidR="001E13BD" w:rsidRPr="001E13BD" w:rsidRDefault="001E13BD" w:rsidP="001E13BD">
      <w:pPr>
        <w:rPr>
          <w:rFonts w:ascii="Arial" w:hAnsi="Arial" w:cs="Arial"/>
          <w:i/>
          <w:iCs/>
          <w:sz w:val="16"/>
          <w:szCs w:val="16"/>
        </w:rPr>
      </w:pPr>
      <w:r w:rsidRPr="001E13BD">
        <w:rPr>
          <w:rFonts w:ascii="Arial" w:hAnsi="Arial" w:cs="Arial"/>
          <w:i/>
          <w:iCs/>
          <w:sz w:val="16"/>
          <w:szCs w:val="16"/>
        </w:rPr>
        <w:t xml:space="preserve">Source: AM Best  The above rating information is provided for informational purposes only and is not comprehensive. For complete and current information on AM Best ratings, please visit their website at </w:t>
      </w:r>
      <w:hyperlink r:id="rId62" w:history="1">
        <w:r w:rsidRPr="001E13BD">
          <w:rPr>
            <w:rStyle w:val="Hyperlink"/>
            <w:rFonts w:ascii="Arial" w:hAnsi="Arial" w:cs="Arial"/>
            <w:i/>
            <w:iCs/>
            <w:sz w:val="16"/>
            <w:szCs w:val="16"/>
          </w:rPr>
          <w:t>www.ambest.com</w:t>
        </w:r>
      </w:hyperlink>
      <w:r w:rsidRPr="001E13BD">
        <w:rPr>
          <w:rFonts w:ascii="Arial" w:hAnsi="Arial" w:cs="Arial"/>
          <w:i/>
          <w:iCs/>
          <w:sz w:val="16"/>
          <w:szCs w:val="16"/>
        </w:rPr>
        <w:t>.</w:t>
      </w:r>
    </w:p>
    <w:p w14:paraId="19A55A1D" w14:textId="13C08BA8" w:rsidR="00786891" w:rsidRPr="00A94665" w:rsidRDefault="001E13BD" w:rsidP="006E22F7">
      <w:pPr>
        <w:rPr>
          <w:b/>
          <w:iCs/>
          <w:color w:val="0067B1"/>
          <w:sz w:val="28"/>
          <w:szCs w:val="28"/>
        </w:rPr>
      </w:pPr>
      <w:r>
        <w:rPr>
          <w:iCs/>
          <w:color w:val="0067B1"/>
          <w:sz w:val="28"/>
          <w:szCs w:val="28"/>
        </w:rPr>
        <w:br w:type="page"/>
      </w:r>
      <w:r w:rsidR="00786891" w:rsidRPr="00A94665">
        <w:rPr>
          <w:iCs/>
          <w:color w:val="0067B1"/>
          <w:sz w:val="28"/>
          <w:szCs w:val="28"/>
        </w:rPr>
        <w:lastRenderedPageBreak/>
        <w:t xml:space="preserve">Appendix A. </w:t>
      </w:r>
      <w:r w:rsidR="00833EE2" w:rsidRPr="00A94665">
        <w:rPr>
          <w:iCs/>
          <w:color w:val="0067B1"/>
          <w:sz w:val="28"/>
          <w:szCs w:val="28"/>
        </w:rPr>
        <w:t>Securities</w:t>
      </w:r>
      <w:r w:rsidR="00786891" w:rsidRPr="00A94665">
        <w:rPr>
          <w:iCs/>
          <w:color w:val="0067B1"/>
          <w:sz w:val="28"/>
          <w:szCs w:val="28"/>
        </w:rPr>
        <w:t xml:space="preserve"> Litigation Loss Prevention  </w:t>
      </w:r>
    </w:p>
    <w:p w14:paraId="777ED696" w14:textId="77777777" w:rsidR="00786891" w:rsidRDefault="00786891" w:rsidP="00786891">
      <w:pPr>
        <w:spacing w:line="360" w:lineRule="auto"/>
        <w:jc w:val="both"/>
        <w:rPr>
          <w:rFonts w:ascii="Arial" w:hAnsi="Arial" w:cs="Arial"/>
        </w:rPr>
      </w:pPr>
      <w:r w:rsidRPr="00196084">
        <w:rPr>
          <w:rFonts w:ascii="Arial" w:hAnsi="Arial" w:cs="Arial"/>
        </w:rPr>
        <w:t>There are a variety of steps that IPO companies can take as part of the day-to-day operations in order to reduce their risk of securities litigation. Because of the heightened securities litigation risk that they face, it is p</w:t>
      </w:r>
      <w:r>
        <w:rPr>
          <w:rFonts w:ascii="Arial" w:hAnsi="Arial" w:cs="Arial"/>
        </w:rPr>
        <w:t>articularly important that IPO c</w:t>
      </w:r>
      <w:r w:rsidRPr="00196084">
        <w:rPr>
          <w:rFonts w:ascii="Arial" w:hAnsi="Arial" w:cs="Arial"/>
        </w:rPr>
        <w:t xml:space="preserve">ompanies consider discussing with their outside counsel the adoption of prudent securities litigation loss prevention measures.  </w:t>
      </w:r>
    </w:p>
    <w:p w14:paraId="57FB2057" w14:textId="77777777" w:rsidR="00786891" w:rsidRPr="00196084" w:rsidRDefault="00786891" w:rsidP="00833EE2">
      <w:pPr>
        <w:spacing w:line="240" w:lineRule="auto"/>
        <w:jc w:val="both"/>
        <w:rPr>
          <w:rFonts w:ascii="Arial" w:hAnsi="Arial" w:cs="Arial"/>
        </w:rPr>
      </w:pPr>
    </w:p>
    <w:p w14:paraId="5814A084" w14:textId="77777777" w:rsidR="00786891" w:rsidRDefault="00786891" w:rsidP="00786891">
      <w:pPr>
        <w:pStyle w:val="NormalWeb"/>
        <w:spacing w:line="360" w:lineRule="auto"/>
        <w:jc w:val="both"/>
        <w:rPr>
          <w:rFonts w:ascii="Arial" w:hAnsi="Arial" w:cs="Arial"/>
          <w:color w:val="000000"/>
          <w:sz w:val="22"/>
          <w:szCs w:val="22"/>
        </w:rPr>
      </w:pPr>
      <w:r w:rsidRPr="00A94665">
        <w:rPr>
          <w:rFonts w:ascii="Arial" w:hAnsi="Arial" w:cs="Arial"/>
          <w:b/>
          <w:color w:val="0067B1"/>
          <w:sz w:val="22"/>
          <w:szCs w:val="22"/>
        </w:rPr>
        <w:t>Insider Trading</w:t>
      </w:r>
      <w:r w:rsidR="00833EE2" w:rsidRPr="00A94665">
        <w:rPr>
          <w:rFonts w:ascii="Arial" w:hAnsi="Arial" w:cs="Arial"/>
          <w:b/>
          <w:bCs/>
          <w:color w:val="0067B1"/>
          <w:sz w:val="22"/>
          <w:szCs w:val="22"/>
        </w:rPr>
        <w:t xml:space="preserve">  </w:t>
      </w:r>
      <w:r w:rsidRPr="00A94665">
        <w:rPr>
          <w:rFonts w:ascii="Arial" w:hAnsi="Arial" w:cs="Arial"/>
          <w:color w:val="0067B1"/>
          <w:sz w:val="22"/>
          <w:szCs w:val="22"/>
        </w:rPr>
        <w:t xml:space="preserve"> </w:t>
      </w:r>
      <w:bookmarkStart w:id="13" w:name="F30"/>
      <w:bookmarkEnd w:id="13"/>
      <w:r w:rsidRPr="00196084">
        <w:rPr>
          <w:rFonts w:ascii="Arial" w:hAnsi="Arial" w:cs="Arial"/>
          <w:color w:val="000000"/>
          <w:sz w:val="22"/>
          <w:szCs w:val="22"/>
        </w:rPr>
        <w:t>The typical securities fraud lawsuit is triggered by a company's announcement of bad news followed by a significant drop in the company's stock price. Plaintiffs likely will allege that the defendants fraudulently misrepresented or concealed material information in an effort to inflate the company’s stock price. Evidence of any insider sales prior to the release of the bad news will significantly magnify the defendants' liability exposure, because plaintiffs will attempt to use insider sales as evidence of the defendants’ fraudulent intent.</w:t>
      </w:r>
    </w:p>
    <w:p w14:paraId="2A5ECBE9" w14:textId="77777777" w:rsidR="00786891" w:rsidRPr="00196084" w:rsidRDefault="00786891" w:rsidP="00786891">
      <w:pPr>
        <w:pStyle w:val="NormalWeb"/>
        <w:spacing w:line="360" w:lineRule="auto"/>
        <w:jc w:val="both"/>
        <w:rPr>
          <w:rFonts w:ascii="Arial" w:hAnsi="Arial" w:cs="Arial"/>
          <w:sz w:val="22"/>
          <w:szCs w:val="22"/>
        </w:rPr>
      </w:pPr>
    </w:p>
    <w:p w14:paraId="11C168F6" w14:textId="77777777" w:rsidR="00786891" w:rsidRDefault="00786891" w:rsidP="00786891">
      <w:pPr>
        <w:pStyle w:val="NormalWeb"/>
        <w:spacing w:line="360" w:lineRule="auto"/>
        <w:jc w:val="both"/>
        <w:rPr>
          <w:rFonts w:ascii="Arial" w:hAnsi="Arial" w:cs="Arial"/>
          <w:color w:val="000000"/>
          <w:sz w:val="22"/>
          <w:szCs w:val="22"/>
        </w:rPr>
      </w:pPr>
      <w:r w:rsidRPr="00196084">
        <w:rPr>
          <w:rFonts w:ascii="Arial" w:hAnsi="Arial" w:cs="Arial"/>
          <w:color w:val="000000"/>
          <w:sz w:val="22"/>
          <w:szCs w:val="22"/>
        </w:rPr>
        <w:t xml:space="preserve">Plaintiffs' ability to use insider trading this way may arise not so much from the defendants' actual fraud as from the </w:t>
      </w:r>
      <w:r w:rsidRPr="00196084">
        <w:rPr>
          <w:rFonts w:ascii="Arial" w:hAnsi="Arial" w:cs="Arial"/>
          <w:i/>
          <w:iCs/>
          <w:color w:val="000000"/>
          <w:sz w:val="22"/>
          <w:szCs w:val="22"/>
        </w:rPr>
        <w:t>appearance</w:t>
      </w:r>
      <w:r w:rsidRPr="00196084">
        <w:rPr>
          <w:rFonts w:ascii="Arial" w:hAnsi="Arial" w:cs="Arial"/>
          <w:color w:val="000000"/>
          <w:sz w:val="22"/>
          <w:szCs w:val="22"/>
        </w:rPr>
        <w:t xml:space="preserve"> of fraud, </w:t>
      </w:r>
      <w:r w:rsidRPr="00196084">
        <w:rPr>
          <w:rFonts w:ascii="Arial" w:hAnsi="Arial" w:cs="Arial"/>
          <w:i/>
          <w:iCs/>
          <w:color w:val="000000"/>
          <w:sz w:val="22"/>
          <w:szCs w:val="22"/>
        </w:rPr>
        <w:t>i.e</w:t>
      </w:r>
      <w:r w:rsidRPr="00196084">
        <w:rPr>
          <w:rFonts w:ascii="Arial" w:hAnsi="Arial" w:cs="Arial"/>
          <w:color w:val="000000"/>
          <w:sz w:val="22"/>
          <w:szCs w:val="22"/>
        </w:rPr>
        <w:t>., the suggestion that insiders misrepresented or concealed information in order to profit or avoid losses in their own company stock portfolio. Defendants may ultimately defeat the allegations, but the appearance of fraud tied to insider trading could preclude early dismissal of the lawsuit, resulting in protracted and costly litigation for both the company and its directors and officers.</w:t>
      </w:r>
    </w:p>
    <w:p w14:paraId="43E46B80" w14:textId="77777777" w:rsidR="00786891" w:rsidRPr="00196084" w:rsidRDefault="00786891" w:rsidP="00786891">
      <w:pPr>
        <w:pStyle w:val="NormalWeb"/>
        <w:spacing w:line="360" w:lineRule="auto"/>
        <w:jc w:val="both"/>
        <w:rPr>
          <w:rFonts w:ascii="Arial" w:hAnsi="Arial" w:cs="Arial"/>
          <w:sz w:val="22"/>
          <w:szCs w:val="22"/>
        </w:rPr>
      </w:pPr>
    </w:p>
    <w:p w14:paraId="2CFCE7F1" w14:textId="77777777" w:rsidR="00786891" w:rsidRDefault="00786891" w:rsidP="00786891">
      <w:pPr>
        <w:pStyle w:val="NormalWeb"/>
        <w:spacing w:line="360" w:lineRule="auto"/>
        <w:jc w:val="both"/>
        <w:rPr>
          <w:rFonts w:ascii="Arial" w:hAnsi="Arial" w:cs="Arial"/>
          <w:color w:val="000000"/>
          <w:sz w:val="22"/>
          <w:szCs w:val="22"/>
        </w:rPr>
      </w:pPr>
      <w:bookmarkStart w:id="14" w:name="F55"/>
      <w:bookmarkEnd w:id="14"/>
      <w:r w:rsidRPr="00196084">
        <w:rPr>
          <w:rFonts w:ascii="Arial" w:hAnsi="Arial" w:cs="Arial"/>
          <w:color w:val="000000"/>
          <w:sz w:val="22"/>
          <w:szCs w:val="22"/>
        </w:rPr>
        <w:t>The single most important step for a company to take to reduce its securities litigation exposure is to institute procedu</w:t>
      </w:r>
      <w:r>
        <w:rPr>
          <w:rFonts w:ascii="Arial" w:hAnsi="Arial" w:cs="Arial"/>
          <w:color w:val="000000"/>
          <w:sz w:val="22"/>
          <w:szCs w:val="22"/>
        </w:rPr>
        <w:t>res to eliminate insiders trading</w:t>
      </w:r>
      <w:r w:rsidRPr="00196084">
        <w:rPr>
          <w:rFonts w:ascii="Arial" w:hAnsi="Arial" w:cs="Arial"/>
          <w:color w:val="000000"/>
          <w:sz w:val="22"/>
          <w:szCs w:val="22"/>
        </w:rPr>
        <w:t xml:space="preserve"> their shares of the company’s stock in suspicious amounts at suspicious times. Well-advised companies will review with their outside counsel the possibility of instituting written insider trading guidelines that identify procedures governing all trades in company securities by directors, officers and employees. The implementation of well-crafted written guidelines can reduce the possibility of trading at times that might be viewed as suspicious in a litigation context. The written insider trading guidelines should encompass at least the following: the identification of a central trading compliance officer; the establishment of trading windows and blackouts; and a procedure for the institution of special blackouts during particularly sensitive times. </w:t>
      </w:r>
    </w:p>
    <w:p w14:paraId="7D5AC53D" w14:textId="77777777" w:rsidR="00786891" w:rsidRPr="00196084" w:rsidRDefault="00786891" w:rsidP="00786891">
      <w:pPr>
        <w:pStyle w:val="NormalWeb"/>
        <w:spacing w:line="360" w:lineRule="auto"/>
        <w:jc w:val="both"/>
        <w:rPr>
          <w:rFonts w:ascii="Arial" w:hAnsi="Arial" w:cs="Arial"/>
          <w:color w:val="000000"/>
          <w:sz w:val="22"/>
          <w:szCs w:val="22"/>
        </w:rPr>
      </w:pPr>
    </w:p>
    <w:p w14:paraId="1E4DBA4F" w14:textId="77777777" w:rsidR="00786891" w:rsidRPr="00196084" w:rsidRDefault="00786891" w:rsidP="00786891">
      <w:pPr>
        <w:pStyle w:val="NormalWeb"/>
        <w:spacing w:line="360" w:lineRule="auto"/>
        <w:jc w:val="both"/>
        <w:rPr>
          <w:rFonts w:ascii="Arial" w:hAnsi="Arial" w:cs="Arial"/>
          <w:sz w:val="22"/>
          <w:szCs w:val="22"/>
        </w:rPr>
      </w:pPr>
      <w:r w:rsidRPr="00196084">
        <w:rPr>
          <w:rFonts w:ascii="Arial" w:hAnsi="Arial" w:cs="Arial"/>
          <w:color w:val="000000"/>
          <w:sz w:val="22"/>
          <w:szCs w:val="22"/>
        </w:rPr>
        <w:t xml:space="preserve">Another way to try to eliminate the possible adverse inference that might otherwise arise from insider trading is for insiders who anticipate trading their shares to adopt written trading plans. </w:t>
      </w:r>
      <w:r w:rsidRPr="00196084">
        <w:rPr>
          <w:rFonts w:ascii="Arial" w:hAnsi="Arial" w:cs="Arial"/>
          <w:color w:val="000000"/>
          <w:sz w:val="22"/>
          <w:szCs w:val="22"/>
        </w:rPr>
        <w:lastRenderedPageBreak/>
        <w:t>The SEC's Rule 10b5-1 specifies the steps that individuals can take to reduce insider trading risks. Trades made pursuant to a Rule 10b5-1 trading plan cannot be used as the basis from which to try to draw the inference of fraudulent intent. Rule 10b5-1's provisions are designed to provide "appropriate flexibility to persons who wish to structure securities trading plans and strategies when they are not aware of material nonpublic information, and do not exercise any influence over the transaction." These provisions specify several means by which persons may safely trade in their own holdings of the company's securities; individuals may:</w:t>
      </w:r>
    </w:p>
    <w:p w14:paraId="26F13A00" w14:textId="77777777" w:rsidR="00786891" w:rsidRPr="00833EE2" w:rsidRDefault="00786891" w:rsidP="00B20509">
      <w:pPr>
        <w:pStyle w:val="ListParagraph"/>
        <w:numPr>
          <w:ilvl w:val="0"/>
          <w:numId w:val="6"/>
        </w:numPr>
        <w:spacing w:before="100" w:beforeAutospacing="1" w:after="100" w:afterAutospacing="1" w:line="360" w:lineRule="auto"/>
        <w:jc w:val="both"/>
        <w:rPr>
          <w:rFonts w:ascii="Arial" w:hAnsi="Arial" w:cs="Arial"/>
        </w:rPr>
      </w:pPr>
      <w:r w:rsidRPr="00833EE2">
        <w:rPr>
          <w:rFonts w:ascii="Arial" w:hAnsi="Arial" w:cs="Arial"/>
          <w:color w:val="000000"/>
        </w:rPr>
        <w:t>Enter into a binding contract to purchase or sell the security;</w:t>
      </w:r>
      <w:r w:rsidRPr="00833EE2">
        <w:rPr>
          <w:rFonts w:ascii="Arial" w:hAnsi="Arial" w:cs="Arial"/>
        </w:rPr>
        <w:t xml:space="preserve"> </w:t>
      </w:r>
    </w:p>
    <w:p w14:paraId="0F4AC88D" w14:textId="77777777" w:rsidR="00786891" w:rsidRPr="00833EE2" w:rsidRDefault="00786891" w:rsidP="00B20509">
      <w:pPr>
        <w:pStyle w:val="ListParagraph"/>
        <w:numPr>
          <w:ilvl w:val="0"/>
          <w:numId w:val="6"/>
        </w:numPr>
        <w:spacing w:before="100" w:beforeAutospacing="1" w:after="100" w:afterAutospacing="1" w:line="360" w:lineRule="auto"/>
        <w:jc w:val="both"/>
        <w:rPr>
          <w:rFonts w:ascii="Arial" w:hAnsi="Arial" w:cs="Arial"/>
        </w:rPr>
      </w:pPr>
      <w:r w:rsidRPr="00833EE2">
        <w:rPr>
          <w:rFonts w:ascii="Arial" w:hAnsi="Arial" w:cs="Arial"/>
          <w:color w:val="000000"/>
        </w:rPr>
        <w:t>Provide instructions to another person to execute the trade for the instructing person's account; or,</w:t>
      </w:r>
      <w:r w:rsidRPr="00833EE2">
        <w:rPr>
          <w:rFonts w:ascii="Arial" w:hAnsi="Arial" w:cs="Arial"/>
        </w:rPr>
        <w:t xml:space="preserve"> </w:t>
      </w:r>
    </w:p>
    <w:p w14:paraId="42FC85B1" w14:textId="77777777" w:rsidR="00786891" w:rsidRPr="00196084" w:rsidRDefault="00786891" w:rsidP="00B20509">
      <w:pPr>
        <w:pStyle w:val="NormalWeb"/>
        <w:numPr>
          <w:ilvl w:val="0"/>
          <w:numId w:val="6"/>
        </w:numPr>
        <w:spacing w:before="100" w:beforeAutospacing="1" w:after="100" w:afterAutospacing="1" w:line="360" w:lineRule="auto"/>
        <w:jc w:val="both"/>
        <w:rPr>
          <w:rFonts w:ascii="Arial" w:hAnsi="Arial" w:cs="Arial"/>
          <w:sz w:val="22"/>
          <w:szCs w:val="22"/>
        </w:rPr>
      </w:pPr>
      <w:r w:rsidRPr="00196084">
        <w:rPr>
          <w:rFonts w:ascii="Arial" w:hAnsi="Arial" w:cs="Arial"/>
          <w:color w:val="000000"/>
          <w:sz w:val="22"/>
          <w:szCs w:val="22"/>
        </w:rPr>
        <w:t>Adopt a written plan for trading securities.</w:t>
      </w:r>
    </w:p>
    <w:p w14:paraId="6CA1A12D" w14:textId="77777777" w:rsidR="00786891" w:rsidRDefault="00786891" w:rsidP="00786891">
      <w:pPr>
        <w:pStyle w:val="NormalWeb"/>
        <w:spacing w:line="360" w:lineRule="auto"/>
        <w:jc w:val="both"/>
        <w:rPr>
          <w:rFonts w:ascii="Arial" w:hAnsi="Arial" w:cs="Arial"/>
          <w:color w:val="000000"/>
          <w:sz w:val="22"/>
          <w:szCs w:val="22"/>
        </w:rPr>
      </w:pPr>
      <w:r w:rsidRPr="00196084">
        <w:rPr>
          <w:rFonts w:ascii="Arial" w:hAnsi="Arial" w:cs="Arial"/>
          <w:color w:val="000000"/>
          <w:sz w:val="22"/>
          <w:szCs w:val="22"/>
        </w:rPr>
        <w:t xml:space="preserve">The company’s outside counsel can provide detailed advice on structuring Rule 10b5-1 trading plans. </w:t>
      </w:r>
    </w:p>
    <w:p w14:paraId="0FB13F4D" w14:textId="77777777" w:rsidR="00833EE2" w:rsidRPr="00A94665" w:rsidRDefault="00833EE2" w:rsidP="00786891">
      <w:pPr>
        <w:pStyle w:val="NormalWeb"/>
        <w:spacing w:line="360" w:lineRule="auto"/>
        <w:jc w:val="both"/>
        <w:rPr>
          <w:rFonts w:ascii="Arial" w:hAnsi="Arial" w:cs="Arial"/>
          <w:b/>
          <w:color w:val="0067B1"/>
          <w:sz w:val="22"/>
          <w:szCs w:val="22"/>
        </w:rPr>
      </w:pPr>
    </w:p>
    <w:p w14:paraId="1DD61B81" w14:textId="77777777" w:rsidR="00786891" w:rsidRDefault="00786891" w:rsidP="00786891">
      <w:pPr>
        <w:pStyle w:val="NormalWeb"/>
        <w:spacing w:line="360" w:lineRule="auto"/>
        <w:jc w:val="both"/>
        <w:rPr>
          <w:rFonts w:ascii="Arial" w:hAnsi="Arial" w:cs="Arial"/>
          <w:color w:val="000000"/>
          <w:sz w:val="22"/>
          <w:szCs w:val="22"/>
        </w:rPr>
      </w:pPr>
      <w:r w:rsidRPr="00A94665">
        <w:rPr>
          <w:rFonts w:ascii="Arial" w:hAnsi="Arial" w:cs="Arial"/>
          <w:b/>
          <w:color w:val="0067B1"/>
          <w:sz w:val="22"/>
          <w:szCs w:val="22"/>
        </w:rPr>
        <w:t>Disclosure Practices</w:t>
      </w:r>
      <w:r w:rsidR="00833EE2" w:rsidRPr="00A94665">
        <w:rPr>
          <w:rFonts w:ascii="Arial" w:hAnsi="Arial" w:cs="Arial"/>
          <w:b/>
          <w:bCs/>
          <w:color w:val="0067B1"/>
          <w:sz w:val="22"/>
          <w:szCs w:val="22"/>
        </w:rPr>
        <w:t xml:space="preserve">  </w:t>
      </w:r>
      <w:r w:rsidRPr="00A94665">
        <w:rPr>
          <w:rFonts w:ascii="Arial" w:hAnsi="Arial" w:cs="Arial"/>
          <w:b/>
          <w:bCs/>
          <w:color w:val="0067B1"/>
          <w:sz w:val="22"/>
          <w:szCs w:val="22"/>
        </w:rPr>
        <w:t xml:space="preserve"> </w:t>
      </w:r>
      <w:r w:rsidRPr="00196084">
        <w:rPr>
          <w:rFonts w:ascii="Arial" w:hAnsi="Arial" w:cs="Arial"/>
          <w:color w:val="000000"/>
          <w:sz w:val="22"/>
          <w:szCs w:val="22"/>
        </w:rPr>
        <w:t xml:space="preserve">A company and its management can protect themselves from securities litigation risks by using the company’s periodic SEC reports and other regular shareholder reports as an opportunity for "defensive disclosure" of known trends, uncertainties and business risks that the company faces. In order to achieve the purposes of defensive disclosure, the company's periodic reporting must focus on events both internal and external to the company that would cause the reported financial information to be not necessarily indicative of its future operating results or financial condition. The same considerations that apply to the disclosure of "risk factors" in a company's Registration Statement at the time of its IPO could be applied to the company's disclosure in its periodic reporting. </w:t>
      </w:r>
    </w:p>
    <w:p w14:paraId="39E9F5FC" w14:textId="77777777" w:rsidR="00786891" w:rsidRPr="00196084" w:rsidRDefault="00786891" w:rsidP="00786891">
      <w:pPr>
        <w:pStyle w:val="NormalWeb"/>
        <w:spacing w:line="360" w:lineRule="auto"/>
        <w:jc w:val="both"/>
        <w:rPr>
          <w:rFonts w:ascii="Arial" w:hAnsi="Arial" w:cs="Arial"/>
          <w:color w:val="000000"/>
          <w:sz w:val="22"/>
          <w:szCs w:val="22"/>
        </w:rPr>
      </w:pPr>
    </w:p>
    <w:p w14:paraId="5F8EA162" w14:textId="77777777" w:rsidR="00786891" w:rsidRDefault="00786891" w:rsidP="00786891">
      <w:pPr>
        <w:pStyle w:val="NormalWeb"/>
        <w:spacing w:line="360" w:lineRule="auto"/>
        <w:jc w:val="both"/>
        <w:rPr>
          <w:rFonts w:ascii="Arial" w:hAnsi="Arial" w:cs="Arial"/>
          <w:color w:val="000000"/>
          <w:sz w:val="22"/>
          <w:szCs w:val="22"/>
        </w:rPr>
      </w:pPr>
      <w:r w:rsidRPr="00196084">
        <w:rPr>
          <w:rFonts w:ascii="Arial" w:hAnsi="Arial" w:cs="Arial"/>
          <w:color w:val="000000"/>
          <w:sz w:val="22"/>
          <w:szCs w:val="22"/>
        </w:rPr>
        <w:t xml:space="preserve">The potential benefit for companies adopting disciplined disclosure practices was significantly enhanced when Congress included “safe harbor” protection in the Private Securities Litigation Reform Act. The safe harbor provisions provide immunity from securities liability for forward looking statements if certain disclosures accompany the statements. The Act's safe harbor protection will be most valuable for companies that habitually discipline their communications procedures to bring their statements within the disclosure requirements. </w:t>
      </w:r>
    </w:p>
    <w:p w14:paraId="7DD20876" w14:textId="77777777" w:rsidR="00786891" w:rsidRPr="00196084" w:rsidRDefault="00786891" w:rsidP="00786891">
      <w:pPr>
        <w:pStyle w:val="NormalWeb"/>
        <w:spacing w:line="360" w:lineRule="auto"/>
        <w:jc w:val="both"/>
        <w:rPr>
          <w:rFonts w:ascii="Arial" w:hAnsi="Arial" w:cs="Arial"/>
          <w:color w:val="000000"/>
          <w:sz w:val="22"/>
          <w:szCs w:val="22"/>
        </w:rPr>
      </w:pPr>
    </w:p>
    <w:p w14:paraId="7D9B8B3A" w14:textId="77777777" w:rsidR="00786891" w:rsidRPr="00196084" w:rsidRDefault="00786891" w:rsidP="00786891">
      <w:pPr>
        <w:pStyle w:val="NormalWeb"/>
        <w:spacing w:line="360" w:lineRule="auto"/>
        <w:jc w:val="both"/>
        <w:rPr>
          <w:rFonts w:ascii="Arial" w:hAnsi="Arial" w:cs="Arial"/>
          <w:sz w:val="22"/>
          <w:szCs w:val="22"/>
        </w:rPr>
      </w:pPr>
      <w:r w:rsidRPr="00196084">
        <w:rPr>
          <w:rFonts w:ascii="Arial" w:hAnsi="Arial" w:cs="Arial"/>
          <w:color w:val="000000"/>
          <w:sz w:val="22"/>
          <w:szCs w:val="22"/>
        </w:rPr>
        <w:t>In order to avail itself of the protection of defensive disclosure and to take advantage of safe harbor provisions, well</w:t>
      </w:r>
      <w:r>
        <w:rPr>
          <w:rFonts w:ascii="Arial" w:hAnsi="Arial" w:cs="Arial"/>
          <w:color w:val="000000"/>
          <w:sz w:val="22"/>
          <w:szCs w:val="22"/>
        </w:rPr>
        <w:t>-</w:t>
      </w:r>
      <w:r w:rsidRPr="00196084">
        <w:rPr>
          <w:rFonts w:ascii="Arial" w:hAnsi="Arial" w:cs="Arial"/>
          <w:color w:val="000000"/>
          <w:sz w:val="22"/>
          <w:szCs w:val="22"/>
        </w:rPr>
        <w:t xml:space="preserve">advised companies may wish to consider discussing with their outside </w:t>
      </w:r>
      <w:r w:rsidRPr="00196084">
        <w:rPr>
          <w:rFonts w:ascii="Arial" w:hAnsi="Arial" w:cs="Arial"/>
          <w:color w:val="000000"/>
          <w:sz w:val="22"/>
          <w:szCs w:val="22"/>
        </w:rPr>
        <w:lastRenderedPageBreak/>
        <w:t>counsel the adoption of an internal written policy statement dictating procedures to ensure disclosure. Any policy should include</w:t>
      </w:r>
      <w:r>
        <w:rPr>
          <w:rFonts w:ascii="Arial" w:hAnsi="Arial" w:cs="Arial"/>
          <w:color w:val="000000"/>
          <w:sz w:val="22"/>
          <w:szCs w:val="22"/>
        </w:rPr>
        <w:t xml:space="preserve"> </w:t>
      </w:r>
      <w:r w:rsidRPr="00196084">
        <w:rPr>
          <w:rFonts w:ascii="Arial" w:hAnsi="Arial" w:cs="Arial"/>
          <w:color w:val="000000"/>
          <w:sz w:val="22"/>
          <w:szCs w:val="22"/>
        </w:rPr>
        <w:t xml:space="preserve">at least the following elements: </w:t>
      </w:r>
    </w:p>
    <w:p w14:paraId="533933B8" w14:textId="77777777" w:rsidR="00786891" w:rsidRPr="00196084" w:rsidRDefault="00786891" w:rsidP="00B20509">
      <w:pPr>
        <w:numPr>
          <w:ilvl w:val="0"/>
          <w:numId w:val="4"/>
        </w:numPr>
        <w:spacing w:before="100" w:beforeAutospacing="1" w:after="100" w:afterAutospacing="1" w:line="360" w:lineRule="auto"/>
        <w:jc w:val="both"/>
        <w:rPr>
          <w:rFonts w:ascii="Arial" w:hAnsi="Arial" w:cs="Arial"/>
        </w:rPr>
      </w:pPr>
      <w:r w:rsidRPr="00196084">
        <w:rPr>
          <w:rFonts w:ascii="Arial" w:hAnsi="Arial" w:cs="Arial"/>
          <w:color w:val="000000"/>
        </w:rPr>
        <w:t xml:space="preserve">A commitment to provide stockholders and potential investors with the information they need to understand the company's financial condition and the material known risks, trends and uncertainties that the company faces. </w:t>
      </w:r>
    </w:p>
    <w:p w14:paraId="5481F93A" w14:textId="77777777" w:rsidR="00786891" w:rsidRPr="00196084" w:rsidRDefault="00786891" w:rsidP="00B20509">
      <w:pPr>
        <w:numPr>
          <w:ilvl w:val="0"/>
          <w:numId w:val="4"/>
        </w:numPr>
        <w:spacing w:before="100" w:beforeAutospacing="1" w:after="100" w:afterAutospacing="1" w:line="360" w:lineRule="auto"/>
        <w:jc w:val="both"/>
        <w:rPr>
          <w:rFonts w:ascii="Arial" w:hAnsi="Arial" w:cs="Arial"/>
        </w:rPr>
      </w:pPr>
      <w:r w:rsidRPr="00196084">
        <w:rPr>
          <w:rFonts w:ascii="Arial" w:hAnsi="Arial" w:cs="Arial"/>
          <w:color w:val="000000"/>
        </w:rPr>
        <w:t xml:space="preserve">An undertaking to include in periodic reports a separate section where the company discusses known risks, trends and uncertainties, and also to ensure that any optimistic statements in the company's periodic reports are accompanied by precautionary disclosure of any barriers that might prevent the optimistic expectations from being realized. </w:t>
      </w:r>
    </w:p>
    <w:p w14:paraId="194308AE" w14:textId="77777777" w:rsidR="00786891" w:rsidRPr="00196084" w:rsidRDefault="00786891" w:rsidP="00B20509">
      <w:pPr>
        <w:numPr>
          <w:ilvl w:val="0"/>
          <w:numId w:val="4"/>
        </w:numPr>
        <w:spacing w:before="100" w:beforeAutospacing="1" w:after="100" w:afterAutospacing="1" w:line="360" w:lineRule="auto"/>
        <w:jc w:val="both"/>
        <w:rPr>
          <w:rFonts w:ascii="Arial" w:hAnsi="Arial" w:cs="Arial"/>
        </w:rPr>
      </w:pPr>
      <w:r w:rsidRPr="00196084">
        <w:rPr>
          <w:rFonts w:ascii="Arial" w:hAnsi="Arial" w:cs="Arial"/>
          <w:color w:val="000000"/>
        </w:rPr>
        <w:t xml:space="preserve">The establishment of a checklist to ensure that all communications contain the requisite language to bring all forward looking statements within the protection of the safe harbor provision. </w:t>
      </w:r>
    </w:p>
    <w:p w14:paraId="3BB0B030" w14:textId="77777777" w:rsidR="00786891" w:rsidRPr="00196084" w:rsidRDefault="00786891" w:rsidP="00B20509">
      <w:pPr>
        <w:numPr>
          <w:ilvl w:val="0"/>
          <w:numId w:val="4"/>
        </w:numPr>
        <w:spacing w:before="100" w:beforeAutospacing="1" w:after="100" w:afterAutospacing="1" w:line="360" w:lineRule="auto"/>
        <w:jc w:val="both"/>
        <w:rPr>
          <w:rFonts w:ascii="Arial" w:hAnsi="Arial" w:cs="Arial"/>
        </w:rPr>
      </w:pPr>
      <w:r w:rsidRPr="00196084">
        <w:rPr>
          <w:rFonts w:ascii="Arial" w:hAnsi="Arial" w:cs="Arial"/>
          <w:color w:val="000000"/>
        </w:rPr>
        <w:t xml:space="preserve">The identification of specific person(s) knowledgeable about the company to review draft periodic reports to ensure disclosure of material known risks, trends and uncertainties. </w:t>
      </w:r>
    </w:p>
    <w:p w14:paraId="0463E507" w14:textId="77777777" w:rsidR="00786891" w:rsidRPr="00196084" w:rsidRDefault="00786891" w:rsidP="00B20509">
      <w:pPr>
        <w:numPr>
          <w:ilvl w:val="0"/>
          <w:numId w:val="4"/>
        </w:numPr>
        <w:spacing w:before="100" w:beforeAutospacing="1" w:after="100" w:afterAutospacing="1" w:line="360" w:lineRule="auto"/>
        <w:jc w:val="both"/>
        <w:rPr>
          <w:rFonts w:ascii="Arial" w:hAnsi="Arial" w:cs="Arial"/>
        </w:rPr>
      </w:pPr>
      <w:r w:rsidRPr="00196084">
        <w:rPr>
          <w:rFonts w:ascii="Arial" w:hAnsi="Arial" w:cs="Arial"/>
          <w:color w:val="000000"/>
        </w:rPr>
        <w:t xml:space="preserve">The specification of the persons responsible for ensuring that all of the company’s public statements comply with the procedural requirements of the safe harbor provisions. </w:t>
      </w:r>
    </w:p>
    <w:p w14:paraId="0755EAE1" w14:textId="77777777" w:rsidR="00786891" w:rsidRDefault="00786891" w:rsidP="00786891">
      <w:pPr>
        <w:pStyle w:val="NormalWeb"/>
        <w:spacing w:line="360" w:lineRule="auto"/>
        <w:jc w:val="both"/>
        <w:rPr>
          <w:rFonts w:ascii="Arial" w:hAnsi="Arial" w:cs="Arial"/>
          <w:color w:val="000000"/>
          <w:sz w:val="22"/>
          <w:szCs w:val="22"/>
        </w:rPr>
      </w:pPr>
      <w:r w:rsidRPr="00196084">
        <w:rPr>
          <w:rFonts w:ascii="Arial" w:hAnsi="Arial" w:cs="Arial"/>
          <w:color w:val="000000"/>
          <w:sz w:val="22"/>
          <w:szCs w:val="22"/>
        </w:rPr>
        <w:t xml:space="preserve">The procedures that are adopted should not be broader than the company is willing to enforce; a disclosure policy that is not followed could cause greater harm than no policy at all. The company’s outside counsel can help structure disclosure policies that are adapted to the company’s circumstances. </w:t>
      </w:r>
    </w:p>
    <w:p w14:paraId="06206919" w14:textId="77777777" w:rsidR="00833EE2" w:rsidRPr="00A94665" w:rsidRDefault="00833EE2" w:rsidP="00786891">
      <w:pPr>
        <w:pStyle w:val="NormalWeb"/>
        <w:spacing w:line="360" w:lineRule="auto"/>
        <w:jc w:val="both"/>
        <w:rPr>
          <w:rFonts w:ascii="Arial" w:hAnsi="Arial" w:cs="Arial"/>
          <w:b/>
          <w:color w:val="0067B1"/>
          <w:sz w:val="22"/>
          <w:szCs w:val="22"/>
        </w:rPr>
      </w:pPr>
    </w:p>
    <w:p w14:paraId="246C8FC4" w14:textId="77777777" w:rsidR="00786891" w:rsidRDefault="00786891" w:rsidP="00786891">
      <w:pPr>
        <w:pStyle w:val="NormalWeb"/>
        <w:spacing w:line="360" w:lineRule="auto"/>
        <w:jc w:val="both"/>
        <w:rPr>
          <w:rFonts w:ascii="Arial" w:hAnsi="Arial" w:cs="Arial"/>
          <w:sz w:val="22"/>
          <w:szCs w:val="22"/>
        </w:rPr>
      </w:pPr>
      <w:r w:rsidRPr="00A94665">
        <w:rPr>
          <w:rFonts w:ascii="Arial" w:hAnsi="Arial" w:cs="Arial"/>
          <w:b/>
          <w:color w:val="0067B1"/>
          <w:sz w:val="22"/>
          <w:szCs w:val="22"/>
        </w:rPr>
        <w:t>Analyst Communications</w:t>
      </w:r>
      <w:r w:rsidRPr="00A94665">
        <w:rPr>
          <w:rFonts w:ascii="Arial" w:hAnsi="Arial" w:cs="Arial"/>
          <w:color w:val="0067B1"/>
          <w:sz w:val="22"/>
          <w:szCs w:val="22"/>
        </w:rPr>
        <w:t xml:space="preserve"> </w:t>
      </w:r>
      <w:r w:rsidR="00833EE2" w:rsidRPr="00A94665">
        <w:rPr>
          <w:rFonts w:ascii="Arial" w:hAnsi="Arial" w:cs="Arial"/>
          <w:color w:val="0067B1"/>
          <w:sz w:val="22"/>
          <w:szCs w:val="22"/>
        </w:rPr>
        <w:t xml:space="preserve">  </w:t>
      </w:r>
      <w:r w:rsidRPr="00196084">
        <w:rPr>
          <w:rFonts w:ascii="Arial" w:hAnsi="Arial" w:cs="Arial"/>
          <w:color w:val="000000"/>
          <w:sz w:val="22"/>
          <w:szCs w:val="22"/>
        </w:rPr>
        <w:t xml:space="preserve">Numerous dangers arise in a company’s communications with securities analysts. </w:t>
      </w:r>
      <w:r w:rsidRPr="00196084">
        <w:rPr>
          <w:rFonts w:ascii="Arial" w:hAnsi="Arial" w:cs="Arial"/>
          <w:sz w:val="22"/>
          <w:szCs w:val="22"/>
        </w:rPr>
        <w:t xml:space="preserve">The main pitfall is that analyst projections could be treated as the company's own statements in securities litigation, depending on the company's conduct. This “attribution” of the analyst’s statements to the company can arise if a company official is the source </w:t>
      </w:r>
      <w:r>
        <w:rPr>
          <w:rFonts w:ascii="Arial" w:hAnsi="Arial" w:cs="Arial"/>
          <w:sz w:val="22"/>
          <w:szCs w:val="22"/>
        </w:rPr>
        <w:t>of</w:t>
      </w:r>
      <w:r w:rsidRPr="00196084">
        <w:rPr>
          <w:rFonts w:ascii="Arial" w:hAnsi="Arial" w:cs="Arial"/>
          <w:sz w:val="22"/>
          <w:szCs w:val="22"/>
        </w:rPr>
        <w:t xml:space="preserve"> a misstatement in the analyst’s report. Analyst’s statements may also be attributed to the company if the company undertakes to review and comment upon draft analyst statements and thereby becomes “entangled” with the statements in the analyst reports.  </w:t>
      </w:r>
    </w:p>
    <w:p w14:paraId="73D42811" w14:textId="77777777" w:rsidR="00786891" w:rsidRPr="00196084" w:rsidRDefault="00786891" w:rsidP="00786891">
      <w:pPr>
        <w:pStyle w:val="NormalWeb"/>
        <w:spacing w:line="360" w:lineRule="auto"/>
        <w:jc w:val="both"/>
        <w:rPr>
          <w:rFonts w:ascii="Arial" w:hAnsi="Arial" w:cs="Arial"/>
          <w:sz w:val="22"/>
          <w:szCs w:val="22"/>
        </w:rPr>
      </w:pPr>
    </w:p>
    <w:p w14:paraId="2D121A86" w14:textId="77777777" w:rsidR="00786891" w:rsidRPr="00196084" w:rsidRDefault="00786891" w:rsidP="00786891">
      <w:pPr>
        <w:pStyle w:val="NormalWeb"/>
        <w:spacing w:line="360" w:lineRule="auto"/>
        <w:jc w:val="both"/>
        <w:rPr>
          <w:rFonts w:ascii="Arial" w:hAnsi="Arial" w:cs="Arial"/>
          <w:sz w:val="22"/>
          <w:szCs w:val="22"/>
        </w:rPr>
      </w:pPr>
      <w:r w:rsidRPr="00196084">
        <w:rPr>
          <w:rFonts w:ascii="Arial" w:hAnsi="Arial" w:cs="Arial"/>
          <w:color w:val="000000"/>
          <w:sz w:val="22"/>
          <w:szCs w:val="22"/>
        </w:rPr>
        <w:t>In addition to the risks of attribution and entanglement, further analyst communication pitfalls arise under Regulation FD. T</w:t>
      </w:r>
      <w:r w:rsidRPr="00196084">
        <w:rPr>
          <w:rFonts w:ascii="Arial" w:hAnsi="Arial" w:cs="Arial"/>
          <w:sz w:val="22"/>
          <w:szCs w:val="22"/>
        </w:rPr>
        <w:t xml:space="preserve">he SEC adopted Regulation FD to specify more clearly the procedures a public company must follow to provide equal access to material information, and to make clear </w:t>
      </w:r>
      <w:r w:rsidRPr="00196084">
        <w:rPr>
          <w:rFonts w:ascii="Arial" w:hAnsi="Arial" w:cs="Arial"/>
          <w:sz w:val="22"/>
          <w:szCs w:val="22"/>
        </w:rPr>
        <w:lastRenderedPageBreak/>
        <w:t xml:space="preserve">the type of selective disclosure that is prohibited. Regulation FD requires public companies to simultaneously release material information on a widespread basis if the information is intentionally provided to securities markets professionals (i.e., analysts, investment bankers) or shareholders when it is reasonably foreseeable that the market professional or shareholder will trade on the basis of the information. </w:t>
      </w:r>
      <w:bookmarkStart w:id="15" w:name="IVA"/>
      <w:bookmarkEnd w:id="15"/>
    </w:p>
    <w:p w14:paraId="2A905462" w14:textId="77777777" w:rsidR="00786891" w:rsidRPr="00196084" w:rsidRDefault="00786891" w:rsidP="00786891">
      <w:pPr>
        <w:spacing w:before="100" w:beforeAutospacing="1" w:after="100" w:afterAutospacing="1" w:line="360" w:lineRule="auto"/>
        <w:jc w:val="both"/>
        <w:rPr>
          <w:rFonts w:ascii="Arial" w:hAnsi="Arial" w:cs="Arial"/>
        </w:rPr>
      </w:pPr>
      <w:r w:rsidRPr="00196084">
        <w:rPr>
          <w:rFonts w:ascii="Arial" w:hAnsi="Arial" w:cs="Arial"/>
        </w:rPr>
        <w:t>There are a number of steps that companies can take to reduce their Regulation FD exposure and the securities litigation risks arising from their communications with analysts:</w:t>
      </w:r>
    </w:p>
    <w:p w14:paraId="7E01F4F0" w14:textId="77777777" w:rsidR="00786891" w:rsidRPr="00833EE2" w:rsidRDefault="00786891" w:rsidP="00B20509">
      <w:pPr>
        <w:pStyle w:val="ListParagraph"/>
        <w:numPr>
          <w:ilvl w:val="0"/>
          <w:numId w:val="5"/>
        </w:numPr>
        <w:spacing w:before="100" w:beforeAutospacing="1" w:after="100" w:afterAutospacing="1" w:line="360" w:lineRule="auto"/>
        <w:jc w:val="both"/>
        <w:rPr>
          <w:rFonts w:ascii="Arial" w:hAnsi="Arial" w:cs="Arial"/>
        </w:rPr>
      </w:pPr>
      <w:r w:rsidRPr="00833EE2">
        <w:rPr>
          <w:rFonts w:ascii="Arial" w:hAnsi="Arial" w:cs="Arial"/>
        </w:rPr>
        <w:t xml:space="preserve">Designate one or two spokespersons who make all public statements and who respond to inquiries from the public, shareholders and analysts. The spokespersons should be kept apprised of all material company developments, and should be aware of all information regarding the company that has been previously disclosed in the marketplace. </w:t>
      </w:r>
    </w:p>
    <w:p w14:paraId="2C1E8404" w14:textId="77777777" w:rsidR="00786891" w:rsidRPr="00833EE2" w:rsidRDefault="00786891" w:rsidP="00B20509">
      <w:pPr>
        <w:pStyle w:val="ListParagraph"/>
        <w:numPr>
          <w:ilvl w:val="0"/>
          <w:numId w:val="5"/>
        </w:numPr>
        <w:spacing w:before="100" w:beforeAutospacing="1" w:after="100" w:afterAutospacing="1" w:line="360" w:lineRule="auto"/>
        <w:jc w:val="both"/>
        <w:rPr>
          <w:rFonts w:ascii="Arial" w:hAnsi="Arial" w:cs="Arial"/>
        </w:rPr>
      </w:pPr>
      <w:r w:rsidRPr="00833EE2">
        <w:rPr>
          <w:rFonts w:ascii="Arial" w:hAnsi="Arial" w:cs="Arial"/>
        </w:rPr>
        <w:t>Prepare a script for private analyst communications that has been approved by securities counsel (and/or others charged with final review authority for outside communications) to ensure that the script does not contain any material non-public information, and then follow the script</w:t>
      </w:r>
    </w:p>
    <w:p w14:paraId="29BB456D" w14:textId="77777777" w:rsidR="00786891" w:rsidRPr="00833EE2" w:rsidRDefault="00786891" w:rsidP="00B20509">
      <w:pPr>
        <w:pStyle w:val="ListParagraph"/>
        <w:numPr>
          <w:ilvl w:val="0"/>
          <w:numId w:val="5"/>
        </w:numPr>
        <w:spacing w:before="100" w:beforeAutospacing="1" w:after="100" w:afterAutospacing="1" w:line="360" w:lineRule="auto"/>
        <w:jc w:val="both"/>
        <w:rPr>
          <w:rFonts w:ascii="Arial" w:hAnsi="Arial" w:cs="Arial"/>
        </w:rPr>
      </w:pPr>
      <w:r w:rsidRPr="00833EE2">
        <w:rPr>
          <w:rFonts w:ascii="Arial" w:hAnsi="Arial" w:cs="Arial"/>
        </w:rPr>
        <w:t>Avoid reviewing draft analyst reports, to avoid having the company becoming so entangled with the analyst’s report that the analyst’s statements become attributable to the company.</w:t>
      </w:r>
    </w:p>
    <w:p w14:paraId="10633460" w14:textId="77777777" w:rsidR="00786891" w:rsidRDefault="00786891" w:rsidP="00786891">
      <w:pPr>
        <w:spacing w:before="100" w:beforeAutospacing="1" w:after="100" w:afterAutospacing="1" w:line="360" w:lineRule="auto"/>
        <w:ind w:left="59"/>
        <w:jc w:val="both"/>
        <w:rPr>
          <w:rFonts w:ascii="Arial" w:hAnsi="Arial" w:cs="Arial"/>
        </w:rPr>
      </w:pPr>
      <w:r w:rsidRPr="00196084">
        <w:rPr>
          <w:rFonts w:ascii="Arial" w:hAnsi="Arial" w:cs="Arial"/>
        </w:rPr>
        <w:t xml:space="preserve">The company’s outside counsel can help structure disclosure policies that are adapted to the company’s particular circumstances. </w:t>
      </w:r>
    </w:p>
    <w:p w14:paraId="48DD0F2E" w14:textId="77777777" w:rsidR="00786891" w:rsidRPr="00833EE2" w:rsidRDefault="00786891" w:rsidP="00786891">
      <w:pPr>
        <w:spacing w:before="100" w:beforeAutospacing="1" w:after="100" w:afterAutospacing="1" w:line="360" w:lineRule="auto"/>
        <w:jc w:val="both"/>
        <w:rPr>
          <w:rFonts w:ascii="Arial" w:hAnsi="Arial" w:cs="Arial"/>
          <w:b/>
          <w:sz w:val="20"/>
          <w:szCs w:val="20"/>
        </w:rPr>
      </w:pPr>
      <w:r w:rsidRPr="00833EE2">
        <w:rPr>
          <w:rFonts w:ascii="Arial" w:hAnsi="Arial" w:cs="Arial"/>
          <w:b/>
          <w:i/>
          <w:iCs/>
          <w:sz w:val="20"/>
          <w:szCs w:val="20"/>
        </w:rPr>
        <w:t>This section is provided for informational purposes only and is not intended to provide legal advice.  The issues and suggestions presented in this section should be reviewed with outside counsel.  Any change in corporate processes or practices should be discussed with outside counsel before implementation</w:t>
      </w:r>
      <w:r w:rsidRPr="00833EE2">
        <w:rPr>
          <w:rFonts w:ascii="Arial" w:hAnsi="Arial" w:cs="Arial"/>
          <w:b/>
          <w:sz w:val="20"/>
          <w:szCs w:val="20"/>
        </w:rPr>
        <w:t xml:space="preserve">. </w:t>
      </w:r>
    </w:p>
    <w:p w14:paraId="639C3C6A" w14:textId="77777777" w:rsidR="00AE1256" w:rsidRPr="00CF2CDF" w:rsidRDefault="00CC0235" w:rsidP="00AE1256">
      <w:pPr>
        <w:pStyle w:val="OBISSubhead1"/>
        <w:spacing w:after="120"/>
        <w:outlineLvl w:val="0"/>
        <w:rPr>
          <w:iCs/>
          <w:color w:val="0067B1"/>
          <w:sz w:val="28"/>
          <w:szCs w:val="28"/>
        </w:rPr>
      </w:pPr>
      <w:r>
        <w:rPr>
          <w:iCs/>
          <w:color w:val="0046AD"/>
          <w:sz w:val="28"/>
          <w:szCs w:val="28"/>
        </w:rPr>
        <w:br w:type="page"/>
      </w:r>
      <w:r w:rsidR="00AE1256" w:rsidRPr="00CF2CDF">
        <w:rPr>
          <w:iCs/>
          <w:color w:val="0067B1"/>
          <w:sz w:val="28"/>
          <w:szCs w:val="28"/>
        </w:rPr>
        <w:lastRenderedPageBreak/>
        <w:t>Appendix B.  Notable D&amp;O Related Supreme Court Decisions</w:t>
      </w:r>
    </w:p>
    <w:tbl>
      <w:tblPr>
        <w:tblStyle w:val="TableGrid"/>
        <w:tblW w:w="9576" w:type="dxa"/>
        <w:tblInd w:w="108" w:type="dxa"/>
        <w:tblLook w:val="04A0" w:firstRow="1" w:lastRow="0" w:firstColumn="1" w:lastColumn="0" w:noHBand="0" w:noVBand="1"/>
      </w:tblPr>
      <w:tblGrid>
        <w:gridCol w:w="4428"/>
        <w:gridCol w:w="5148"/>
      </w:tblGrid>
      <w:tr w:rsidR="006558D1" w:rsidRPr="00933DAC" w14:paraId="2060C8E8" w14:textId="77777777" w:rsidTr="002609DC">
        <w:tc>
          <w:tcPr>
            <w:tcW w:w="4428" w:type="dxa"/>
            <w:shd w:val="clear" w:color="auto" w:fill="0067B1"/>
          </w:tcPr>
          <w:p w14:paraId="7BC68D24" w14:textId="77777777" w:rsidR="006558D1" w:rsidRPr="00933DAC" w:rsidRDefault="006558D1" w:rsidP="002609DC">
            <w:pPr>
              <w:jc w:val="center"/>
              <w:rPr>
                <w:rFonts w:ascii="Arial" w:hAnsi="Arial" w:cs="Arial"/>
                <w:b/>
                <w:color w:val="FFFFFF" w:themeColor="background1"/>
                <w:sz w:val="20"/>
                <w:szCs w:val="20"/>
              </w:rPr>
            </w:pPr>
            <w:r w:rsidRPr="00933DAC">
              <w:rPr>
                <w:rFonts w:ascii="Arial" w:hAnsi="Arial" w:cs="Arial"/>
                <w:b/>
                <w:color w:val="FFFFFF" w:themeColor="background1"/>
                <w:sz w:val="20"/>
                <w:szCs w:val="20"/>
              </w:rPr>
              <w:t>Decision/Date</w:t>
            </w:r>
          </w:p>
        </w:tc>
        <w:tc>
          <w:tcPr>
            <w:tcW w:w="5148" w:type="dxa"/>
            <w:shd w:val="clear" w:color="auto" w:fill="0067B1"/>
          </w:tcPr>
          <w:p w14:paraId="0B2187BB" w14:textId="77777777" w:rsidR="006558D1" w:rsidRPr="00933DAC" w:rsidRDefault="006558D1" w:rsidP="002609DC">
            <w:pPr>
              <w:jc w:val="center"/>
              <w:rPr>
                <w:rFonts w:ascii="Arial" w:hAnsi="Arial" w:cs="Arial"/>
                <w:b/>
                <w:color w:val="FFFFFF" w:themeColor="background1"/>
                <w:sz w:val="20"/>
                <w:szCs w:val="20"/>
              </w:rPr>
            </w:pPr>
            <w:r w:rsidRPr="00933DAC">
              <w:rPr>
                <w:rFonts w:ascii="Arial" w:hAnsi="Arial" w:cs="Arial"/>
                <w:b/>
                <w:color w:val="FFFFFF" w:themeColor="background1"/>
                <w:sz w:val="20"/>
                <w:szCs w:val="20"/>
              </w:rPr>
              <w:t>Impact</w:t>
            </w:r>
          </w:p>
        </w:tc>
      </w:tr>
      <w:tr w:rsidR="006558D1" w:rsidRPr="004F1811" w14:paraId="25F0E5D2" w14:textId="77777777" w:rsidTr="002609DC">
        <w:tc>
          <w:tcPr>
            <w:tcW w:w="4428" w:type="dxa"/>
          </w:tcPr>
          <w:p w14:paraId="3C083A0F" w14:textId="77777777" w:rsidR="006558D1" w:rsidRPr="004F1811" w:rsidRDefault="006558D1" w:rsidP="002609DC">
            <w:pPr>
              <w:rPr>
                <w:rFonts w:ascii="Arial" w:hAnsi="Arial" w:cs="Arial"/>
                <w:b/>
                <w:sz w:val="20"/>
                <w:szCs w:val="20"/>
              </w:rPr>
            </w:pPr>
            <w:r w:rsidRPr="004F1811">
              <w:rPr>
                <w:rFonts w:ascii="Arial" w:hAnsi="Arial" w:cs="Arial"/>
                <w:b/>
                <w:sz w:val="20"/>
                <w:szCs w:val="20"/>
              </w:rPr>
              <w:t>Lorenzo v. SEC, March 27, 2019</w:t>
            </w:r>
          </w:p>
        </w:tc>
        <w:tc>
          <w:tcPr>
            <w:tcW w:w="5148" w:type="dxa"/>
          </w:tcPr>
          <w:p w14:paraId="22A819C2" w14:textId="77777777" w:rsidR="006558D1" w:rsidRPr="004F1811" w:rsidRDefault="006558D1" w:rsidP="002609DC">
            <w:pPr>
              <w:rPr>
                <w:rFonts w:ascii="Arial" w:hAnsi="Arial" w:cs="Arial"/>
                <w:sz w:val="20"/>
                <w:szCs w:val="20"/>
              </w:rPr>
            </w:pPr>
            <w:r w:rsidRPr="004F1811">
              <w:rPr>
                <w:rFonts w:ascii="Arial" w:hAnsi="Arial" w:cs="Arial"/>
                <w:sz w:val="20"/>
                <w:szCs w:val="20"/>
              </w:rPr>
              <w:t>A person who knowingly dissemination a false statement can be liable under the federal securities laws “scheme liability” provisions, even if the person did not “make” the false statement and therefore cannot be held liable under the federal securities laws’ “misrepresentation” provisions</w:t>
            </w:r>
          </w:p>
        </w:tc>
      </w:tr>
      <w:tr w:rsidR="006558D1" w:rsidRPr="00933DAC" w14:paraId="04458FC5" w14:textId="77777777" w:rsidTr="002609DC">
        <w:tc>
          <w:tcPr>
            <w:tcW w:w="4428" w:type="dxa"/>
          </w:tcPr>
          <w:p w14:paraId="25AD6190" w14:textId="77777777" w:rsidR="006558D1" w:rsidRPr="00933DAC" w:rsidRDefault="006558D1" w:rsidP="002609DC">
            <w:pPr>
              <w:rPr>
                <w:rFonts w:ascii="Arial" w:hAnsi="Arial" w:cs="Arial"/>
                <w:b/>
                <w:sz w:val="20"/>
                <w:szCs w:val="20"/>
              </w:rPr>
            </w:pPr>
            <w:r w:rsidRPr="001D2931">
              <w:rPr>
                <w:rFonts w:ascii="Arial" w:hAnsi="Arial" w:cs="Arial"/>
                <w:b/>
                <w:sz w:val="20"/>
                <w:szCs w:val="20"/>
              </w:rPr>
              <w:t>Cyan, Inc. v. Beaver County Employees Retirement Fund</w:t>
            </w:r>
            <w:r>
              <w:rPr>
                <w:rFonts w:ascii="Arial" w:hAnsi="Arial" w:cs="Arial"/>
                <w:b/>
                <w:sz w:val="20"/>
                <w:szCs w:val="20"/>
              </w:rPr>
              <w:t>, March 20, 2018</w:t>
            </w:r>
          </w:p>
        </w:tc>
        <w:tc>
          <w:tcPr>
            <w:tcW w:w="5148" w:type="dxa"/>
          </w:tcPr>
          <w:p w14:paraId="0784949A" w14:textId="77777777" w:rsidR="006558D1" w:rsidRPr="00933DAC" w:rsidRDefault="006558D1" w:rsidP="002609DC">
            <w:pPr>
              <w:rPr>
                <w:rFonts w:ascii="Arial" w:hAnsi="Arial" w:cs="Arial"/>
                <w:sz w:val="20"/>
                <w:szCs w:val="20"/>
              </w:rPr>
            </w:pPr>
            <w:r>
              <w:rPr>
                <w:rFonts w:ascii="Arial" w:hAnsi="Arial" w:cs="Arial"/>
                <w:sz w:val="20"/>
                <w:szCs w:val="20"/>
              </w:rPr>
              <w:t>State courts retain concurrent jurisdiction over class action lawsuits alleging only violations of the Securities Act of 1933 and these lawsuits are not removable to federal court.</w:t>
            </w:r>
          </w:p>
        </w:tc>
      </w:tr>
      <w:tr w:rsidR="006558D1" w:rsidRPr="00933DAC" w14:paraId="79C3808B" w14:textId="77777777" w:rsidTr="002609DC">
        <w:tc>
          <w:tcPr>
            <w:tcW w:w="4428" w:type="dxa"/>
          </w:tcPr>
          <w:p w14:paraId="7BA93867" w14:textId="77777777" w:rsidR="006558D1" w:rsidRPr="00933DAC" w:rsidRDefault="006558D1" w:rsidP="002609DC">
            <w:pPr>
              <w:rPr>
                <w:rFonts w:ascii="Arial" w:hAnsi="Arial" w:cs="Arial"/>
                <w:b/>
                <w:sz w:val="20"/>
                <w:szCs w:val="20"/>
              </w:rPr>
            </w:pPr>
            <w:r w:rsidRPr="00933DAC">
              <w:rPr>
                <w:rFonts w:ascii="Arial" w:hAnsi="Arial" w:cs="Arial"/>
                <w:b/>
                <w:sz w:val="20"/>
                <w:szCs w:val="20"/>
              </w:rPr>
              <w:t>Omnicare, Inc. v. Laborers District Council Construction Industry Pension Fund, March 24, 2015</w:t>
            </w:r>
          </w:p>
        </w:tc>
        <w:tc>
          <w:tcPr>
            <w:tcW w:w="5148" w:type="dxa"/>
          </w:tcPr>
          <w:p w14:paraId="25E5BE55" w14:textId="77777777" w:rsidR="006558D1" w:rsidRPr="00933DAC" w:rsidRDefault="006558D1" w:rsidP="002609DC">
            <w:pPr>
              <w:rPr>
                <w:rFonts w:ascii="Arial" w:hAnsi="Arial" w:cs="Arial"/>
                <w:sz w:val="20"/>
                <w:szCs w:val="20"/>
              </w:rPr>
            </w:pPr>
            <w:r w:rsidRPr="00933DAC">
              <w:rPr>
                <w:rFonts w:ascii="Arial" w:hAnsi="Arial" w:cs="Arial"/>
                <w:sz w:val="20"/>
                <w:szCs w:val="20"/>
              </w:rPr>
              <w:t>The Sixth Circuit’s “objective falsity” standard in Section 11 cases is rejected.  Allows for challenges to opinions in registration statements if supporting facts are misleading or if there are omitted facts that make the opinion misleading.</w:t>
            </w:r>
          </w:p>
        </w:tc>
      </w:tr>
      <w:tr w:rsidR="006558D1" w:rsidRPr="00933DAC" w14:paraId="7D06FEB1" w14:textId="77777777" w:rsidTr="002609DC">
        <w:tc>
          <w:tcPr>
            <w:tcW w:w="4428" w:type="dxa"/>
          </w:tcPr>
          <w:p w14:paraId="5C274124" w14:textId="77777777" w:rsidR="006558D1" w:rsidRPr="00933DAC" w:rsidRDefault="006558D1" w:rsidP="002609DC">
            <w:pPr>
              <w:rPr>
                <w:rFonts w:ascii="Arial" w:hAnsi="Arial" w:cs="Arial"/>
                <w:b/>
                <w:sz w:val="20"/>
                <w:szCs w:val="20"/>
              </w:rPr>
            </w:pPr>
            <w:r w:rsidRPr="00933DAC">
              <w:rPr>
                <w:rFonts w:ascii="Arial" w:hAnsi="Arial" w:cs="Arial"/>
                <w:b/>
                <w:sz w:val="20"/>
                <w:szCs w:val="20"/>
              </w:rPr>
              <w:t>Halliburton Co. et al. v. Erica P. John Fund, June 23, 2014</w:t>
            </w:r>
          </w:p>
        </w:tc>
        <w:tc>
          <w:tcPr>
            <w:tcW w:w="5148" w:type="dxa"/>
          </w:tcPr>
          <w:p w14:paraId="68FAEA9A" w14:textId="77777777" w:rsidR="006558D1" w:rsidRPr="00933DAC" w:rsidRDefault="006558D1" w:rsidP="002609DC">
            <w:pPr>
              <w:rPr>
                <w:rFonts w:ascii="Arial" w:hAnsi="Arial" w:cs="Arial"/>
                <w:sz w:val="20"/>
                <w:szCs w:val="20"/>
              </w:rPr>
            </w:pPr>
            <w:r w:rsidRPr="00933DAC">
              <w:rPr>
                <w:rFonts w:ascii="Arial" w:hAnsi="Arial" w:cs="Arial"/>
                <w:sz w:val="20"/>
                <w:szCs w:val="20"/>
              </w:rPr>
              <w:t xml:space="preserve">The landmark Basic v. Levinson decision is upheld.  Securities litigation defendants may rebut the fraud-on-the-market presumption of reliance before the class certification stage by showing a lack of price impact. </w:t>
            </w:r>
          </w:p>
        </w:tc>
      </w:tr>
      <w:tr w:rsidR="006558D1" w:rsidRPr="00933DAC" w14:paraId="51A52ABF" w14:textId="77777777" w:rsidTr="002609DC">
        <w:tc>
          <w:tcPr>
            <w:tcW w:w="4428" w:type="dxa"/>
          </w:tcPr>
          <w:p w14:paraId="1065C9F5" w14:textId="77777777" w:rsidR="006558D1" w:rsidRPr="00933DAC" w:rsidRDefault="006558D1" w:rsidP="002609DC">
            <w:pPr>
              <w:rPr>
                <w:rFonts w:ascii="Arial" w:hAnsi="Arial" w:cs="Arial"/>
                <w:b/>
                <w:sz w:val="20"/>
                <w:szCs w:val="20"/>
              </w:rPr>
            </w:pPr>
            <w:r w:rsidRPr="00933DAC">
              <w:rPr>
                <w:rFonts w:ascii="Arial" w:hAnsi="Arial" w:cs="Arial"/>
                <w:b/>
                <w:sz w:val="20"/>
                <w:szCs w:val="20"/>
              </w:rPr>
              <w:t>Amgen Inc. v. Connecticut Retirement Plans and Trust Funds, February 27, 2013</w:t>
            </w:r>
          </w:p>
        </w:tc>
        <w:tc>
          <w:tcPr>
            <w:tcW w:w="5148" w:type="dxa"/>
          </w:tcPr>
          <w:p w14:paraId="2C018702" w14:textId="77777777" w:rsidR="006558D1" w:rsidRPr="00933DAC" w:rsidRDefault="006558D1" w:rsidP="002609DC">
            <w:pPr>
              <w:rPr>
                <w:rFonts w:ascii="Arial" w:hAnsi="Arial" w:cs="Arial"/>
                <w:sz w:val="20"/>
                <w:szCs w:val="20"/>
              </w:rPr>
            </w:pPr>
            <w:r w:rsidRPr="00933DAC">
              <w:rPr>
                <w:rFonts w:ascii="Arial" w:hAnsi="Arial" w:cs="Arial"/>
                <w:sz w:val="20"/>
                <w:szCs w:val="20"/>
              </w:rPr>
              <w:t>A securities plaintiff is not required to prove that the allegedly misleading statements are material as a prerequisite to class certification.</w:t>
            </w:r>
          </w:p>
        </w:tc>
      </w:tr>
      <w:tr w:rsidR="006558D1" w:rsidRPr="00933DAC" w14:paraId="7782F8FA" w14:textId="77777777" w:rsidTr="002609DC">
        <w:tc>
          <w:tcPr>
            <w:tcW w:w="4428" w:type="dxa"/>
          </w:tcPr>
          <w:p w14:paraId="4865C51E" w14:textId="77777777" w:rsidR="006558D1" w:rsidRPr="00933DAC" w:rsidRDefault="006558D1" w:rsidP="002609DC">
            <w:pPr>
              <w:rPr>
                <w:rFonts w:ascii="Arial" w:hAnsi="Arial" w:cs="Arial"/>
                <w:b/>
                <w:sz w:val="20"/>
                <w:szCs w:val="20"/>
              </w:rPr>
            </w:pPr>
            <w:r w:rsidRPr="00933DAC">
              <w:rPr>
                <w:rFonts w:ascii="Arial" w:hAnsi="Arial" w:cs="Arial"/>
                <w:b/>
                <w:sz w:val="20"/>
                <w:szCs w:val="20"/>
              </w:rPr>
              <w:t>Janus Capital Group, Inc. v. First Derivative Traders, June 13, 2011</w:t>
            </w:r>
          </w:p>
        </w:tc>
        <w:tc>
          <w:tcPr>
            <w:tcW w:w="5148" w:type="dxa"/>
          </w:tcPr>
          <w:p w14:paraId="0347E0AD" w14:textId="77777777" w:rsidR="006558D1" w:rsidRPr="00933DAC" w:rsidRDefault="006558D1" w:rsidP="002609DC">
            <w:pPr>
              <w:rPr>
                <w:rFonts w:ascii="Arial" w:hAnsi="Arial" w:cs="Arial"/>
                <w:sz w:val="20"/>
                <w:szCs w:val="20"/>
              </w:rPr>
            </w:pPr>
            <w:r w:rsidRPr="00933DAC">
              <w:rPr>
                <w:rFonts w:ascii="Arial" w:hAnsi="Arial" w:cs="Arial"/>
                <w:sz w:val="20"/>
                <w:szCs w:val="20"/>
              </w:rPr>
              <w:t>Because a mutual fund management company did not “make” the actual statements, it cannot be held liable for the alleged misstatements in the prospectuses of the mutual funds it manages.</w:t>
            </w:r>
          </w:p>
        </w:tc>
      </w:tr>
      <w:tr w:rsidR="006558D1" w:rsidRPr="00933DAC" w14:paraId="6CA4B997" w14:textId="77777777" w:rsidTr="002609DC">
        <w:tc>
          <w:tcPr>
            <w:tcW w:w="4428" w:type="dxa"/>
          </w:tcPr>
          <w:p w14:paraId="76968E7F" w14:textId="77777777" w:rsidR="006558D1" w:rsidRPr="00933DAC" w:rsidRDefault="006558D1" w:rsidP="002609DC">
            <w:pPr>
              <w:rPr>
                <w:rFonts w:ascii="Arial" w:hAnsi="Arial" w:cs="Arial"/>
                <w:b/>
                <w:sz w:val="20"/>
                <w:szCs w:val="20"/>
              </w:rPr>
            </w:pPr>
            <w:r w:rsidRPr="00933DAC">
              <w:rPr>
                <w:rFonts w:ascii="Arial" w:hAnsi="Arial" w:cs="Arial"/>
                <w:b/>
                <w:sz w:val="20"/>
                <w:szCs w:val="20"/>
              </w:rPr>
              <w:t>Erica P. John Fund, Inc. v. Halliburton Co., June 6, 2011</w:t>
            </w:r>
          </w:p>
        </w:tc>
        <w:tc>
          <w:tcPr>
            <w:tcW w:w="5148" w:type="dxa"/>
          </w:tcPr>
          <w:p w14:paraId="08E5A2D7" w14:textId="77777777" w:rsidR="006558D1" w:rsidRPr="00933DAC" w:rsidRDefault="006558D1" w:rsidP="002609DC">
            <w:pPr>
              <w:rPr>
                <w:rFonts w:ascii="Arial" w:hAnsi="Arial" w:cs="Arial"/>
                <w:sz w:val="20"/>
                <w:szCs w:val="20"/>
              </w:rPr>
            </w:pPr>
            <w:r w:rsidRPr="00933DAC">
              <w:rPr>
                <w:rFonts w:ascii="Arial" w:hAnsi="Arial" w:cs="Arial"/>
                <w:sz w:val="20"/>
                <w:szCs w:val="20"/>
              </w:rPr>
              <w:t xml:space="preserve">Securities class action plaintiffs do not have to establish loss causation in order to obtain class certification. </w:t>
            </w:r>
          </w:p>
        </w:tc>
      </w:tr>
      <w:tr w:rsidR="006558D1" w:rsidRPr="00933DAC" w14:paraId="75E41ECE" w14:textId="77777777" w:rsidTr="002609DC">
        <w:tc>
          <w:tcPr>
            <w:tcW w:w="4428" w:type="dxa"/>
          </w:tcPr>
          <w:p w14:paraId="0670CB7F" w14:textId="77777777" w:rsidR="006558D1" w:rsidRPr="00933DAC" w:rsidRDefault="006558D1" w:rsidP="002609DC">
            <w:pPr>
              <w:rPr>
                <w:rFonts w:ascii="Arial" w:hAnsi="Arial" w:cs="Arial"/>
                <w:b/>
                <w:sz w:val="20"/>
                <w:szCs w:val="20"/>
              </w:rPr>
            </w:pPr>
            <w:r w:rsidRPr="00933DAC">
              <w:rPr>
                <w:rFonts w:ascii="Arial" w:hAnsi="Arial" w:cs="Arial"/>
                <w:b/>
                <w:sz w:val="20"/>
                <w:szCs w:val="20"/>
              </w:rPr>
              <w:t>Morrison v. National Australia Bank, Ltd., June 24, 2010</w:t>
            </w:r>
          </w:p>
        </w:tc>
        <w:tc>
          <w:tcPr>
            <w:tcW w:w="5148" w:type="dxa"/>
          </w:tcPr>
          <w:p w14:paraId="303B8182" w14:textId="77777777" w:rsidR="006558D1" w:rsidRPr="00933DAC" w:rsidRDefault="006558D1" w:rsidP="002609DC">
            <w:pPr>
              <w:rPr>
                <w:rFonts w:ascii="Arial" w:hAnsi="Arial" w:cs="Arial"/>
                <w:sz w:val="20"/>
                <w:szCs w:val="20"/>
              </w:rPr>
            </w:pPr>
            <w:r w:rsidRPr="00933DAC">
              <w:rPr>
                <w:rFonts w:ascii="Arial" w:hAnsi="Arial" w:cs="Arial"/>
                <w:sz w:val="20"/>
                <w:szCs w:val="20"/>
              </w:rPr>
              <w:t xml:space="preserve">U.S. securities laws apply only to “transactions” taking place in the U.S., and so the laws do not apply to an action brought by non-U.S. investors who bought shares in a non-U.S. company on a non-U.S. securities exchange. </w:t>
            </w:r>
          </w:p>
        </w:tc>
      </w:tr>
      <w:tr w:rsidR="006558D1" w:rsidRPr="00933DAC" w14:paraId="2B28D9B2" w14:textId="77777777" w:rsidTr="002609DC">
        <w:tc>
          <w:tcPr>
            <w:tcW w:w="4428" w:type="dxa"/>
          </w:tcPr>
          <w:p w14:paraId="4B7EC916" w14:textId="77777777" w:rsidR="006558D1" w:rsidRPr="00933DAC" w:rsidRDefault="006558D1" w:rsidP="002609DC">
            <w:pPr>
              <w:rPr>
                <w:rFonts w:ascii="Arial" w:hAnsi="Arial" w:cs="Arial"/>
                <w:b/>
                <w:sz w:val="20"/>
                <w:szCs w:val="20"/>
              </w:rPr>
            </w:pPr>
            <w:r w:rsidRPr="00933DAC">
              <w:rPr>
                <w:rFonts w:ascii="Arial" w:hAnsi="Arial" w:cs="Arial"/>
                <w:b/>
                <w:sz w:val="20"/>
                <w:szCs w:val="20"/>
              </w:rPr>
              <w:t>Merck &amp; Co. v. Reynolds, April 27, 2010</w:t>
            </w:r>
          </w:p>
        </w:tc>
        <w:tc>
          <w:tcPr>
            <w:tcW w:w="5148" w:type="dxa"/>
          </w:tcPr>
          <w:p w14:paraId="59F51B65" w14:textId="77777777" w:rsidR="006558D1" w:rsidRPr="00933DAC" w:rsidRDefault="006558D1" w:rsidP="002609DC">
            <w:pPr>
              <w:rPr>
                <w:rFonts w:ascii="Arial" w:hAnsi="Arial" w:cs="Arial"/>
                <w:sz w:val="20"/>
                <w:szCs w:val="20"/>
              </w:rPr>
            </w:pPr>
            <w:r w:rsidRPr="00933DAC">
              <w:rPr>
                <w:rFonts w:ascii="Arial" w:hAnsi="Arial" w:cs="Arial"/>
                <w:sz w:val="20"/>
                <w:szCs w:val="20"/>
              </w:rPr>
              <w:t xml:space="preserve">In order to trigger the running of the statute of limitations for the filing of a securities lawsuit, the plaintiffs must be on notice of facts that would allow the plaintiffs to plead scienter. </w:t>
            </w:r>
          </w:p>
        </w:tc>
      </w:tr>
      <w:tr w:rsidR="006558D1" w:rsidRPr="00933DAC" w14:paraId="1D6AAB95" w14:textId="77777777" w:rsidTr="002609DC">
        <w:tc>
          <w:tcPr>
            <w:tcW w:w="4428" w:type="dxa"/>
          </w:tcPr>
          <w:p w14:paraId="593439A2" w14:textId="77777777" w:rsidR="006558D1" w:rsidRPr="00933DAC" w:rsidRDefault="006558D1" w:rsidP="002609DC">
            <w:pPr>
              <w:rPr>
                <w:rFonts w:ascii="Arial" w:hAnsi="Arial" w:cs="Arial"/>
                <w:b/>
                <w:sz w:val="20"/>
                <w:szCs w:val="20"/>
              </w:rPr>
            </w:pPr>
            <w:r w:rsidRPr="00933DAC">
              <w:rPr>
                <w:rFonts w:ascii="Arial" w:hAnsi="Arial" w:cs="Arial"/>
                <w:b/>
                <w:sz w:val="20"/>
                <w:szCs w:val="20"/>
              </w:rPr>
              <w:t>Stoneridge Investment Partners, LLC v. Scientific-Atlanta, Inc., January 21, 2008</w:t>
            </w:r>
          </w:p>
        </w:tc>
        <w:tc>
          <w:tcPr>
            <w:tcW w:w="5148" w:type="dxa"/>
          </w:tcPr>
          <w:p w14:paraId="4393EFFE" w14:textId="77777777" w:rsidR="006558D1" w:rsidRPr="00933DAC" w:rsidRDefault="006558D1" w:rsidP="002609DC">
            <w:pPr>
              <w:rPr>
                <w:rFonts w:ascii="Arial" w:hAnsi="Arial" w:cs="Arial"/>
                <w:sz w:val="20"/>
                <w:szCs w:val="20"/>
              </w:rPr>
            </w:pPr>
            <w:r w:rsidRPr="00933DAC">
              <w:rPr>
                <w:rFonts w:ascii="Arial" w:hAnsi="Arial" w:cs="Arial"/>
                <w:sz w:val="20"/>
                <w:szCs w:val="20"/>
              </w:rPr>
              <w:t xml:space="preserve">There is no private right of action for “scheme liability” or “aiding and abetting” under Section 10(b) of the Securities and Exchange Act of 1934. </w:t>
            </w:r>
          </w:p>
        </w:tc>
      </w:tr>
      <w:tr w:rsidR="006558D1" w:rsidRPr="00933DAC" w14:paraId="042745B9" w14:textId="77777777" w:rsidTr="002609DC">
        <w:tc>
          <w:tcPr>
            <w:tcW w:w="4428" w:type="dxa"/>
          </w:tcPr>
          <w:p w14:paraId="20453179" w14:textId="77777777" w:rsidR="006558D1" w:rsidRPr="00933DAC" w:rsidRDefault="006558D1" w:rsidP="002609DC">
            <w:pPr>
              <w:rPr>
                <w:rFonts w:ascii="Arial" w:hAnsi="Arial" w:cs="Arial"/>
                <w:b/>
                <w:sz w:val="20"/>
                <w:szCs w:val="20"/>
              </w:rPr>
            </w:pPr>
            <w:r w:rsidRPr="00933DAC">
              <w:rPr>
                <w:rFonts w:ascii="Arial" w:hAnsi="Arial" w:cs="Arial"/>
                <w:b/>
                <w:sz w:val="20"/>
                <w:szCs w:val="20"/>
              </w:rPr>
              <w:t>Tellabs, Inc. v. Makor Issues &amp; Rights, Ltd., June 27, 2007</w:t>
            </w:r>
          </w:p>
        </w:tc>
        <w:tc>
          <w:tcPr>
            <w:tcW w:w="5148" w:type="dxa"/>
          </w:tcPr>
          <w:p w14:paraId="1987A73B" w14:textId="77777777" w:rsidR="006558D1" w:rsidRPr="00933DAC" w:rsidRDefault="006558D1" w:rsidP="002609DC">
            <w:pPr>
              <w:rPr>
                <w:rFonts w:ascii="Arial" w:hAnsi="Arial" w:cs="Arial"/>
                <w:sz w:val="20"/>
                <w:szCs w:val="20"/>
              </w:rPr>
            </w:pPr>
            <w:r w:rsidRPr="00933DAC">
              <w:rPr>
                <w:rFonts w:ascii="Arial" w:hAnsi="Arial" w:cs="Arial"/>
                <w:sz w:val="20"/>
                <w:szCs w:val="20"/>
              </w:rPr>
              <w:t>Imposed stringent standard for pleading “scienter” under the PSLRA. In order to satisfy the pleading standard, plaintiffs must present “cogent” allegation and the inference of “scienter “must be at least as compelling as any opposing inference.</w:t>
            </w:r>
          </w:p>
        </w:tc>
      </w:tr>
      <w:tr w:rsidR="006558D1" w:rsidRPr="00E6401A" w14:paraId="20006BF0" w14:textId="77777777" w:rsidTr="002609DC">
        <w:tc>
          <w:tcPr>
            <w:tcW w:w="4428" w:type="dxa"/>
          </w:tcPr>
          <w:p w14:paraId="71AA8207" w14:textId="77777777" w:rsidR="006558D1" w:rsidRPr="00933DAC" w:rsidRDefault="006558D1" w:rsidP="002609DC">
            <w:pPr>
              <w:rPr>
                <w:rFonts w:ascii="Arial" w:hAnsi="Arial" w:cs="Arial"/>
                <w:b/>
                <w:sz w:val="20"/>
                <w:szCs w:val="20"/>
              </w:rPr>
            </w:pPr>
            <w:r w:rsidRPr="00933DAC">
              <w:rPr>
                <w:rFonts w:ascii="Arial" w:hAnsi="Arial" w:cs="Arial"/>
                <w:b/>
                <w:sz w:val="20"/>
                <w:szCs w:val="20"/>
              </w:rPr>
              <w:t>Dura Pharmaceuticals, Inc. v. Broudo, April 26, 2005</w:t>
            </w:r>
          </w:p>
        </w:tc>
        <w:tc>
          <w:tcPr>
            <w:tcW w:w="5148" w:type="dxa"/>
          </w:tcPr>
          <w:p w14:paraId="354B2CBF" w14:textId="77777777" w:rsidR="006558D1" w:rsidRPr="00E6401A" w:rsidRDefault="006558D1" w:rsidP="002609DC">
            <w:pPr>
              <w:rPr>
                <w:rFonts w:ascii="Arial" w:hAnsi="Arial" w:cs="Arial"/>
                <w:sz w:val="20"/>
                <w:szCs w:val="20"/>
              </w:rPr>
            </w:pPr>
            <w:r w:rsidRPr="00933DAC">
              <w:rPr>
                <w:rFonts w:ascii="Arial" w:hAnsi="Arial" w:cs="Arial"/>
                <w:sz w:val="20"/>
                <w:szCs w:val="20"/>
              </w:rPr>
              <w:t>A securities law claimant must plead and prove “loss causation,” and an inflated purchase price does not by itself constitute or proximately cause the relevant economic loss needed to establish "loss causation."</w:t>
            </w:r>
          </w:p>
        </w:tc>
      </w:tr>
    </w:tbl>
    <w:p w14:paraId="4B3993C7" w14:textId="77777777" w:rsidR="00AE1256" w:rsidRDefault="00AE1256" w:rsidP="00AE1256">
      <w:pPr>
        <w:rPr>
          <w:rFonts w:ascii="Arial" w:hAnsi="Arial"/>
          <w:iCs/>
          <w:color w:val="0067B1"/>
        </w:rPr>
      </w:pPr>
      <w:r>
        <w:rPr>
          <w:rFonts w:ascii="Arial" w:hAnsi="Arial"/>
          <w:iCs/>
          <w:color w:val="0067B1"/>
        </w:rPr>
        <w:br w:type="page"/>
      </w:r>
    </w:p>
    <w:p w14:paraId="7AE71EF8" w14:textId="77777777" w:rsidR="00AE1256" w:rsidRPr="00CF2CDF" w:rsidRDefault="00AE1256" w:rsidP="00AE1256">
      <w:pPr>
        <w:pStyle w:val="OBISSubhead1"/>
        <w:spacing w:after="120"/>
        <w:outlineLvl w:val="0"/>
        <w:rPr>
          <w:iCs/>
          <w:color w:val="0067B1"/>
          <w:sz w:val="28"/>
          <w:szCs w:val="28"/>
        </w:rPr>
      </w:pPr>
      <w:r w:rsidRPr="00CF2CDF">
        <w:rPr>
          <w:iCs/>
          <w:color w:val="0067B1"/>
          <w:sz w:val="28"/>
          <w:szCs w:val="28"/>
        </w:rPr>
        <w:lastRenderedPageBreak/>
        <w:t>Appendix C.  Claims Management &amp; Additional Resources</w:t>
      </w:r>
    </w:p>
    <w:p w14:paraId="0F9BFC98" w14:textId="77777777" w:rsidR="00AE1256" w:rsidRPr="0097281C" w:rsidRDefault="00AE1256" w:rsidP="00AE1256">
      <w:pPr>
        <w:jc w:val="both"/>
        <w:rPr>
          <w:b/>
          <w:bCs/>
          <w:color w:val="0067B1"/>
        </w:rPr>
      </w:pPr>
      <w:r w:rsidRPr="0097281C">
        <w:rPr>
          <w:rFonts w:ascii="Arial" w:hAnsi="Arial"/>
          <w:iCs/>
          <w:color w:val="0067B1"/>
        </w:rPr>
        <w:t>Claims Management</w:t>
      </w:r>
    </w:p>
    <w:p w14:paraId="6E36074B" w14:textId="77777777" w:rsidR="00AE1256" w:rsidRPr="007E24F4" w:rsidRDefault="00AE1256" w:rsidP="00AE1256">
      <w:pPr>
        <w:spacing w:line="360" w:lineRule="auto"/>
        <w:jc w:val="both"/>
        <w:rPr>
          <w:rFonts w:ascii="Arial" w:hAnsi="Arial" w:cs="Arial"/>
        </w:rPr>
      </w:pPr>
      <w:r>
        <w:rPr>
          <w:rFonts w:ascii="Arial" w:eastAsia="Times New Roman" w:hAnsi="Arial" w:cs="Times New Roman"/>
          <w:smallCaps/>
          <w:noProof/>
          <w:color w:val="0067B1"/>
          <w:kern w:val="22"/>
          <w:sz w:val="24"/>
          <w:szCs w:val="24"/>
        </w:rPr>
        <w:drawing>
          <wp:anchor distT="0" distB="0" distL="114300" distR="114300" simplePos="0" relativeHeight="251774976" behindDoc="0" locked="0" layoutInCell="1" allowOverlap="1" wp14:anchorId="11C5D9AE" wp14:editId="6E3C97A3">
            <wp:simplePos x="0" y="0"/>
            <wp:positionH relativeFrom="margin">
              <wp:posOffset>-80010</wp:posOffset>
            </wp:positionH>
            <wp:positionV relativeFrom="margin">
              <wp:posOffset>783590</wp:posOffset>
            </wp:positionV>
            <wp:extent cx="1108710" cy="736600"/>
            <wp:effectExtent l="0" t="0" r="0" b="6350"/>
            <wp:wrapSquare wrapText="bothSides"/>
            <wp:docPr id="27" name="Picture 27" descr="\\ctstore01\documents\jfagan\My Pictures\RT Logos\BRID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tstore01\documents\jfagan\My Pictures\RT Logos\BRIDGE.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108710" cy="736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rPr>
        <w:t>As your broker, o</w:t>
      </w:r>
      <w:r w:rsidRPr="007E24F4">
        <w:rPr>
          <w:rFonts w:ascii="Arial" w:hAnsi="Arial" w:cs="Arial"/>
        </w:rPr>
        <w:t>ur most important function is to ensure that your policy responds properly in the event of a claim. A D&amp;O claim can be difficult to navigate for those unfamiliar with the process.</w:t>
      </w:r>
      <w:r>
        <w:rPr>
          <w:rFonts w:ascii="Arial" w:hAnsi="Arial" w:cs="Arial"/>
        </w:rPr>
        <w:t xml:space="preserve"> </w:t>
      </w:r>
    </w:p>
    <w:p w14:paraId="29C2AB4E" w14:textId="77777777" w:rsidR="00AE1256" w:rsidRPr="007E24F4" w:rsidRDefault="00AE1256" w:rsidP="00AE1256">
      <w:pPr>
        <w:spacing w:line="360" w:lineRule="auto"/>
        <w:jc w:val="both"/>
        <w:rPr>
          <w:rFonts w:ascii="Arial" w:hAnsi="Arial" w:cs="Arial"/>
        </w:rPr>
      </w:pPr>
      <w:r>
        <w:rPr>
          <w:rFonts w:ascii="Arial" w:hAnsi="Arial" w:cs="Arial"/>
        </w:rPr>
        <w:t>You have</w:t>
      </w:r>
      <w:r w:rsidRPr="007E24F4">
        <w:rPr>
          <w:rFonts w:ascii="Arial" w:hAnsi="Arial" w:cs="Arial"/>
        </w:rPr>
        <w:t xml:space="preserve"> access to the services of the most experienced claims advocates in the </w:t>
      </w:r>
      <w:r>
        <w:rPr>
          <w:rFonts w:ascii="Arial" w:hAnsi="Arial" w:cs="Arial"/>
        </w:rPr>
        <w:t>D&amp;O</w:t>
      </w:r>
      <w:r w:rsidRPr="007E24F4">
        <w:rPr>
          <w:rFonts w:ascii="Arial" w:hAnsi="Arial" w:cs="Arial"/>
        </w:rPr>
        <w:t xml:space="preserve"> insurance business:</w:t>
      </w:r>
    </w:p>
    <w:p w14:paraId="2C3287E9" w14:textId="77777777" w:rsidR="00AE1256" w:rsidRDefault="008610F1" w:rsidP="00AD61CE">
      <w:pPr>
        <w:numPr>
          <w:ilvl w:val="0"/>
          <w:numId w:val="13"/>
        </w:numPr>
        <w:spacing w:after="0" w:line="360" w:lineRule="auto"/>
        <w:jc w:val="both"/>
        <w:rPr>
          <w:rFonts w:ascii="Arial" w:hAnsi="Arial" w:cs="Arial"/>
        </w:rPr>
      </w:pPr>
      <w:r>
        <w:rPr>
          <w:rFonts w:ascii="Arial" w:hAnsi="Arial" w:cs="Arial"/>
        </w:rPr>
        <w:t xml:space="preserve">Our D&amp;O </w:t>
      </w:r>
      <w:r w:rsidR="00AE1256">
        <w:rPr>
          <w:rFonts w:ascii="Arial" w:hAnsi="Arial" w:cs="Arial"/>
        </w:rPr>
        <w:t>C</w:t>
      </w:r>
      <w:r w:rsidR="00AE1256" w:rsidRPr="007E24F4">
        <w:rPr>
          <w:rFonts w:ascii="Arial" w:hAnsi="Arial" w:cs="Arial"/>
        </w:rPr>
        <w:t xml:space="preserve">laims </w:t>
      </w:r>
      <w:r w:rsidR="006E533D">
        <w:rPr>
          <w:rFonts w:ascii="Arial" w:hAnsi="Arial" w:cs="Arial"/>
        </w:rPr>
        <w:t xml:space="preserve">function is led by </w:t>
      </w:r>
      <w:r w:rsidR="00AE1256" w:rsidRPr="0050793D">
        <w:rPr>
          <w:rFonts w:ascii="Arial" w:hAnsi="Arial" w:cs="Arial"/>
          <w:color w:val="0067B1"/>
        </w:rPr>
        <w:t>Kevin LaCroix</w:t>
      </w:r>
      <w:r w:rsidR="00AE1256" w:rsidRPr="007E24F4">
        <w:rPr>
          <w:rFonts w:ascii="Arial" w:hAnsi="Arial" w:cs="Arial"/>
        </w:rPr>
        <w:t xml:space="preserve">, who has been providing counsel on </w:t>
      </w:r>
      <w:r w:rsidR="00AE1256">
        <w:rPr>
          <w:rFonts w:ascii="Arial" w:hAnsi="Arial" w:cs="Arial"/>
        </w:rPr>
        <w:t>D&amp;O</w:t>
      </w:r>
      <w:r w:rsidR="00AE1256" w:rsidRPr="007E24F4">
        <w:rPr>
          <w:rFonts w:ascii="Arial" w:hAnsi="Arial" w:cs="Arial"/>
        </w:rPr>
        <w:t xml:space="preserve"> insurance matters for </w:t>
      </w:r>
      <w:r>
        <w:rPr>
          <w:rFonts w:ascii="Arial" w:hAnsi="Arial" w:cs="Arial"/>
        </w:rPr>
        <w:t>over 3</w:t>
      </w:r>
      <w:r w:rsidR="006558D1">
        <w:rPr>
          <w:rFonts w:ascii="Arial" w:hAnsi="Arial" w:cs="Arial"/>
        </w:rPr>
        <w:t>5</w:t>
      </w:r>
      <w:r w:rsidR="00AE1256" w:rsidRPr="007E24F4">
        <w:rPr>
          <w:rFonts w:ascii="Arial" w:hAnsi="Arial" w:cs="Arial"/>
        </w:rPr>
        <w:t xml:space="preserve"> years. Kevin began his distinguished career as a coverage attorney and partner in the Washington, D.C. law firm of Ross, Dixon &amp; Bell, one of the nation’s preeminent coverage firms. Kevin then served as Claims Manager and later as President of Genesis Professional Liability Managers, a directors’ and officers’ liability insurer located in Beachwood, Ohio. Kevin also served as President of the Professional Liability Underwriting Society. </w:t>
      </w:r>
    </w:p>
    <w:p w14:paraId="2994AE71" w14:textId="77777777" w:rsidR="006E533D" w:rsidRPr="007E24F4" w:rsidRDefault="00945605" w:rsidP="00AD61CE">
      <w:pPr>
        <w:numPr>
          <w:ilvl w:val="0"/>
          <w:numId w:val="13"/>
        </w:numPr>
        <w:spacing w:after="0" w:line="360" w:lineRule="auto"/>
        <w:jc w:val="both"/>
        <w:rPr>
          <w:rFonts w:ascii="Arial" w:hAnsi="Arial" w:cs="Arial"/>
        </w:rPr>
      </w:pPr>
      <w:r>
        <w:rPr>
          <w:rFonts w:ascii="Arial" w:hAnsi="Arial" w:cs="Arial"/>
          <w:color w:val="0067B1"/>
        </w:rPr>
        <w:t xml:space="preserve">Marissa </w:t>
      </w:r>
      <w:r w:rsidR="006558D1">
        <w:rPr>
          <w:rFonts w:ascii="Arial" w:hAnsi="Arial" w:cs="Arial"/>
          <w:color w:val="0067B1"/>
        </w:rPr>
        <w:t>Streckfus</w:t>
      </w:r>
      <w:r>
        <w:rPr>
          <w:rFonts w:ascii="Arial" w:hAnsi="Arial" w:cs="Arial"/>
          <w:color w:val="0067B1"/>
        </w:rPr>
        <w:t xml:space="preserve"> </w:t>
      </w:r>
      <w:r w:rsidR="006E533D">
        <w:rPr>
          <w:rFonts w:ascii="Arial" w:hAnsi="Arial" w:cs="Arial"/>
        </w:rPr>
        <w:t>is our D&amp;O Claims manager.  Marissa is also an attorney and brings 10 years of management liability claims experience with Chubb, a leading D&amp;O insurer.</w:t>
      </w:r>
    </w:p>
    <w:p w14:paraId="47F4F2C0" w14:textId="77777777" w:rsidR="00AE1256" w:rsidRDefault="00AE1256" w:rsidP="00AE1256">
      <w:pPr>
        <w:spacing w:line="360" w:lineRule="auto"/>
        <w:jc w:val="both"/>
        <w:rPr>
          <w:rFonts w:ascii="Arial" w:hAnsi="Arial" w:cs="Arial"/>
        </w:rPr>
      </w:pPr>
    </w:p>
    <w:p w14:paraId="1B119774" w14:textId="77777777" w:rsidR="00AE1256" w:rsidRPr="006A7E69" w:rsidRDefault="00AE1256" w:rsidP="00AE1256">
      <w:pPr>
        <w:spacing w:line="360" w:lineRule="auto"/>
        <w:jc w:val="both"/>
        <w:rPr>
          <w:rFonts w:ascii="Arial" w:hAnsi="Arial" w:cs="Arial"/>
        </w:rPr>
      </w:pPr>
      <w:r w:rsidRPr="007E24F4">
        <w:rPr>
          <w:rFonts w:ascii="Arial" w:hAnsi="Arial" w:cs="Arial"/>
        </w:rPr>
        <w:t xml:space="preserve">With these unparalleled claims resources, we are uniquely positioned to represent you if you experience a </w:t>
      </w:r>
      <w:r>
        <w:rPr>
          <w:rFonts w:ascii="Arial" w:hAnsi="Arial" w:cs="Arial"/>
        </w:rPr>
        <w:t>D&amp;O</w:t>
      </w:r>
      <w:r w:rsidRPr="007E24F4">
        <w:rPr>
          <w:rFonts w:ascii="Arial" w:hAnsi="Arial" w:cs="Arial"/>
        </w:rPr>
        <w:t xml:space="preserve"> claim. While the </w:t>
      </w:r>
      <w:r>
        <w:rPr>
          <w:rFonts w:ascii="Arial" w:hAnsi="Arial" w:cs="Arial"/>
        </w:rPr>
        <w:t>D&amp;O</w:t>
      </w:r>
      <w:r w:rsidRPr="007E24F4">
        <w:rPr>
          <w:rFonts w:ascii="Arial" w:hAnsi="Arial" w:cs="Arial"/>
        </w:rPr>
        <w:t xml:space="preserve"> claims process sometimes can be frustrating, the involvement of an experienced claims advocate can help to minimize the</w:t>
      </w:r>
      <w:r>
        <w:rPr>
          <w:rFonts w:ascii="Arial" w:hAnsi="Arial" w:cs="Arial"/>
        </w:rPr>
        <w:t xml:space="preserve"> </w:t>
      </w:r>
      <w:r w:rsidRPr="007E24F4">
        <w:rPr>
          <w:rFonts w:ascii="Arial" w:hAnsi="Arial" w:cs="Arial"/>
        </w:rPr>
        <w:t>problems and increase the likelihood of a smooth claims resolution.</w:t>
      </w:r>
    </w:p>
    <w:p w14:paraId="0CEBFF9B" w14:textId="77777777" w:rsidR="00AE1256" w:rsidRPr="007E24F4" w:rsidRDefault="00AE1256" w:rsidP="00AE1256">
      <w:pPr>
        <w:rPr>
          <w:rFonts w:ascii="Arial" w:hAnsi="Arial" w:cs="Arial"/>
        </w:rPr>
      </w:pPr>
    </w:p>
    <w:p w14:paraId="54B99534" w14:textId="77777777" w:rsidR="00AE1256" w:rsidRPr="00267179" w:rsidRDefault="00AE1256" w:rsidP="00AE1256">
      <w:pPr>
        <w:spacing w:before="100" w:beforeAutospacing="1" w:after="100" w:afterAutospacing="1" w:line="360" w:lineRule="auto"/>
        <w:jc w:val="both"/>
        <w:rPr>
          <w:rFonts w:ascii="Arial" w:hAnsi="Arial"/>
          <w:iCs/>
          <w:color w:val="006666"/>
        </w:rPr>
      </w:pPr>
      <w:r>
        <w:rPr>
          <w:rFonts w:ascii="Arial" w:hAnsi="Arial"/>
          <w:i/>
          <w:iCs/>
          <w:color w:val="006666"/>
        </w:rPr>
        <w:br w:type="page"/>
      </w:r>
      <w:r w:rsidRPr="0097281C">
        <w:rPr>
          <w:rFonts w:ascii="Arial" w:hAnsi="Arial"/>
          <w:i/>
          <w:iCs/>
          <w:color w:val="0067B1"/>
        </w:rPr>
        <w:lastRenderedPageBreak/>
        <w:t>InSights</w:t>
      </w:r>
      <w:r w:rsidRPr="0097281C">
        <w:rPr>
          <w:rFonts w:ascii="Arial" w:hAnsi="Arial"/>
          <w:iCs/>
          <w:color w:val="0067B1"/>
        </w:rPr>
        <w:t xml:space="preserve"> Newsletter</w:t>
      </w:r>
    </w:p>
    <w:p w14:paraId="6E9DD90F" w14:textId="77777777" w:rsidR="00AE1256" w:rsidRDefault="00AE1256" w:rsidP="00AE1256">
      <w:pPr>
        <w:spacing w:before="100" w:beforeAutospacing="1" w:after="100" w:afterAutospacing="1" w:line="360" w:lineRule="auto"/>
        <w:jc w:val="both"/>
        <w:rPr>
          <w:rFonts w:ascii="Arial" w:hAnsi="Arial" w:cs="Arial"/>
        </w:rPr>
      </w:pPr>
      <w:r w:rsidRPr="00267179">
        <w:rPr>
          <w:rFonts w:ascii="Arial" w:hAnsi="Arial" w:cs="Arial"/>
        </w:rPr>
        <w:t xml:space="preserve">RT ProExec publishes a periodical newsletter called </w:t>
      </w:r>
      <w:r w:rsidRPr="00267179">
        <w:rPr>
          <w:rFonts w:ascii="Arial" w:hAnsi="Arial" w:cs="Arial"/>
          <w:i/>
        </w:rPr>
        <w:t>InSights</w:t>
      </w:r>
      <w:r w:rsidRPr="00267179">
        <w:rPr>
          <w:rFonts w:ascii="Arial" w:hAnsi="Arial" w:cs="Arial"/>
        </w:rPr>
        <w:t xml:space="preserve"> on executive liability and D&amp;O insurance issues. Archived issues of the newsletter can be accessed at </w:t>
      </w:r>
      <w:hyperlink r:id="rId64" w:history="1">
        <w:r w:rsidRPr="006C72CC">
          <w:rPr>
            <w:rStyle w:val="Hyperlink"/>
            <w:rFonts w:cs="Arial"/>
          </w:rPr>
          <w:t>http://www.rtspecialty.com</w:t>
        </w:r>
      </w:hyperlink>
      <w:r w:rsidRPr="0097281C">
        <w:rPr>
          <w:rFonts w:ascii="Arial" w:hAnsi="Arial" w:cs="Arial"/>
          <w:color w:val="0067B1"/>
        </w:rPr>
        <w:t>.</w:t>
      </w:r>
      <w:r w:rsidRPr="00E1187F">
        <w:rPr>
          <w:rFonts w:ascii="Arial" w:hAnsi="Arial" w:cs="Arial"/>
          <w:noProof/>
        </w:rPr>
        <w:t xml:space="preserve"> </w:t>
      </w:r>
    </w:p>
    <w:p w14:paraId="389D073D" w14:textId="77777777" w:rsidR="00AE1256" w:rsidRDefault="00B976BE" w:rsidP="00AE1256">
      <w:pPr>
        <w:spacing w:before="100" w:beforeAutospacing="1" w:after="100" w:afterAutospacing="1" w:line="360" w:lineRule="auto"/>
        <w:jc w:val="center"/>
        <w:rPr>
          <w:rFonts w:ascii="Arial" w:hAnsi="Arial" w:cs="Arial"/>
        </w:rPr>
      </w:pPr>
      <w:r>
        <w:rPr>
          <w:rFonts w:ascii="Arial" w:hAnsi="Arial" w:cs="Arial"/>
          <w:noProof/>
        </w:rPr>
        <w:drawing>
          <wp:inline distT="0" distB="0" distL="0" distR="0" wp14:anchorId="25924798" wp14:editId="77D163F6">
            <wp:extent cx="4907151" cy="6294213"/>
            <wp:effectExtent l="19050" t="19050" r="27305"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C824D7.tmp"/>
                    <pic:cNvPicPr/>
                  </pic:nvPicPr>
                  <pic:blipFill rotWithShape="1">
                    <a:blip r:embed="rId65">
                      <a:extLst>
                        <a:ext uri="{28A0092B-C50C-407E-A947-70E740481C1C}">
                          <a14:useLocalDpi xmlns:a14="http://schemas.microsoft.com/office/drawing/2010/main" val="0"/>
                        </a:ext>
                      </a:extLst>
                    </a:blip>
                    <a:srcRect b="948"/>
                    <a:stretch/>
                  </pic:blipFill>
                  <pic:spPr bwMode="auto">
                    <a:xfrm>
                      <a:off x="0" y="0"/>
                      <a:ext cx="4916782" cy="630656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B2B937C" w14:textId="77777777" w:rsidR="005818DC" w:rsidRDefault="005818DC" w:rsidP="00AE1256">
      <w:pPr>
        <w:jc w:val="both"/>
        <w:rPr>
          <w:rFonts w:ascii="Arial" w:hAnsi="Arial"/>
          <w:i/>
          <w:iCs/>
          <w:color w:val="0067B1"/>
        </w:rPr>
      </w:pPr>
    </w:p>
    <w:p w14:paraId="51C60491" w14:textId="77777777" w:rsidR="00945605" w:rsidRDefault="00945605">
      <w:pPr>
        <w:rPr>
          <w:rFonts w:ascii="Arial" w:hAnsi="Arial"/>
          <w:i/>
          <w:iCs/>
          <w:color w:val="0067B1"/>
        </w:rPr>
      </w:pPr>
      <w:r>
        <w:rPr>
          <w:rFonts w:ascii="Arial" w:hAnsi="Arial"/>
          <w:i/>
          <w:iCs/>
          <w:color w:val="0067B1"/>
        </w:rPr>
        <w:lastRenderedPageBreak/>
        <w:br w:type="page"/>
      </w:r>
    </w:p>
    <w:p w14:paraId="34AA06B8" w14:textId="77777777" w:rsidR="00AE1256" w:rsidRPr="0097281C" w:rsidRDefault="00AE1256" w:rsidP="00AE1256">
      <w:pPr>
        <w:jc w:val="both"/>
        <w:rPr>
          <w:b/>
          <w:bCs/>
          <w:color w:val="0067B1"/>
        </w:rPr>
      </w:pPr>
      <w:r w:rsidRPr="0097281C">
        <w:rPr>
          <w:rFonts w:ascii="Arial" w:hAnsi="Arial"/>
          <w:i/>
          <w:iCs/>
          <w:color w:val="0067B1"/>
        </w:rPr>
        <w:lastRenderedPageBreak/>
        <w:t xml:space="preserve">The D&amp;O Diary </w:t>
      </w:r>
      <w:r w:rsidRPr="0097281C">
        <w:rPr>
          <w:rFonts w:ascii="Arial" w:hAnsi="Arial"/>
          <w:iCs/>
          <w:color w:val="0067B1"/>
        </w:rPr>
        <w:t>Weblog</w:t>
      </w:r>
    </w:p>
    <w:p w14:paraId="79D084BA" w14:textId="77777777" w:rsidR="00AE1256" w:rsidRPr="00D33FA2" w:rsidRDefault="00AE1256" w:rsidP="00AE1256">
      <w:pPr>
        <w:spacing w:before="100" w:beforeAutospacing="1" w:after="100" w:afterAutospacing="1" w:line="360" w:lineRule="auto"/>
        <w:jc w:val="both"/>
        <w:rPr>
          <w:rFonts w:ascii="Arial" w:hAnsi="Arial" w:cs="Arial"/>
        </w:rPr>
      </w:pPr>
      <w:r w:rsidRPr="00E50F58">
        <w:rPr>
          <w:noProof/>
        </w:rPr>
        <w:drawing>
          <wp:anchor distT="0" distB="0" distL="114300" distR="114300" simplePos="0" relativeHeight="251777024" behindDoc="1" locked="0" layoutInCell="1" allowOverlap="1" wp14:anchorId="36F4DB17" wp14:editId="6A85CB9B">
            <wp:simplePos x="0" y="0"/>
            <wp:positionH relativeFrom="column">
              <wp:posOffset>60960</wp:posOffset>
            </wp:positionH>
            <wp:positionV relativeFrom="paragraph">
              <wp:posOffset>53340</wp:posOffset>
            </wp:positionV>
            <wp:extent cx="1173480" cy="854710"/>
            <wp:effectExtent l="0" t="0" r="7620" b="2540"/>
            <wp:wrapTight wrapText="bothSides">
              <wp:wrapPolygon edited="0">
                <wp:start x="0" y="0"/>
                <wp:lineTo x="0" y="21183"/>
                <wp:lineTo x="21390" y="21183"/>
                <wp:lineTo x="21390" y="0"/>
                <wp:lineTo x="0" y="0"/>
              </wp:wrapPolygon>
            </wp:wrapTight>
            <wp:docPr id="30" name="Picture 21" descr="news_stack_121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_stack_121713.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173480" cy="854710"/>
                    </a:xfrm>
                    <a:prstGeom prst="rect">
                      <a:avLst/>
                    </a:prstGeom>
                  </pic:spPr>
                </pic:pic>
              </a:graphicData>
            </a:graphic>
            <wp14:sizeRelH relativeFrom="page">
              <wp14:pctWidth>0</wp14:pctWidth>
            </wp14:sizeRelH>
            <wp14:sizeRelV relativeFrom="page">
              <wp14:pctHeight>0</wp14:pctHeight>
            </wp14:sizeRelV>
          </wp:anchor>
        </w:drawing>
      </w:r>
      <w:r w:rsidRPr="00D33FA2">
        <w:rPr>
          <w:rFonts w:ascii="Arial" w:hAnsi="Arial" w:cs="Arial"/>
        </w:rPr>
        <w:t xml:space="preserve">In addition, Kevin LaCroix also maintains </w:t>
      </w:r>
      <w:r w:rsidRPr="00D33FA2">
        <w:rPr>
          <w:rFonts w:ascii="Arial" w:hAnsi="Arial" w:cs="Arial"/>
          <w:i/>
        </w:rPr>
        <w:t xml:space="preserve">The </w:t>
      </w:r>
      <w:r>
        <w:rPr>
          <w:rFonts w:ascii="Arial" w:hAnsi="Arial" w:cs="Arial"/>
          <w:i/>
        </w:rPr>
        <w:t>D&amp;O</w:t>
      </w:r>
      <w:r w:rsidRPr="00D33FA2">
        <w:rPr>
          <w:rFonts w:ascii="Arial" w:hAnsi="Arial" w:cs="Arial"/>
          <w:i/>
        </w:rPr>
        <w:t xml:space="preserve"> Diary</w:t>
      </w:r>
      <w:r w:rsidRPr="00D33FA2">
        <w:rPr>
          <w:rFonts w:ascii="Arial" w:hAnsi="Arial" w:cs="Arial"/>
        </w:rPr>
        <w:t>, an Internet weblog devoted to directors’ and officers’ liability topics. The blog’s readership not only includes professionals in the management liability insurance industry, but lawyers, academics, journalists, and governmental agencies (e.g.,</w:t>
      </w:r>
      <w:r>
        <w:rPr>
          <w:rFonts w:ascii="Arial" w:hAnsi="Arial" w:cs="Arial"/>
        </w:rPr>
        <w:t xml:space="preserve"> </w:t>
      </w:r>
      <w:r w:rsidRPr="00D33FA2">
        <w:rPr>
          <w:rFonts w:ascii="Arial" w:hAnsi="Arial" w:cs="Arial"/>
        </w:rPr>
        <w:t xml:space="preserve">the SEC, the Department of Justice, the Public Company Accounting Oversight Board). The blog’s readership is geographically diverse </w:t>
      </w:r>
      <w:r>
        <w:rPr>
          <w:rFonts w:ascii="Arial" w:hAnsi="Arial" w:cs="Arial"/>
        </w:rPr>
        <w:t>with over 500,000 unique visitors since the beginning of 2008</w:t>
      </w:r>
      <w:r w:rsidRPr="00D33FA2">
        <w:rPr>
          <w:rFonts w:ascii="Arial" w:hAnsi="Arial" w:cs="Arial"/>
        </w:rPr>
        <w:t xml:space="preserve"> </w:t>
      </w:r>
      <w:r>
        <w:rPr>
          <w:rFonts w:ascii="Arial" w:hAnsi="Arial" w:cs="Arial"/>
        </w:rPr>
        <w:t xml:space="preserve">from </w:t>
      </w:r>
      <w:r w:rsidRPr="00D33FA2">
        <w:rPr>
          <w:rFonts w:ascii="Arial" w:hAnsi="Arial" w:cs="Arial"/>
        </w:rPr>
        <w:t xml:space="preserve">over </w:t>
      </w:r>
      <w:r>
        <w:rPr>
          <w:rFonts w:ascii="Arial" w:hAnsi="Arial" w:cs="Arial"/>
        </w:rPr>
        <w:t>150</w:t>
      </w:r>
      <w:r w:rsidRPr="00D33FA2">
        <w:rPr>
          <w:rFonts w:ascii="Arial" w:hAnsi="Arial" w:cs="Arial"/>
        </w:rPr>
        <w:t xml:space="preserve"> countries.</w:t>
      </w:r>
      <w:r>
        <w:rPr>
          <w:rFonts w:ascii="Arial" w:hAnsi="Arial" w:cs="Arial"/>
        </w:rPr>
        <w:t xml:space="preserve"> </w:t>
      </w:r>
      <w:r w:rsidRPr="00D33FA2">
        <w:rPr>
          <w:rFonts w:ascii="Arial" w:hAnsi="Arial" w:cs="Arial"/>
        </w:rPr>
        <w:t xml:space="preserve">The blog may be found at </w:t>
      </w:r>
      <w:hyperlink r:id="rId67" w:history="1">
        <w:r w:rsidRPr="0097281C">
          <w:rPr>
            <w:rStyle w:val="Hyperlink"/>
            <w:rFonts w:ascii="Arial" w:hAnsi="Arial" w:cs="Arial"/>
            <w:color w:val="0067B1"/>
          </w:rPr>
          <w:t>www.dandodiary.com</w:t>
        </w:r>
      </w:hyperlink>
      <w:r w:rsidRPr="0097281C">
        <w:rPr>
          <w:rFonts w:ascii="Arial" w:hAnsi="Arial" w:cs="Arial"/>
          <w:color w:val="0067B1"/>
        </w:rPr>
        <w:t xml:space="preserve">. </w:t>
      </w:r>
      <w:r w:rsidRPr="00D33FA2">
        <w:rPr>
          <w:rFonts w:ascii="Arial" w:hAnsi="Arial" w:cs="Arial"/>
        </w:rPr>
        <w:t xml:space="preserve">As a result of the </w:t>
      </w:r>
      <w:r>
        <w:rPr>
          <w:rFonts w:ascii="Arial" w:hAnsi="Arial" w:cs="Arial"/>
        </w:rPr>
        <w:t>D&amp;O Diary</w:t>
      </w:r>
      <w:r w:rsidRPr="00D33FA2">
        <w:rPr>
          <w:rFonts w:ascii="Arial" w:hAnsi="Arial" w:cs="Arial"/>
        </w:rPr>
        <w:t xml:space="preserve">, Kevin has been interviewed regarding management liability topics by the New York Times, the International Herald Tribune, Dow Jones Newswire, Associated Press, Bloomberg News, and numerous insurance industry publications. </w:t>
      </w:r>
    </w:p>
    <w:p w14:paraId="4F80C323" w14:textId="77777777" w:rsidR="00AE1256" w:rsidRDefault="00B976BE" w:rsidP="00AE1256">
      <w:pPr>
        <w:rPr>
          <w:rFonts w:ascii="Georgia" w:hAnsi="Georgia"/>
        </w:rPr>
      </w:pPr>
      <w:r>
        <w:rPr>
          <w:rFonts w:ascii="Arial" w:hAnsi="Arial"/>
          <w:iCs/>
          <w:noProof/>
          <w:color w:val="000000"/>
        </w:rPr>
        <w:drawing>
          <wp:inline distT="0" distB="0" distL="0" distR="0" wp14:anchorId="29E0F9BD" wp14:editId="36D987E0">
            <wp:extent cx="5943600" cy="42741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C87EAD.tmp"/>
                    <pic:cNvPicPr/>
                  </pic:nvPicPr>
                  <pic:blipFill>
                    <a:blip r:embed="rId68">
                      <a:extLst>
                        <a:ext uri="{28A0092B-C50C-407E-A947-70E740481C1C}">
                          <a14:useLocalDpi xmlns:a14="http://schemas.microsoft.com/office/drawing/2010/main" val="0"/>
                        </a:ext>
                      </a:extLst>
                    </a:blip>
                    <a:stretch>
                      <a:fillRect/>
                    </a:stretch>
                  </pic:blipFill>
                  <pic:spPr>
                    <a:xfrm>
                      <a:off x="0" y="0"/>
                      <a:ext cx="5943600" cy="4274185"/>
                    </a:xfrm>
                    <a:prstGeom prst="rect">
                      <a:avLst/>
                    </a:prstGeom>
                  </pic:spPr>
                </pic:pic>
              </a:graphicData>
            </a:graphic>
          </wp:inline>
        </w:drawing>
      </w:r>
    </w:p>
    <w:p w14:paraId="19CB0164" w14:textId="77777777" w:rsidR="00AE1256" w:rsidRPr="007467B9" w:rsidRDefault="00AE1256" w:rsidP="00AE1256">
      <w:pPr>
        <w:jc w:val="center"/>
        <w:rPr>
          <w:rFonts w:ascii="Arial" w:hAnsi="Arial"/>
          <w:iCs/>
          <w:color w:val="000000"/>
        </w:rPr>
      </w:pPr>
    </w:p>
    <w:p w14:paraId="1C010D7B" w14:textId="06E41296" w:rsidR="006F52FB" w:rsidRPr="007467B9" w:rsidRDefault="006F52FB">
      <w:pPr>
        <w:rPr>
          <w:rFonts w:ascii="Arial" w:hAnsi="Arial"/>
          <w:iCs/>
          <w:color w:val="000000"/>
        </w:rPr>
      </w:pPr>
    </w:p>
    <w:sectPr w:rsidR="006F52FB" w:rsidRPr="007467B9" w:rsidSect="00AF6B7E">
      <w:headerReference w:type="default" r:id="rId69"/>
      <w:footerReference w:type="default" r:id="rId70"/>
      <w:footerReference w:type="first" r:id="rId71"/>
      <w:pgSz w:w="12240" w:h="15840"/>
      <w:pgMar w:top="1260" w:right="1440" w:bottom="1170" w:left="1440" w:header="720" w:footer="3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6F66F" w14:textId="77777777" w:rsidR="004C362E" w:rsidRDefault="004C362E" w:rsidP="00444B57">
      <w:pPr>
        <w:spacing w:after="0" w:line="240" w:lineRule="auto"/>
      </w:pPr>
      <w:r>
        <w:separator/>
      </w:r>
    </w:p>
  </w:endnote>
  <w:endnote w:type="continuationSeparator" w:id="0">
    <w:p w14:paraId="240A5312" w14:textId="77777777" w:rsidR="004C362E" w:rsidRDefault="004C362E" w:rsidP="00444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Helvetica Black">
    <w:panose1 w:val="00000000000000000000"/>
    <w:charset w:val="00"/>
    <w:family w:val="swiss"/>
    <w:notTrueType/>
    <w:pitch w:val="variable"/>
    <w:sig w:usb0="00000003" w:usb1="00000000" w:usb2="00000000" w:usb3="00000000" w:csb0="00000001" w:csb1="00000000"/>
  </w:font>
  <w:font w:name="Minion Pro">
    <w:charset w:val="00"/>
    <w:family w:val="auto"/>
    <w:pitch w:val="variable"/>
    <w:sig w:usb0="60000287" w:usb1="00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CIDFont+F3">
    <w:altName w:val="Calibri"/>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ECD53" w14:textId="5E9FE70B" w:rsidR="00DB1EC4" w:rsidRDefault="00B9461B" w:rsidP="001520C3">
    <w:pPr>
      <w:pStyle w:val="Footer"/>
      <w:tabs>
        <w:tab w:val="clear" w:pos="8640"/>
        <w:tab w:val="left" w:pos="2400"/>
        <w:tab w:val="right" w:pos="9360"/>
      </w:tabs>
    </w:pPr>
    <w:r>
      <w:rPr>
        <w:noProof/>
      </w:rPr>
      <w:drawing>
        <wp:inline distT="0" distB="0" distL="0" distR="0" wp14:anchorId="376F8150" wp14:editId="6C78AACD">
          <wp:extent cx="1219200" cy="573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28238" cy="577516"/>
                  </a:xfrm>
                  <a:prstGeom prst="rect">
                    <a:avLst/>
                  </a:prstGeom>
                </pic:spPr>
              </pic:pic>
            </a:graphicData>
          </a:graphic>
        </wp:inline>
      </w:drawing>
    </w:r>
    <w:r w:rsidR="00DB1EC4">
      <w:rPr>
        <w:noProof/>
      </w:rPr>
      <w:tab/>
    </w:r>
    <w:r w:rsidR="00DB1EC4">
      <w:tab/>
    </w:r>
    <w:r w:rsidR="00DB1EC4">
      <w:tab/>
    </w:r>
    <w:r w:rsidR="00DB1EC4">
      <w:rPr>
        <w:noProof/>
      </w:rPr>
      <w:drawing>
        <wp:inline distT="0" distB="0" distL="0" distR="0" wp14:anchorId="6298C976" wp14:editId="1A759427">
          <wp:extent cx="1359966" cy="38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_ProExec_Logo_2pms_FINAL.png"/>
                  <pic:cNvPicPr/>
                </pic:nvPicPr>
                <pic:blipFill>
                  <a:blip r:embed="rId2">
                    <a:extLst>
                      <a:ext uri="{28A0092B-C50C-407E-A947-70E740481C1C}">
                        <a14:useLocalDpi xmlns:a14="http://schemas.microsoft.com/office/drawing/2010/main" val="0"/>
                      </a:ext>
                    </a:extLst>
                  </a:blip>
                  <a:stretch>
                    <a:fillRect/>
                  </a:stretch>
                </pic:blipFill>
                <pic:spPr>
                  <a:xfrm>
                    <a:off x="0" y="0"/>
                    <a:ext cx="1380495" cy="389309"/>
                  </a:xfrm>
                  <a:prstGeom prst="rect">
                    <a:avLst/>
                  </a:prstGeom>
                </pic:spPr>
              </pic:pic>
            </a:graphicData>
          </a:graphic>
        </wp:inline>
      </w:drawing>
    </w:r>
  </w:p>
  <w:p w14:paraId="76C7C7B5" w14:textId="77777777" w:rsidR="00DB1EC4" w:rsidRDefault="00DB1EC4" w:rsidP="00AF6B7E">
    <w:pPr>
      <w:pStyle w:val="Footer"/>
      <w:tabs>
        <w:tab w:val="clear" w:pos="864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83B7E" w14:textId="76A24FC0" w:rsidR="00DB1EC4" w:rsidRDefault="00B9461B" w:rsidP="001520C3">
    <w:pPr>
      <w:pStyle w:val="Footer"/>
      <w:tabs>
        <w:tab w:val="clear" w:pos="8640"/>
        <w:tab w:val="left" w:pos="2400"/>
        <w:tab w:val="right" w:pos="9360"/>
      </w:tabs>
    </w:pPr>
    <w:r>
      <w:rPr>
        <w:noProof/>
      </w:rPr>
      <w:drawing>
        <wp:inline distT="0" distB="0" distL="0" distR="0" wp14:anchorId="4BDA744E" wp14:editId="16ACC269">
          <wp:extent cx="1438275" cy="676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38275" cy="676275"/>
                  </a:xfrm>
                  <a:prstGeom prst="rect">
                    <a:avLst/>
                  </a:prstGeom>
                </pic:spPr>
              </pic:pic>
            </a:graphicData>
          </a:graphic>
        </wp:inline>
      </w:drawing>
    </w:r>
    <w:r w:rsidR="00DB1EC4">
      <w:rPr>
        <w:noProof/>
      </w:rPr>
      <w:tab/>
    </w:r>
    <w:r w:rsidR="00DB1EC4">
      <w:tab/>
    </w:r>
    <w:r w:rsidR="00DB1EC4">
      <w:tab/>
    </w:r>
    <w:r w:rsidR="00DB1EC4">
      <w:rPr>
        <w:noProof/>
      </w:rPr>
      <w:drawing>
        <wp:inline distT="0" distB="0" distL="0" distR="0" wp14:anchorId="2BC15F4E" wp14:editId="34720396">
          <wp:extent cx="1495425" cy="4217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_ProExec_Logo_2pms_FINAL.png"/>
                  <pic:cNvPicPr/>
                </pic:nvPicPr>
                <pic:blipFill>
                  <a:blip r:embed="rId2">
                    <a:extLst>
                      <a:ext uri="{28A0092B-C50C-407E-A947-70E740481C1C}">
                        <a14:useLocalDpi xmlns:a14="http://schemas.microsoft.com/office/drawing/2010/main" val="0"/>
                      </a:ext>
                    </a:extLst>
                  </a:blip>
                  <a:stretch>
                    <a:fillRect/>
                  </a:stretch>
                </pic:blipFill>
                <pic:spPr>
                  <a:xfrm>
                    <a:off x="0" y="0"/>
                    <a:ext cx="1499184" cy="42278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28749" w14:textId="77777777" w:rsidR="004C362E" w:rsidRDefault="004C362E" w:rsidP="00444B57">
      <w:pPr>
        <w:spacing w:after="0" w:line="240" w:lineRule="auto"/>
      </w:pPr>
      <w:r>
        <w:separator/>
      </w:r>
    </w:p>
  </w:footnote>
  <w:footnote w:type="continuationSeparator" w:id="0">
    <w:p w14:paraId="069EB067" w14:textId="77777777" w:rsidR="004C362E" w:rsidRDefault="004C362E" w:rsidP="00444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305A9" w14:textId="5C14B1D4" w:rsidR="00DB1EC4" w:rsidRPr="009E2B7A" w:rsidRDefault="00DB1EC4" w:rsidP="00444B57">
    <w:pPr>
      <w:pStyle w:val="OBISheadercopy"/>
      <w:rPr>
        <w:color w:val="0046AD"/>
        <w:kern w:val="22"/>
      </w:rPr>
    </w:pPr>
    <w:r w:rsidRPr="009E2B7A">
      <w:rPr>
        <w:color w:val="0046AD"/>
        <w:kern w:val="22"/>
      </w:rPr>
      <w:t xml:space="preserve">Executive Liability Insurance </w:t>
    </w:r>
    <w:r>
      <w:rPr>
        <w:color w:val="0046AD"/>
        <w:kern w:val="22"/>
      </w:rPr>
      <w:t>de-SPAC Discussion</w:t>
    </w:r>
  </w:p>
  <w:p w14:paraId="759D001B" w14:textId="77777777" w:rsidR="00DB1EC4" w:rsidRPr="0039732B" w:rsidRDefault="00DB1EC4" w:rsidP="0039732B">
    <w:pPr>
      <w:pStyle w:val="OBISheadercopy"/>
      <w:spacing w:after="120"/>
      <w:rPr>
        <w:smallCaps w:val="0"/>
        <w:color w:val="auto"/>
        <w:spacing w:val="0"/>
        <w:kern w:val="0"/>
      </w:rPr>
    </w:pPr>
    <w:r>
      <w:rPr>
        <w:color w:val="auto"/>
        <w:kern w:val="22"/>
      </w:rPr>
      <w:t>P</w:t>
    </w:r>
    <w:r w:rsidRPr="00B47523">
      <w:rPr>
        <w:color w:val="auto"/>
        <w:kern w:val="22"/>
      </w:rPr>
      <w:t xml:space="preserve">age </w:t>
    </w:r>
    <w:r w:rsidRPr="00B47523">
      <w:rPr>
        <w:rStyle w:val="PageNumber"/>
        <w:smallCaps w:val="0"/>
        <w:color w:val="auto"/>
        <w:spacing w:val="0"/>
        <w:kern w:val="0"/>
      </w:rPr>
      <w:fldChar w:fldCharType="begin"/>
    </w:r>
    <w:r w:rsidRPr="00B47523">
      <w:rPr>
        <w:rStyle w:val="PageNumber"/>
        <w:smallCaps w:val="0"/>
        <w:color w:val="auto"/>
        <w:spacing w:val="0"/>
        <w:kern w:val="0"/>
      </w:rPr>
      <w:instrText xml:space="preserve"> PAGE </w:instrText>
    </w:r>
    <w:r w:rsidRPr="00B47523">
      <w:rPr>
        <w:rStyle w:val="PageNumber"/>
        <w:smallCaps w:val="0"/>
        <w:color w:val="auto"/>
        <w:spacing w:val="0"/>
        <w:kern w:val="0"/>
      </w:rPr>
      <w:fldChar w:fldCharType="separate"/>
    </w:r>
    <w:r>
      <w:rPr>
        <w:rStyle w:val="PageNumber"/>
        <w:smallCaps w:val="0"/>
        <w:noProof/>
        <w:color w:val="auto"/>
        <w:spacing w:val="0"/>
        <w:kern w:val="0"/>
      </w:rPr>
      <w:t>20</w:t>
    </w:r>
    <w:r w:rsidRPr="00B47523">
      <w:rPr>
        <w:rStyle w:val="PageNumber"/>
        <w:smallCaps w:val="0"/>
        <w:color w:val="auto"/>
        <w:spacing w:val="0"/>
        <w:kern w:val="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7in;height:7in" o:bullet="t">
        <v:imagedata r:id="rId1" o:title="ACORN"/>
      </v:shape>
    </w:pict>
  </w:numPicBullet>
  <w:abstractNum w:abstractNumId="0" w15:restartNumberingAfterBreak="0">
    <w:nsid w:val="086829A0"/>
    <w:multiLevelType w:val="hybridMultilevel"/>
    <w:tmpl w:val="322E738C"/>
    <w:lvl w:ilvl="0" w:tplc="4E601A36">
      <w:start w:val="1"/>
      <w:numFmt w:val="bullet"/>
      <w:lvlText w:val=""/>
      <w:lvlJc w:val="left"/>
      <w:pPr>
        <w:ind w:left="720" w:hanging="360"/>
      </w:pPr>
      <w:rPr>
        <w:rFonts w:ascii="Symbol" w:hAnsi="Symbol" w:hint="default"/>
        <w:color w:val="0067B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77F1C"/>
    <w:multiLevelType w:val="hybridMultilevel"/>
    <w:tmpl w:val="4BCA1016"/>
    <w:lvl w:ilvl="0" w:tplc="4E601A36">
      <w:start w:val="1"/>
      <w:numFmt w:val="bullet"/>
      <w:lvlText w:val=""/>
      <w:lvlJc w:val="left"/>
      <w:pPr>
        <w:ind w:left="720" w:hanging="360"/>
      </w:pPr>
      <w:rPr>
        <w:rFonts w:ascii="Symbol" w:hAnsi="Symbol" w:hint="default"/>
        <w:color w:val="0067B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E1971"/>
    <w:multiLevelType w:val="hybridMultilevel"/>
    <w:tmpl w:val="8D8CD2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65306C"/>
    <w:multiLevelType w:val="multilevel"/>
    <w:tmpl w:val="B6C412DA"/>
    <w:lvl w:ilvl="0">
      <w:start w:val="1"/>
      <w:numFmt w:val="bullet"/>
      <w:pStyle w:val="CMISSideBarBody"/>
      <w:lvlText w:val=""/>
      <w:lvlJc w:val="left"/>
      <w:pPr>
        <w:tabs>
          <w:tab w:val="num" w:pos="360"/>
        </w:tabs>
        <w:ind w:left="360" w:hanging="360"/>
      </w:pPr>
      <w:rPr>
        <w:rFonts w:ascii="Wingdings" w:hAnsi="Wingdings" w:hint="default"/>
        <w:color w:val="C0C0C0"/>
      </w:rPr>
    </w:lvl>
    <w:lvl w:ilvl="1">
      <w:start w:val="1"/>
      <w:numFmt w:val="bullet"/>
      <w:lvlText w:val="–"/>
      <w:lvlJc w:val="left"/>
      <w:pPr>
        <w:tabs>
          <w:tab w:val="num" w:pos="1440"/>
        </w:tabs>
        <w:ind w:left="1080" w:hanging="360"/>
      </w:pPr>
      <w:rPr>
        <w:rFonts w:ascii="Arial" w:hAnsi="Arial" w:hint="default"/>
        <w:b/>
        <w:color w:val="C0C0C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w:hAnsi="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w:hAnsi="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5B123C2"/>
    <w:multiLevelType w:val="hybridMultilevel"/>
    <w:tmpl w:val="052E03E4"/>
    <w:lvl w:ilvl="0" w:tplc="24B805AC">
      <w:start w:val="1"/>
      <w:numFmt w:val="bullet"/>
      <w:lvlText w:val=""/>
      <w:lvlJc w:val="left"/>
      <w:pPr>
        <w:tabs>
          <w:tab w:val="num" w:pos="720"/>
        </w:tabs>
        <w:ind w:left="720" w:hanging="360"/>
      </w:pPr>
      <w:rPr>
        <w:rFonts w:ascii="Wingdings" w:hAnsi="Wingdings" w:hint="default"/>
        <w:color w:val="0046AD"/>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7052F2B"/>
    <w:multiLevelType w:val="hybridMultilevel"/>
    <w:tmpl w:val="3E0A864A"/>
    <w:lvl w:ilvl="0" w:tplc="4E601A36">
      <w:start w:val="1"/>
      <w:numFmt w:val="bullet"/>
      <w:lvlText w:val=""/>
      <w:lvlJc w:val="left"/>
      <w:pPr>
        <w:tabs>
          <w:tab w:val="num" w:pos="720"/>
        </w:tabs>
        <w:ind w:left="720" w:hanging="360"/>
      </w:pPr>
      <w:rPr>
        <w:rFonts w:ascii="Symbol" w:hAnsi="Symbol" w:hint="default"/>
        <w:color w:val="0067B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0625842"/>
    <w:multiLevelType w:val="hybridMultilevel"/>
    <w:tmpl w:val="5A6A291A"/>
    <w:lvl w:ilvl="0" w:tplc="04090005">
      <w:start w:val="1"/>
      <w:numFmt w:val="bullet"/>
      <w:lvlText w:val=""/>
      <w:lvlJc w:val="left"/>
      <w:pPr>
        <w:ind w:left="1080" w:hanging="360"/>
      </w:pPr>
      <w:rPr>
        <w:rFonts w:ascii="Wingdings" w:hAnsi="Wingdings" w:hint="default"/>
        <w:b w:val="0"/>
        <w:i w:val="0"/>
        <w:color w:val="0046A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BFF74D5"/>
    <w:multiLevelType w:val="hybridMultilevel"/>
    <w:tmpl w:val="B7D01B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A17768"/>
    <w:multiLevelType w:val="hybridMultilevel"/>
    <w:tmpl w:val="68CA92BE"/>
    <w:lvl w:ilvl="0" w:tplc="04090005">
      <w:start w:val="1"/>
      <w:numFmt w:val="bullet"/>
      <w:lvlText w:val=""/>
      <w:lvlJc w:val="left"/>
      <w:pPr>
        <w:ind w:left="1139" w:hanging="360"/>
      </w:pPr>
      <w:rPr>
        <w:rFonts w:ascii="Wingdings" w:hAnsi="Wingdings" w:hint="default"/>
        <w:b w:val="0"/>
        <w:i w:val="0"/>
        <w:color w:val="0046AD"/>
      </w:rPr>
    </w:lvl>
    <w:lvl w:ilvl="1" w:tplc="04090003" w:tentative="1">
      <w:start w:val="1"/>
      <w:numFmt w:val="bullet"/>
      <w:lvlText w:val="o"/>
      <w:lvlJc w:val="left"/>
      <w:pPr>
        <w:ind w:left="1859" w:hanging="360"/>
      </w:pPr>
      <w:rPr>
        <w:rFonts w:ascii="Courier New" w:hAnsi="Courier New" w:cs="Courier New" w:hint="default"/>
      </w:rPr>
    </w:lvl>
    <w:lvl w:ilvl="2" w:tplc="04090005" w:tentative="1">
      <w:start w:val="1"/>
      <w:numFmt w:val="bullet"/>
      <w:lvlText w:val=""/>
      <w:lvlJc w:val="left"/>
      <w:pPr>
        <w:ind w:left="2579" w:hanging="360"/>
      </w:pPr>
      <w:rPr>
        <w:rFonts w:ascii="Wingdings" w:hAnsi="Wingdings" w:hint="default"/>
      </w:rPr>
    </w:lvl>
    <w:lvl w:ilvl="3" w:tplc="04090001" w:tentative="1">
      <w:start w:val="1"/>
      <w:numFmt w:val="bullet"/>
      <w:lvlText w:val=""/>
      <w:lvlJc w:val="left"/>
      <w:pPr>
        <w:ind w:left="3299" w:hanging="360"/>
      </w:pPr>
      <w:rPr>
        <w:rFonts w:ascii="Symbol" w:hAnsi="Symbol" w:hint="default"/>
      </w:rPr>
    </w:lvl>
    <w:lvl w:ilvl="4" w:tplc="04090003" w:tentative="1">
      <w:start w:val="1"/>
      <w:numFmt w:val="bullet"/>
      <w:lvlText w:val="o"/>
      <w:lvlJc w:val="left"/>
      <w:pPr>
        <w:ind w:left="4019" w:hanging="360"/>
      </w:pPr>
      <w:rPr>
        <w:rFonts w:ascii="Courier New" w:hAnsi="Courier New" w:cs="Courier New" w:hint="default"/>
      </w:rPr>
    </w:lvl>
    <w:lvl w:ilvl="5" w:tplc="04090005" w:tentative="1">
      <w:start w:val="1"/>
      <w:numFmt w:val="bullet"/>
      <w:lvlText w:val=""/>
      <w:lvlJc w:val="left"/>
      <w:pPr>
        <w:ind w:left="4739" w:hanging="360"/>
      </w:pPr>
      <w:rPr>
        <w:rFonts w:ascii="Wingdings" w:hAnsi="Wingdings" w:hint="default"/>
      </w:rPr>
    </w:lvl>
    <w:lvl w:ilvl="6" w:tplc="04090001" w:tentative="1">
      <w:start w:val="1"/>
      <w:numFmt w:val="bullet"/>
      <w:lvlText w:val=""/>
      <w:lvlJc w:val="left"/>
      <w:pPr>
        <w:ind w:left="5459" w:hanging="360"/>
      </w:pPr>
      <w:rPr>
        <w:rFonts w:ascii="Symbol" w:hAnsi="Symbol" w:hint="default"/>
      </w:rPr>
    </w:lvl>
    <w:lvl w:ilvl="7" w:tplc="04090003" w:tentative="1">
      <w:start w:val="1"/>
      <w:numFmt w:val="bullet"/>
      <w:lvlText w:val="o"/>
      <w:lvlJc w:val="left"/>
      <w:pPr>
        <w:ind w:left="6179" w:hanging="360"/>
      </w:pPr>
      <w:rPr>
        <w:rFonts w:ascii="Courier New" w:hAnsi="Courier New" w:cs="Courier New" w:hint="default"/>
      </w:rPr>
    </w:lvl>
    <w:lvl w:ilvl="8" w:tplc="04090005" w:tentative="1">
      <w:start w:val="1"/>
      <w:numFmt w:val="bullet"/>
      <w:lvlText w:val=""/>
      <w:lvlJc w:val="left"/>
      <w:pPr>
        <w:ind w:left="6899" w:hanging="360"/>
      </w:pPr>
      <w:rPr>
        <w:rFonts w:ascii="Wingdings" w:hAnsi="Wingdings" w:hint="default"/>
      </w:rPr>
    </w:lvl>
  </w:abstractNum>
  <w:abstractNum w:abstractNumId="9" w15:restartNumberingAfterBreak="0">
    <w:nsid w:val="42EE69AB"/>
    <w:multiLevelType w:val="hybridMultilevel"/>
    <w:tmpl w:val="3DC65F66"/>
    <w:lvl w:ilvl="0" w:tplc="4E601A36">
      <w:start w:val="1"/>
      <w:numFmt w:val="bullet"/>
      <w:lvlText w:val=""/>
      <w:lvlJc w:val="left"/>
      <w:pPr>
        <w:ind w:left="720" w:hanging="360"/>
      </w:pPr>
      <w:rPr>
        <w:rFonts w:ascii="Symbol" w:hAnsi="Symbol" w:hint="default"/>
        <w:color w:val="0067B1"/>
        <w:w w:val="85"/>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C023CB3"/>
    <w:multiLevelType w:val="hybridMultilevel"/>
    <w:tmpl w:val="733A1224"/>
    <w:lvl w:ilvl="0" w:tplc="4096233E">
      <w:start w:val="1"/>
      <w:numFmt w:val="upperRoman"/>
      <w:lvlText w:val="%1."/>
      <w:lvlJc w:val="right"/>
      <w:pPr>
        <w:tabs>
          <w:tab w:val="num" w:pos="900"/>
        </w:tabs>
        <w:ind w:left="900" w:hanging="180"/>
      </w:pPr>
      <w:rPr>
        <w:rFonts w:ascii="Arial" w:hAnsi="Arial" w:hint="default"/>
        <w:color w:val="0046AD"/>
        <w:sz w:val="28"/>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4C1518E8"/>
    <w:multiLevelType w:val="multilevel"/>
    <w:tmpl w:val="7A881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340D89"/>
    <w:multiLevelType w:val="hybridMultilevel"/>
    <w:tmpl w:val="10EEDAE8"/>
    <w:lvl w:ilvl="0" w:tplc="B464EF4E">
      <w:start w:val="1"/>
      <w:numFmt w:val="bullet"/>
      <w:lvlText w:val=""/>
      <w:lvlJc w:val="left"/>
      <w:pPr>
        <w:tabs>
          <w:tab w:val="num" w:pos="1080"/>
        </w:tabs>
        <w:ind w:left="1080" w:hanging="360"/>
      </w:pPr>
      <w:rPr>
        <w:rFonts w:ascii="Symbol" w:hAnsi="Symbol" w:hint="default"/>
        <w:color w:val="0067B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22C382A"/>
    <w:multiLevelType w:val="hybridMultilevel"/>
    <w:tmpl w:val="58AE82C8"/>
    <w:lvl w:ilvl="0" w:tplc="4E601A36">
      <w:start w:val="1"/>
      <w:numFmt w:val="bullet"/>
      <w:lvlText w:val=""/>
      <w:lvlJc w:val="left"/>
      <w:pPr>
        <w:ind w:left="720" w:hanging="360"/>
      </w:pPr>
      <w:rPr>
        <w:rFonts w:ascii="Symbol" w:hAnsi="Symbol" w:hint="default"/>
        <w:color w:val="0067B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F67A4E"/>
    <w:multiLevelType w:val="hybridMultilevel"/>
    <w:tmpl w:val="A5320080"/>
    <w:lvl w:ilvl="0" w:tplc="4E601A36">
      <w:start w:val="1"/>
      <w:numFmt w:val="bullet"/>
      <w:lvlText w:val=""/>
      <w:lvlJc w:val="left"/>
      <w:pPr>
        <w:ind w:left="720" w:hanging="360"/>
      </w:pPr>
      <w:rPr>
        <w:rFonts w:ascii="Symbol" w:hAnsi="Symbol" w:hint="default"/>
        <w:color w:val="0067B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773A83"/>
    <w:multiLevelType w:val="hybridMultilevel"/>
    <w:tmpl w:val="631EFCEC"/>
    <w:lvl w:ilvl="0" w:tplc="4E601A36">
      <w:start w:val="1"/>
      <w:numFmt w:val="bullet"/>
      <w:lvlText w:val=""/>
      <w:lvlJc w:val="left"/>
      <w:pPr>
        <w:ind w:left="720" w:hanging="360"/>
      </w:pPr>
      <w:rPr>
        <w:rFonts w:ascii="Symbol" w:hAnsi="Symbol" w:hint="default"/>
        <w:color w:val="0067B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474C08"/>
    <w:multiLevelType w:val="multilevel"/>
    <w:tmpl w:val="04090023"/>
    <w:lvl w:ilvl="0">
      <w:start w:val="1"/>
      <w:numFmt w:val="upperRoman"/>
      <w:pStyle w:val="Heading1"/>
      <w:lvlText w:val="Article %1."/>
      <w:lvlJc w:val="left"/>
      <w:pPr>
        <w:tabs>
          <w:tab w:val="num" w:pos="1080"/>
        </w:tabs>
        <w:ind w:left="0" w:firstLine="0"/>
      </w:pPr>
    </w:lvl>
    <w:lvl w:ilvl="1">
      <w:start w:val="1"/>
      <w:numFmt w:val="decimalZero"/>
      <w:pStyle w:val="Heading2"/>
      <w:isLgl/>
      <w:lvlText w:val="Section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7" w15:restartNumberingAfterBreak="0">
    <w:nsid w:val="6B252DDD"/>
    <w:multiLevelType w:val="hybridMultilevel"/>
    <w:tmpl w:val="688E867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724B7D"/>
    <w:multiLevelType w:val="hybridMultilevel"/>
    <w:tmpl w:val="8F52B192"/>
    <w:lvl w:ilvl="0" w:tplc="4E601A36">
      <w:start w:val="1"/>
      <w:numFmt w:val="bullet"/>
      <w:lvlText w:val=""/>
      <w:lvlJc w:val="left"/>
      <w:pPr>
        <w:ind w:left="720" w:hanging="360"/>
      </w:pPr>
      <w:rPr>
        <w:rFonts w:ascii="Symbol" w:hAnsi="Symbol" w:hint="default"/>
        <w:color w:val="0067B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B704DC"/>
    <w:multiLevelType w:val="hybridMultilevel"/>
    <w:tmpl w:val="39CE02C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D2720C8"/>
    <w:multiLevelType w:val="hybridMultilevel"/>
    <w:tmpl w:val="1E5C347C"/>
    <w:lvl w:ilvl="0" w:tplc="04090009">
      <w:start w:val="1"/>
      <w:numFmt w:val="bullet"/>
      <w:lvlText w:val=""/>
      <w:lvlJc w:val="left"/>
      <w:pPr>
        <w:tabs>
          <w:tab w:val="num" w:pos="0"/>
        </w:tabs>
        <w:ind w:left="360" w:hanging="360"/>
      </w:pPr>
      <w:rPr>
        <w:rFonts w:ascii="Wingdings" w:hAnsi="Wingdings" w:hint="default"/>
        <w:color w:val="auto"/>
      </w:rPr>
    </w:lvl>
    <w:lvl w:ilvl="1" w:tplc="2C2E4CDA">
      <w:start w:val="1"/>
      <w:numFmt w:val="bullet"/>
      <w:lvlText w:val=""/>
      <w:lvlPicBulletId w:val="0"/>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6"/>
  </w:num>
  <w:num w:numId="3">
    <w:abstractNumId w:val="10"/>
  </w:num>
  <w:num w:numId="4">
    <w:abstractNumId w:val="11"/>
  </w:num>
  <w:num w:numId="5">
    <w:abstractNumId w:val="8"/>
  </w:num>
  <w:num w:numId="6">
    <w:abstractNumId w:val="6"/>
  </w:num>
  <w:num w:numId="7">
    <w:abstractNumId w:val="5"/>
  </w:num>
  <w:num w:numId="8">
    <w:abstractNumId w:val="12"/>
  </w:num>
  <w:num w:numId="9">
    <w:abstractNumId w:val="19"/>
  </w:num>
  <w:num w:numId="10">
    <w:abstractNumId w:val="17"/>
  </w:num>
  <w:num w:numId="11">
    <w:abstractNumId w:val="4"/>
  </w:num>
  <w:num w:numId="12">
    <w:abstractNumId w:val="0"/>
  </w:num>
  <w:num w:numId="13">
    <w:abstractNumId w:val="20"/>
  </w:num>
  <w:num w:numId="14">
    <w:abstractNumId w:val="2"/>
  </w:num>
  <w:num w:numId="15">
    <w:abstractNumId w:val="7"/>
  </w:num>
  <w:num w:numId="16">
    <w:abstractNumId w:val="0"/>
  </w:num>
  <w:num w:numId="17">
    <w:abstractNumId w:val="0"/>
  </w:num>
  <w:num w:numId="18">
    <w:abstractNumId w:val="9"/>
  </w:num>
  <w:num w:numId="19">
    <w:abstractNumId w:val="18"/>
  </w:num>
  <w:num w:numId="20">
    <w:abstractNumId w:val="15"/>
  </w:num>
  <w:num w:numId="21">
    <w:abstractNumId w:val="13"/>
  </w:num>
  <w:num w:numId="22">
    <w:abstractNumId w:val="14"/>
  </w:num>
  <w:num w:numId="23">
    <w:abstractNumId w:val="1"/>
  </w:num>
  <w:num w:numId="24">
    <w:abstractNumId w:val="0"/>
  </w:num>
  <w:num w:numId="25">
    <w:abstractNumId w:val="9"/>
  </w:num>
  <w:num w:numId="26">
    <w:abstractNumId w:val="18"/>
  </w:num>
  <w:num w:numId="27">
    <w:abstractNumId w:val="15"/>
  </w:num>
  <w:num w:numId="28">
    <w:abstractNumId w:val="13"/>
  </w:num>
  <w:num w:numId="29">
    <w:abstractNumId w:val="14"/>
  </w:num>
  <w:num w:numId="30">
    <w:abstractNumId w:val="1"/>
  </w:num>
  <w:num w:numId="31">
    <w:abstractNumId w:val="0"/>
  </w:num>
  <w:num w:numId="32">
    <w:abstractNumId w:val="9"/>
  </w:num>
  <w:num w:numId="33">
    <w:abstractNumId w:val="18"/>
  </w:num>
  <w:num w:numId="34">
    <w:abstractNumId w:val="15"/>
  </w:num>
  <w:num w:numId="35">
    <w:abstractNumId w:val="13"/>
  </w:num>
  <w:num w:numId="36">
    <w:abstractNumId w:val="14"/>
  </w:num>
  <w:num w:numId="37">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A8B"/>
    <w:rsid w:val="000010C3"/>
    <w:rsid w:val="00002A7A"/>
    <w:rsid w:val="000031D6"/>
    <w:rsid w:val="000054A3"/>
    <w:rsid w:val="0000709E"/>
    <w:rsid w:val="00011BD6"/>
    <w:rsid w:val="00013344"/>
    <w:rsid w:val="000203DB"/>
    <w:rsid w:val="000207C3"/>
    <w:rsid w:val="00021B43"/>
    <w:rsid w:val="00023DF1"/>
    <w:rsid w:val="000278A4"/>
    <w:rsid w:val="00030FD7"/>
    <w:rsid w:val="00032BA4"/>
    <w:rsid w:val="000368DB"/>
    <w:rsid w:val="000414A0"/>
    <w:rsid w:val="000427E6"/>
    <w:rsid w:val="00044D86"/>
    <w:rsid w:val="0004643A"/>
    <w:rsid w:val="00050051"/>
    <w:rsid w:val="000517B1"/>
    <w:rsid w:val="00056DE7"/>
    <w:rsid w:val="00056FB6"/>
    <w:rsid w:val="00067122"/>
    <w:rsid w:val="00070FF8"/>
    <w:rsid w:val="00072D73"/>
    <w:rsid w:val="00072E8E"/>
    <w:rsid w:val="00077537"/>
    <w:rsid w:val="00077B97"/>
    <w:rsid w:val="000801F0"/>
    <w:rsid w:val="000817C1"/>
    <w:rsid w:val="00082439"/>
    <w:rsid w:val="000836B8"/>
    <w:rsid w:val="00084006"/>
    <w:rsid w:val="0008641B"/>
    <w:rsid w:val="000A30E7"/>
    <w:rsid w:val="000A571D"/>
    <w:rsid w:val="000A7AE8"/>
    <w:rsid w:val="000B38AC"/>
    <w:rsid w:val="000B4287"/>
    <w:rsid w:val="000B4D04"/>
    <w:rsid w:val="000B5E47"/>
    <w:rsid w:val="000C0CBE"/>
    <w:rsid w:val="000C44C6"/>
    <w:rsid w:val="000C45FF"/>
    <w:rsid w:val="000C6D81"/>
    <w:rsid w:val="000C7A0F"/>
    <w:rsid w:val="000D332E"/>
    <w:rsid w:val="000D48BF"/>
    <w:rsid w:val="000D4B0C"/>
    <w:rsid w:val="000F26D7"/>
    <w:rsid w:val="000F280B"/>
    <w:rsid w:val="000F32D2"/>
    <w:rsid w:val="000F56D9"/>
    <w:rsid w:val="000F6ED5"/>
    <w:rsid w:val="000F7D10"/>
    <w:rsid w:val="000F7D2A"/>
    <w:rsid w:val="00100FE2"/>
    <w:rsid w:val="00110B17"/>
    <w:rsid w:val="001123F6"/>
    <w:rsid w:val="0011418C"/>
    <w:rsid w:val="001302F9"/>
    <w:rsid w:val="00130405"/>
    <w:rsid w:val="00134FD8"/>
    <w:rsid w:val="00136946"/>
    <w:rsid w:val="00136DD5"/>
    <w:rsid w:val="00141EC1"/>
    <w:rsid w:val="00142B6D"/>
    <w:rsid w:val="00147F97"/>
    <w:rsid w:val="0015083B"/>
    <w:rsid w:val="00151750"/>
    <w:rsid w:val="001520C3"/>
    <w:rsid w:val="00152961"/>
    <w:rsid w:val="00152FF7"/>
    <w:rsid w:val="00160E05"/>
    <w:rsid w:val="00165540"/>
    <w:rsid w:val="00170D37"/>
    <w:rsid w:val="00171C3F"/>
    <w:rsid w:val="001778E5"/>
    <w:rsid w:val="001801F0"/>
    <w:rsid w:val="001830A4"/>
    <w:rsid w:val="001918A1"/>
    <w:rsid w:val="001A13CE"/>
    <w:rsid w:val="001A25BE"/>
    <w:rsid w:val="001A412A"/>
    <w:rsid w:val="001A54AD"/>
    <w:rsid w:val="001A5B4B"/>
    <w:rsid w:val="001B6EA8"/>
    <w:rsid w:val="001B7C9D"/>
    <w:rsid w:val="001C1C3B"/>
    <w:rsid w:val="001D2E27"/>
    <w:rsid w:val="001D3D45"/>
    <w:rsid w:val="001E13BD"/>
    <w:rsid w:val="001F0A08"/>
    <w:rsid w:val="001F45F1"/>
    <w:rsid w:val="00203D3C"/>
    <w:rsid w:val="0020586E"/>
    <w:rsid w:val="002143D3"/>
    <w:rsid w:val="00216451"/>
    <w:rsid w:val="0022189B"/>
    <w:rsid w:val="0022552D"/>
    <w:rsid w:val="002344F9"/>
    <w:rsid w:val="00234F77"/>
    <w:rsid w:val="00236E85"/>
    <w:rsid w:val="002378EE"/>
    <w:rsid w:val="00242FB4"/>
    <w:rsid w:val="00246DE1"/>
    <w:rsid w:val="002519A6"/>
    <w:rsid w:val="00255318"/>
    <w:rsid w:val="002566FA"/>
    <w:rsid w:val="002609DC"/>
    <w:rsid w:val="0026122E"/>
    <w:rsid w:val="00261A66"/>
    <w:rsid w:val="002631CC"/>
    <w:rsid w:val="00272BDD"/>
    <w:rsid w:val="00281F4D"/>
    <w:rsid w:val="00281F99"/>
    <w:rsid w:val="00281FF2"/>
    <w:rsid w:val="002831A5"/>
    <w:rsid w:val="0028618E"/>
    <w:rsid w:val="00286FC3"/>
    <w:rsid w:val="00291FB4"/>
    <w:rsid w:val="00292142"/>
    <w:rsid w:val="00293297"/>
    <w:rsid w:val="00297844"/>
    <w:rsid w:val="002A16D5"/>
    <w:rsid w:val="002B05E5"/>
    <w:rsid w:val="002B2C50"/>
    <w:rsid w:val="002B5DB9"/>
    <w:rsid w:val="002B6059"/>
    <w:rsid w:val="002C7555"/>
    <w:rsid w:val="002D00CB"/>
    <w:rsid w:val="002D1CB5"/>
    <w:rsid w:val="002D5670"/>
    <w:rsid w:val="002E34A1"/>
    <w:rsid w:val="002E60C4"/>
    <w:rsid w:val="002F1032"/>
    <w:rsid w:val="002F3000"/>
    <w:rsid w:val="002F330B"/>
    <w:rsid w:val="002F4697"/>
    <w:rsid w:val="002F53B8"/>
    <w:rsid w:val="002F72FE"/>
    <w:rsid w:val="00300E96"/>
    <w:rsid w:val="00301EE2"/>
    <w:rsid w:val="00303C3D"/>
    <w:rsid w:val="0030617F"/>
    <w:rsid w:val="00314D91"/>
    <w:rsid w:val="003159AB"/>
    <w:rsid w:val="00324AA4"/>
    <w:rsid w:val="00325473"/>
    <w:rsid w:val="00333334"/>
    <w:rsid w:val="00342318"/>
    <w:rsid w:val="00352501"/>
    <w:rsid w:val="00362988"/>
    <w:rsid w:val="00365DBB"/>
    <w:rsid w:val="00367F5B"/>
    <w:rsid w:val="003722D2"/>
    <w:rsid w:val="003729F3"/>
    <w:rsid w:val="00375BF9"/>
    <w:rsid w:val="00386D0E"/>
    <w:rsid w:val="00390680"/>
    <w:rsid w:val="0039732B"/>
    <w:rsid w:val="003A4483"/>
    <w:rsid w:val="003A4D4C"/>
    <w:rsid w:val="003A6FBC"/>
    <w:rsid w:val="003B0A2A"/>
    <w:rsid w:val="003B0B0D"/>
    <w:rsid w:val="003B5710"/>
    <w:rsid w:val="003B6227"/>
    <w:rsid w:val="003C4423"/>
    <w:rsid w:val="003C47C1"/>
    <w:rsid w:val="003D1FF2"/>
    <w:rsid w:val="003D23BD"/>
    <w:rsid w:val="003D544C"/>
    <w:rsid w:val="003D72D5"/>
    <w:rsid w:val="003F0DD7"/>
    <w:rsid w:val="003F786D"/>
    <w:rsid w:val="00400E32"/>
    <w:rsid w:val="004041BD"/>
    <w:rsid w:val="00411B4B"/>
    <w:rsid w:val="00413FE1"/>
    <w:rsid w:val="00416AA6"/>
    <w:rsid w:val="00421C6B"/>
    <w:rsid w:val="00426CC1"/>
    <w:rsid w:val="00427D10"/>
    <w:rsid w:val="0043273C"/>
    <w:rsid w:val="00434967"/>
    <w:rsid w:val="00434CC9"/>
    <w:rsid w:val="00443F82"/>
    <w:rsid w:val="00444B57"/>
    <w:rsid w:val="00445D0D"/>
    <w:rsid w:val="00451673"/>
    <w:rsid w:val="00451EF6"/>
    <w:rsid w:val="00452183"/>
    <w:rsid w:val="0045375D"/>
    <w:rsid w:val="00457600"/>
    <w:rsid w:val="004724CE"/>
    <w:rsid w:val="00474573"/>
    <w:rsid w:val="00487FA4"/>
    <w:rsid w:val="0049129D"/>
    <w:rsid w:val="0049197D"/>
    <w:rsid w:val="00491FFF"/>
    <w:rsid w:val="004A06A2"/>
    <w:rsid w:val="004A25C9"/>
    <w:rsid w:val="004A2EDD"/>
    <w:rsid w:val="004A44A8"/>
    <w:rsid w:val="004A4873"/>
    <w:rsid w:val="004B13A8"/>
    <w:rsid w:val="004B4669"/>
    <w:rsid w:val="004B509C"/>
    <w:rsid w:val="004C0A37"/>
    <w:rsid w:val="004C0EBF"/>
    <w:rsid w:val="004C1E06"/>
    <w:rsid w:val="004C28DC"/>
    <w:rsid w:val="004C362E"/>
    <w:rsid w:val="004C3AFE"/>
    <w:rsid w:val="004C4B07"/>
    <w:rsid w:val="004C6136"/>
    <w:rsid w:val="004C693C"/>
    <w:rsid w:val="004D1758"/>
    <w:rsid w:val="004D233F"/>
    <w:rsid w:val="004D63E8"/>
    <w:rsid w:val="004E08A3"/>
    <w:rsid w:val="004E1343"/>
    <w:rsid w:val="004E28C6"/>
    <w:rsid w:val="004E397D"/>
    <w:rsid w:val="004E3FE0"/>
    <w:rsid w:val="004F5C41"/>
    <w:rsid w:val="004F7A5E"/>
    <w:rsid w:val="00502AFC"/>
    <w:rsid w:val="00507E69"/>
    <w:rsid w:val="00513A08"/>
    <w:rsid w:val="00513F4E"/>
    <w:rsid w:val="00515BC4"/>
    <w:rsid w:val="00524CB1"/>
    <w:rsid w:val="00525C67"/>
    <w:rsid w:val="00526832"/>
    <w:rsid w:val="00534B22"/>
    <w:rsid w:val="0054185A"/>
    <w:rsid w:val="0054630D"/>
    <w:rsid w:val="0054771A"/>
    <w:rsid w:val="00551929"/>
    <w:rsid w:val="00551D2C"/>
    <w:rsid w:val="00553A4E"/>
    <w:rsid w:val="005545D1"/>
    <w:rsid w:val="00561E1A"/>
    <w:rsid w:val="00562A35"/>
    <w:rsid w:val="00562A8B"/>
    <w:rsid w:val="00574E99"/>
    <w:rsid w:val="005758E8"/>
    <w:rsid w:val="005818DC"/>
    <w:rsid w:val="005824CD"/>
    <w:rsid w:val="00590DA5"/>
    <w:rsid w:val="005943D2"/>
    <w:rsid w:val="005A3A95"/>
    <w:rsid w:val="005A69DE"/>
    <w:rsid w:val="005A7CCB"/>
    <w:rsid w:val="005B297F"/>
    <w:rsid w:val="005B7B6E"/>
    <w:rsid w:val="005B7F8C"/>
    <w:rsid w:val="005C1795"/>
    <w:rsid w:val="005C53EF"/>
    <w:rsid w:val="005C7C4E"/>
    <w:rsid w:val="005D076A"/>
    <w:rsid w:val="005D22FF"/>
    <w:rsid w:val="005D6441"/>
    <w:rsid w:val="005D701C"/>
    <w:rsid w:val="005D7E95"/>
    <w:rsid w:val="005E1871"/>
    <w:rsid w:val="005E2FB4"/>
    <w:rsid w:val="005E302E"/>
    <w:rsid w:val="005E46ED"/>
    <w:rsid w:val="005E4BC7"/>
    <w:rsid w:val="005E5CA3"/>
    <w:rsid w:val="005E7AA0"/>
    <w:rsid w:val="005F4682"/>
    <w:rsid w:val="005F746A"/>
    <w:rsid w:val="00600328"/>
    <w:rsid w:val="0060205A"/>
    <w:rsid w:val="00602FD5"/>
    <w:rsid w:val="006052C7"/>
    <w:rsid w:val="00630080"/>
    <w:rsid w:val="006302A8"/>
    <w:rsid w:val="00632F05"/>
    <w:rsid w:val="0063483F"/>
    <w:rsid w:val="00637D14"/>
    <w:rsid w:val="00637FAB"/>
    <w:rsid w:val="00641BBF"/>
    <w:rsid w:val="006440F2"/>
    <w:rsid w:val="00646BCF"/>
    <w:rsid w:val="00646DA2"/>
    <w:rsid w:val="00651068"/>
    <w:rsid w:val="00652376"/>
    <w:rsid w:val="00654804"/>
    <w:rsid w:val="006558D1"/>
    <w:rsid w:val="00665F79"/>
    <w:rsid w:val="006669E2"/>
    <w:rsid w:val="00666C79"/>
    <w:rsid w:val="00667545"/>
    <w:rsid w:val="006736E1"/>
    <w:rsid w:val="006764DF"/>
    <w:rsid w:val="00681756"/>
    <w:rsid w:val="00690C87"/>
    <w:rsid w:val="00691752"/>
    <w:rsid w:val="0069392C"/>
    <w:rsid w:val="006949AB"/>
    <w:rsid w:val="006A1BD8"/>
    <w:rsid w:val="006A1E73"/>
    <w:rsid w:val="006A312A"/>
    <w:rsid w:val="006A3984"/>
    <w:rsid w:val="006B04D0"/>
    <w:rsid w:val="006B1142"/>
    <w:rsid w:val="006B2517"/>
    <w:rsid w:val="006B2DE4"/>
    <w:rsid w:val="006B3FCC"/>
    <w:rsid w:val="006C2076"/>
    <w:rsid w:val="006D1B6B"/>
    <w:rsid w:val="006D3765"/>
    <w:rsid w:val="006D3B4E"/>
    <w:rsid w:val="006E14BE"/>
    <w:rsid w:val="006E22F7"/>
    <w:rsid w:val="006E533D"/>
    <w:rsid w:val="006E6170"/>
    <w:rsid w:val="006E71C1"/>
    <w:rsid w:val="006F2B89"/>
    <w:rsid w:val="006F39B1"/>
    <w:rsid w:val="006F52FB"/>
    <w:rsid w:val="006F77AB"/>
    <w:rsid w:val="00700DB7"/>
    <w:rsid w:val="00706DB0"/>
    <w:rsid w:val="007078E4"/>
    <w:rsid w:val="007116A5"/>
    <w:rsid w:val="00717562"/>
    <w:rsid w:val="007216C5"/>
    <w:rsid w:val="0072297F"/>
    <w:rsid w:val="00722A18"/>
    <w:rsid w:val="00730FEF"/>
    <w:rsid w:val="00732391"/>
    <w:rsid w:val="007373AC"/>
    <w:rsid w:val="0073747C"/>
    <w:rsid w:val="0074162E"/>
    <w:rsid w:val="00741BAF"/>
    <w:rsid w:val="00742369"/>
    <w:rsid w:val="007467B9"/>
    <w:rsid w:val="0074724C"/>
    <w:rsid w:val="0075474E"/>
    <w:rsid w:val="00764BC0"/>
    <w:rsid w:val="00765BE8"/>
    <w:rsid w:val="00772730"/>
    <w:rsid w:val="007805D3"/>
    <w:rsid w:val="00781F58"/>
    <w:rsid w:val="00783096"/>
    <w:rsid w:val="00786891"/>
    <w:rsid w:val="00790D10"/>
    <w:rsid w:val="00792992"/>
    <w:rsid w:val="007A1A2A"/>
    <w:rsid w:val="007A281F"/>
    <w:rsid w:val="007A400F"/>
    <w:rsid w:val="007A52B7"/>
    <w:rsid w:val="007B59EB"/>
    <w:rsid w:val="007B7CB8"/>
    <w:rsid w:val="007C43B1"/>
    <w:rsid w:val="007C7FF6"/>
    <w:rsid w:val="007D0E2A"/>
    <w:rsid w:val="007D19EB"/>
    <w:rsid w:val="007D1FF7"/>
    <w:rsid w:val="007D403F"/>
    <w:rsid w:val="007D6538"/>
    <w:rsid w:val="007D7BD2"/>
    <w:rsid w:val="007E327A"/>
    <w:rsid w:val="007E3F89"/>
    <w:rsid w:val="007F38F5"/>
    <w:rsid w:val="007F3F34"/>
    <w:rsid w:val="007F5D46"/>
    <w:rsid w:val="00800636"/>
    <w:rsid w:val="00804491"/>
    <w:rsid w:val="00813D09"/>
    <w:rsid w:val="008148D3"/>
    <w:rsid w:val="008262EC"/>
    <w:rsid w:val="008263A2"/>
    <w:rsid w:val="008278C2"/>
    <w:rsid w:val="00831253"/>
    <w:rsid w:val="00832E8E"/>
    <w:rsid w:val="00833EE2"/>
    <w:rsid w:val="00837C8B"/>
    <w:rsid w:val="0084029A"/>
    <w:rsid w:val="008478FF"/>
    <w:rsid w:val="008534CE"/>
    <w:rsid w:val="008578CE"/>
    <w:rsid w:val="008610F1"/>
    <w:rsid w:val="00862043"/>
    <w:rsid w:val="0086511A"/>
    <w:rsid w:val="00871CC2"/>
    <w:rsid w:val="00872783"/>
    <w:rsid w:val="0087686C"/>
    <w:rsid w:val="00876956"/>
    <w:rsid w:val="00877F40"/>
    <w:rsid w:val="0089098D"/>
    <w:rsid w:val="00894187"/>
    <w:rsid w:val="00895F8D"/>
    <w:rsid w:val="008A0478"/>
    <w:rsid w:val="008A1084"/>
    <w:rsid w:val="008A2528"/>
    <w:rsid w:val="008A5C3B"/>
    <w:rsid w:val="008B0A5A"/>
    <w:rsid w:val="008B27AB"/>
    <w:rsid w:val="008B6282"/>
    <w:rsid w:val="008B6DD4"/>
    <w:rsid w:val="008C0337"/>
    <w:rsid w:val="008C3E3A"/>
    <w:rsid w:val="008C47F2"/>
    <w:rsid w:val="008C4B33"/>
    <w:rsid w:val="008C5488"/>
    <w:rsid w:val="008C6F25"/>
    <w:rsid w:val="008D4962"/>
    <w:rsid w:val="008E1AFF"/>
    <w:rsid w:val="008E5FE1"/>
    <w:rsid w:val="008F1897"/>
    <w:rsid w:val="008F65E8"/>
    <w:rsid w:val="0090519B"/>
    <w:rsid w:val="009058B8"/>
    <w:rsid w:val="0090657C"/>
    <w:rsid w:val="009118C8"/>
    <w:rsid w:val="00913971"/>
    <w:rsid w:val="009140AA"/>
    <w:rsid w:val="009154FA"/>
    <w:rsid w:val="0091739B"/>
    <w:rsid w:val="00917D11"/>
    <w:rsid w:val="0092072E"/>
    <w:rsid w:val="00924AF7"/>
    <w:rsid w:val="009267E1"/>
    <w:rsid w:val="00926D20"/>
    <w:rsid w:val="00926E21"/>
    <w:rsid w:val="00932F79"/>
    <w:rsid w:val="00937535"/>
    <w:rsid w:val="009423AF"/>
    <w:rsid w:val="00945605"/>
    <w:rsid w:val="00946686"/>
    <w:rsid w:val="009509C7"/>
    <w:rsid w:val="00952249"/>
    <w:rsid w:val="00955257"/>
    <w:rsid w:val="00957996"/>
    <w:rsid w:val="00964000"/>
    <w:rsid w:val="00966344"/>
    <w:rsid w:val="00967D90"/>
    <w:rsid w:val="00970F74"/>
    <w:rsid w:val="00992702"/>
    <w:rsid w:val="009A0983"/>
    <w:rsid w:val="009A32F3"/>
    <w:rsid w:val="009A3757"/>
    <w:rsid w:val="009A49FF"/>
    <w:rsid w:val="009B0EE9"/>
    <w:rsid w:val="009B43D5"/>
    <w:rsid w:val="009C2DDD"/>
    <w:rsid w:val="009C492B"/>
    <w:rsid w:val="009C5F85"/>
    <w:rsid w:val="009D1141"/>
    <w:rsid w:val="009D38DC"/>
    <w:rsid w:val="009D3AB6"/>
    <w:rsid w:val="009D78FB"/>
    <w:rsid w:val="009E2B7A"/>
    <w:rsid w:val="009E4301"/>
    <w:rsid w:val="009E6295"/>
    <w:rsid w:val="009E719A"/>
    <w:rsid w:val="009E75FD"/>
    <w:rsid w:val="009F430A"/>
    <w:rsid w:val="009F675C"/>
    <w:rsid w:val="00A01B9D"/>
    <w:rsid w:val="00A07079"/>
    <w:rsid w:val="00A108E7"/>
    <w:rsid w:val="00A14A0E"/>
    <w:rsid w:val="00A1771B"/>
    <w:rsid w:val="00A20A1E"/>
    <w:rsid w:val="00A20C26"/>
    <w:rsid w:val="00A23807"/>
    <w:rsid w:val="00A23C44"/>
    <w:rsid w:val="00A245AC"/>
    <w:rsid w:val="00A25D0F"/>
    <w:rsid w:val="00A317C2"/>
    <w:rsid w:val="00A4112A"/>
    <w:rsid w:val="00A41664"/>
    <w:rsid w:val="00A44210"/>
    <w:rsid w:val="00A4544C"/>
    <w:rsid w:val="00A50325"/>
    <w:rsid w:val="00A5032C"/>
    <w:rsid w:val="00A52BDF"/>
    <w:rsid w:val="00A576AC"/>
    <w:rsid w:val="00A607BC"/>
    <w:rsid w:val="00A65B45"/>
    <w:rsid w:val="00A67C23"/>
    <w:rsid w:val="00A70FAC"/>
    <w:rsid w:val="00A710D2"/>
    <w:rsid w:val="00A77DF0"/>
    <w:rsid w:val="00A80CC3"/>
    <w:rsid w:val="00A8459F"/>
    <w:rsid w:val="00A859D8"/>
    <w:rsid w:val="00A94290"/>
    <w:rsid w:val="00A94665"/>
    <w:rsid w:val="00AA1129"/>
    <w:rsid w:val="00AA115B"/>
    <w:rsid w:val="00AA4ED2"/>
    <w:rsid w:val="00AA6111"/>
    <w:rsid w:val="00AA695A"/>
    <w:rsid w:val="00AA6B12"/>
    <w:rsid w:val="00AA70A9"/>
    <w:rsid w:val="00AB6C33"/>
    <w:rsid w:val="00AC0089"/>
    <w:rsid w:val="00AC042D"/>
    <w:rsid w:val="00AD4310"/>
    <w:rsid w:val="00AD61CE"/>
    <w:rsid w:val="00AD72A8"/>
    <w:rsid w:val="00AE1256"/>
    <w:rsid w:val="00AE1363"/>
    <w:rsid w:val="00AE265F"/>
    <w:rsid w:val="00AE5FDB"/>
    <w:rsid w:val="00AF1213"/>
    <w:rsid w:val="00AF35CB"/>
    <w:rsid w:val="00AF4350"/>
    <w:rsid w:val="00AF54DF"/>
    <w:rsid w:val="00AF5BBE"/>
    <w:rsid w:val="00AF6B7E"/>
    <w:rsid w:val="00B0192D"/>
    <w:rsid w:val="00B02C10"/>
    <w:rsid w:val="00B20509"/>
    <w:rsid w:val="00B20B52"/>
    <w:rsid w:val="00B22F84"/>
    <w:rsid w:val="00B27D94"/>
    <w:rsid w:val="00B30871"/>
    <w:rsid w:val="00B41ED2"/>
    <w:rsid w:val="00B423F0"/>
    <w:rsid w:val="00B43C9E"/>
    <w:rsid w:val="00B46B85"/>
    <w:rsid w:val="00B4799F"/>
    <w:rsid w:val="00B53568"/>
    <w:rsid w:val="00B54F2F"/>
    <w:rsid w:val="00B61D92"/>
    <w:rsid w:val="00B62139"/>
    <w:rsid w:val="00B6246A"/>
    <w:rsid w:val="00B64CF2"/>
    <w:rsid w:val="00B65DF8"/>
    <w:rsid w:val="00B700CD"/>
    <w:rsid w:val="00B717ED"/>
    <w:rsid w:val="00B82B2F"/>
    <w:rsid w:val="00B86E8F"/>
    <w:rsid w:val="00B9461B"/>
    <w:rsid w:val="00B94754"/>
    <w:rsid w:val="00B976BE"/>
    <w:rsid w:val="00BA0F84"/>
    <w:rsid w:val="00BA2A4B"/>
    <w:rsid w:val="00BA303E"/>
    <w:rsid w:val="00BA4BDB"/>
    <w:rsid w:val="00BA6764"/>
    <w:rsid w:val="00BC14AF"/>
    <w:rsid w:val="00BC4266"/>
    <w:rsid w:val="00BC65E3"/>
    <w:rsid w:val="00BD1D4D"/>
    <w:rsid w:val="00BD3948"/>
    <w:rsid w:val="00BD59FC"/>
    <w:rsid w:val="00BD6ED2"/>
    <w:rsid w:val="00BD75A5"/>
    <w:rsid w:val="00BE037A"/>
    <w:rsid w:val="00BE3979"/>
    <w:rsid w:val="00BF23C2"/>
    <w:rsid w:val="00BF5BD0"/>
    <w:rsid w:val="00C011C7"/>
    <w:rsid w:val="00C126B5"/>
    <w:rsid w:val="00C163F3"/>
    <w:rsid w:val="00C36455"/>
    <w:rsid w:val="00C3744A"/>
    <w:rsid w:val="00C3792D"/>
    <w:rsid w:val="00C41260"/>
    <w:rsid w:val="00C5038D"/>
    <w:rsid w:val="00C53FA3"/>
    <w:rsid w:val="00C5418E"/>
    <w:rsid w:val="00C5761A"/>
    <w:rsid w:val="00C626FF"/>
    <w:rsid w:val="00C63493"/>
    <w:rsid w:val="00C6547B"/>
    <w:rsid w:val="00C65508"/>
    <w:rsid w:val="00C66D9A"/>
    <w:rsid w:val="00C67161"/>
    <w:rsid w:val="00C716DF"/>
    <w:rsid w:val="00C7172D"/>
    <w:rsid w:val="00C73E5B"/>
    <w:rsid w:val="00C74180"/>
    <w:rsid w:val="00C74B21"/>
    <w:rsid w:val="00C8280C"/>
    <w:rsid w:val="00C87857"/>
    <w:rsid w:val="00C90192"/>
    <w:rsid w:val="00CA02A4"/>
    <w:rsid w:val="00CA7CBA"/>
    <w:rsid w:val="00CB03EB"/>
    <w:rsid w:val="00CB0D2D"/>
    <w:rsid w:val="00CB0F03"/>
    <w:rsid w:val="00CB119F"/>
    <w:rsid w:val="00CB6EFA"/>
    <w:rsid w:val="00CC0235"/>
    <w:rsid w:val="00CC02F3"/>
    <w:rsid w:val="00CC0EB4"/>
    <w:rsid w:val="00CC7154"/>
    <w:rsid w:val="00CC7F40"/>
    <w:rsid w:val="00CD2E2D"/>
    <w:rsid w:val="00CD34E3"/>
    <w:rsid w:val="00CD3922"/>
    <w:rsid w:val="00CD4F8B"/>
    <w:rsid w:val="00CD665C"/>
    <w:rsid w:val="00CD7395"/>
    <w:rsid w:val="00CE1E57"/>
    <w:rsid w:val="00CE4827"/>
    <w:rsid w:val="00CE697C"/>
    <w:rsid w:val="00CF0047"/>
    <w:rsid w:val="00CF03B2"/>
    <w:rsid w:val="00CF2D59"/>
    <w:rsid w:val="00D0025E"/>
    <w:rsid w:val="00D044A2"/>
    <w:rsid w:val="00D05A39"/>
    <w:rsid w:val="00D079BC"/>
    <w:rsid w:val="00D135AB"/>
    <w:rsid w:val="00D14695"/>
    <w:rsid w:val="00D175A0"/>
    <w:rsid w:val="00D22EE4"/>
    <w:rsid w:val="00D23B6E"/>
    <w:rsid w:val="00D31E7E"/>
    <w:rsid w:val="00D320CD"/>
    <w:rsid w:val="00D32EA6"/>
    <w:rsid w:val="00D33BE3"/>
    <w:rsid w:val="00D40F2F"/>
    <w:rsid w:val="00D41DCD"/>
    <w:rsid w:val="00D4543E"/>
    <w:rsid w:val="00D45822"/>
    <w:rsid w:val="00D52741"/>
    <w:rsid w:val="00D54121"/>
    <w:rsid w:val="00D54650"/>
    <w:rsid w:val="00D605B2"/>
    <w:rsid w:val="00D61843"/>
    <w:rsid w:val="00D62982"/>
    <w:rsid w:val="00D631FD"/>
    <w:rsid w:val="00D643C3"/>
    <w:rsid w:val="00D66A34"/>
    <w:rsid w:val="00D71D8F"/>
    <w:rsid w:val="00D71E22"/>
    <w:rsid w:val="00D72960"/>
    <w:rsid w:val="00D72A8F"/>
    <w:rsid w:val="00D73A1E"/>
    <w:rsid w:val="00D7669F"/>
    <w:rsid w:val="00D830F5"/>
    <w:rsid w:val="00D83896"/>
    <w:rsid w:val="00D86FC2"/>
    <w:rsid w:val="00D87610"/>
    <w:rsid w:val="00D91628"/>
    <w:rsid w:val="00D92871"/>
    <w:rsid w:val="00DA3E13"/>
    <w:rsid w:val="00DB1EC4"/>
    <w:rsid w:val="00DB38FC"/>
    <w:rsid w:val="00DB681C"/>
    <w:rsid w:val="00DC094C"/>
    <w:rsid w:val="00DC0E09"/>
    <w:rsid w:val="00DC5344"/>
    <w:rsid w:val="00DD1B53"/>
    <w:rsid w:val="00DD49CC"/>
    <w:rsid w:val="00DE15EA"/>
    <w:rsid w:val="00DE2D89"/>
    <w:rsid w:val="00DE3D55"/>
    <w:rsid w:val="00DE7117"/>
    <w:rsid w:val="00DF0F0C"/>
    <w:rsid w:val="00DF2D35"/>
    <w:rsid w:val="00DF5550"/>
    <w:rsid w:val="00DF7142"/>
    <w:rsid w:val="00DF7A4D"/>
    <w:rsid w:val="00E01799"/>
    <w:rsid w:val="00E036BA"/>
    <w:rsid w:val="00E0442D"/>
    <w:rsid w:val="00E07A89"/>
    <w:rsid w:val="00E148C4"/>
    <w:rsid w:val="00E178EE"/>
    <w:rsid w:val="00E17FBA"/>
    <w:rsid w:val="00E21B3D"/>
    <w:rsid w:val="00E21DF7"/>
    <w:rsid w:val="00E2222C"/>
    <w:rsid w:val="00E2401A"/>
    <w:rsid w:val="00E24395"/>
    <w:rsid w:val="00E24567"/>
    <w:rsid w:val="00E257D8"/>
    <w:rsid w:val="00E301AA"/>
    <w:rsid w:val="00E30738"/>
    <w:rsid w:val="00E31F23"/>
    <w:rsid w:val="00E366D3"/>
    <w:rsid w:val="00E40106"/>
    <w:rsid w:val="00E42202"/>
    <w:rsid w:val="00E4502A"/>
    <w:rsid w:val="00E47811"/>
    <w:rsid w:val="00E50D14"/>
    <w:rsid w:val="00E51A0B"/>
    <w:rsid w:val="00E52759"/>
    <w:rsid w:val="00E54635"/>
    <w:rsid w:val="00E55AE6"/>
    <w:rsid w:val="00E56485"/>
    <w:rsid w:val="00E5670D"/>
    <w:rsid w:val="00E61C18"/>
    <w:rsid w:val="00E649E3"/>
    <w:rsid w:val="00E67179"/>
    <w:rsid w:val="00E70A4A"/>
    <w:rsid w:val="00E71FEF"/>
    <w:rsid w:val="00E77C90"/>
    <w:rsid w:val="00E80AE6"/>
    <w:rsid w:val="00E82498"/>
    <w:rsid w:val="00E8343F"/>
    <w:rsid w:val="00E835BA"/>
    <w:rsid w:val="00E87263"/>
    <w:rsid w:val="00E90F76"/>
    <w:rsid w:val="00E93DF1"/>
    <w:rsid w:val="00E95707"/>
    <w:rsid w:val="00E95CFB"/>
    <w:rsid w:val="00EA0755"/>
    <w:rsid w:val="00EA0D36"/>
    <w:rsid w:val="00EA20BB"/>
    <w:rsid w:val="00EA352E"/>
    <w:rsid w:val="00EA609B"/>
    <w:rsid w:val="00EB11E7"/>
    <w:rsid w:val="00EB2921"/>
    <w:rsid w:val="00EB3C3D"/>
    <w:rsid w:val="00EB43C3"/>
    <w:rsid w:val="00EB4C01"/>
    <w:rsid w:val="00EB72C7"/>
    <w:rsid w:val="00EC4BAE"/>
    <w:rsid w:val="00EC6EC7"/>
    <w:rsid w:val="00EC76AB"/>
    <w:rsid w:val="00ED242F"/>
    <w:rsid w:val="00ED4086"/>
    <w:rsid w:val="00EE109A"/>
    <w:rsid w:val="00EE4B45"/>
    <w:rsid w:val="00EF26A7"/>
    <w:rsid w:val="00EF4169"/>
    <w:rsid w:val="00EF44B6"/>
    <w:rsid w:val="00EF4919"/>
    <w:rsid w:val="00EF66FA"/>
    <w:rsid w:val="00EF6AB7"/>
    <w:rsid w:val="00F02BCE"/>
    <w:rsid w:val="00F1009B"/>
    <w:rsid w:val="00F14070"/>
    <w:rsid w:val="00F15DC0"/>
    <w:rsid w:val="00F1617C"/>
    <w:rsid w:val="00F25228"/>
    <w:rsid w:val="00F30752"/>
    <w:rsid w:val="00F3112F"/>
    <w:rsid w:val="00F31678"/>
    <w:rsid w:val="00F32171"/>
    <w:rsid w:val="00F32638"/>
    <w:rsid w:val="00F40AAF"/>
    <w:rsid w:val="00F46AE7"/>
    <w:rsid w:val="00F5399C"/>
    <w:rsid w:val="00F54E23"/>
    <w:rsid w:val="00F56EBF"/>
    <w:rsid w:val="00F60C1A"/>
    <w:rsid w:val="00F732CA"/>
    <w:rsid w:val="00F770D7"/>
    <w:rsid w:val="00F77510"/>
    <w:rsid w:val="00FA55BB"/>
    <w:rsid w:val="00FB5220"/>
    <w:rsid w:val="00FC248B"/>
    <w:rsid w:val="00FC250E"/>
    <w:rsid w:val="00FC2CBA"/>
    <w:rsid w:val="00FD0EE9"/>
    <w:rsid w:val="00FE363A"/>
    <w:rsid w:val="00FE4888"/>
    <w:rsid w:val="00FE66CB"/>
    <w:rsid w:val="00FE6CEE"/>
    <w:rsid w:val="00FE7218"/>
    <w:rsid w:val="00FF3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A3F7CB"/>
  <w15:docId w15:val="{218EAAF9-B9C9-44C4-A514-632E4F80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962"/>
  </w:style>
  <w:style w:type="paragraph" w:styleId="Heading1">
    <w:name w:val="heading 1"/>
    <w:basedOn w:val="Normal"/>
    <w:next w:val="Normal"/>
    <w:link w:val="Heading1Char"/>
    <w:qFormat/>
    <w:rsid w:val="00246DE1"/>
    <w:pPr>
      <w:keepNext/>
      <w:numPr>
        <w:numId w:val="2"/>
      </w:numPr>
      <w:spacing w:after="0" w:line="240" w:lineRule="auto"/>
      <w:outlineLvl w:val="0"/>
    </w:pPr>
    <w:rPr>
      <w:rFonts w:ascii="Arial" w:eastAsia="Times New Roman" w:hAnsi="Arial" w:cs="Arial"/>
      <w:i/>
      <w:iCs/>
      <w:sz w:val="24"/>
      <w:szCs w:val="24"/>
    </w:rPr>
  </w:style>
  <w:style w:type="paragraph" w:styleId="Heading2">
    <w:name w:val="heading 2"/>
    <w:basedOn w:val="Normal"/>
    <w:next w:val="Normal"/>
    <w:link w:val="Heading2Char"/>
    <w:qFormat/>
    <w:rsid w:val="00246DE1"/>
    <w:pPr>
      <w:keepNext/>
      <w:numPr>
        <w:ilvl w:val="1"/>
        <w:numId w:val="2"/>
      </w:numPr>
      <w:spacing w:after="0" w:line="240" w:lineRule="auto"/>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qFormat/>
    <w:rsid w:val="00246DE1"/>
    <w:pPr>
      <w:keepNext/>
      <w:numPr>
        <w:ilvl w:val="2"/>
        <w:numId w:val="2"/>
      </w:numPr>
      <w:spacing w:after="0" w:line="240" w:lineRule="auto"/>
      <w:jc w:val="center"/>
      <w:outlineLvl w:val="2"/>
    </w:pPr>
    <w:rPr>
      <w:rFonts w:ascii="Arial" w:eastAsia="Times New Roman" w:hAnsi="Arial" w:cs="Arial"/>
      <w:b/>
      <w:bCs/>
      <w:sz w:val="24"/>
      <w:szCs w:val="24"/>
    </w:rPr>
  </w:style>
  <w:style w:type="paragraph" w:styleId="Heading4">
    <w:name w:val="heading 4"/>
    <w:basedOn w:val="Normal"/>
    <w:next w:val="Normal"/>
    <w:link w:val="Heading4Char"/>
    <w:qFormat/>
    <w:rsid w:val="00246DE1"/>
    <w:pPr>
      <w:keepNext/>
      <w:numPr>
        <w:ilvl w:val="3"/>
        <w:numId w:val="2"/>
      </w:numPr>
      <w:spacing w:after="0" w:line="240" w:lineRule="auto"/>
      <w:outlineLvl w:val="3"/>
    </w:pPr>
    <w:rPr>
      <w:rFonts w:ascii="Arial" w:eastAsia="Times New Roman" w:hAnsi="Arial" w:cs="Times New Roman"/>
      <w:b/>
      <w:color w:val="5A1419"/>
      <w:sz w:val="24"/>
      <w:szCs w:val="24"/>
    </w:rPr>
  </w:style>
  <w:style w:type="paragraph" w:styleId="Heading5">
    <w:name w:val="heading 5"/>
    <w:basedOn w:val="Normal"/>
    <w:next w:val="Normal"/>
    <w:link w:val="Heading5Char"/>
    <w:qFormat/>
    <w:rsid w:val="00246DE1"/>
    <w:pPr>
      <w:keepNext/>
      <w:numPr>
        <w:ilvl w:val="4"/>
        <w:numId w:val="2"/>
      </w:numPr>
      <w:spacing w:after="0" w:line="240" w:lineRule="auto"/>
      <w:jc w:val="right"/>
      <w:outlineLvl w:val="4"/>
    </w:pPr>
    <w:rPr>
      <w:rFonts w:ascii="Arial" w:eastAsia="Times New Roman" w:hAnsi="Arial" w:cs="Times New Roman"/>
      <w:b/>
      <w:color w:val="5A1419"/>
      <w:sz w:val="16"/>
      <w:szCs w:val="24"/>
    </w:rPr>
  </w:style>
  <w:style w:type="paragraph" w:styleId="Heading6">
    <w:name w:val="heading 6"/>
    <w:basedOn w:val="Normal"/>
    <w:next w:val="Normal"/>
    <w:link w:val="Heading6Char"/>
    <w:qFormat/>
    <w:rsid w:val="00246DE1"/>
    <w:pPr>
      <w:keepNext/>
      <w:numPr>
        <w:ilvl w:val="5"/>
        <w:numId w:val="2"/>
      </w:numPr>
      <w:spacing w:after="0" w:line="240" w:lineRule="auto"/>
      <w:jc w:val="right"/>
      <w:outlineLvl w:val="5"/>
    </w:pPr>
    <w:rPr>
      <w:rFonts w:ascii="Arial" w:eastAsia="Times New Roman" w:hAnsi="Arial" w:cs="Times New Roman"/>
      <w:b/>
      <w:color w:val="5A1419"/>
      <w:sz w:val="24"/>
      <w:szCs w:val="24"/>
    </w:rPr>
  </w:style>
  <w:style w:type="paragraph" w:styleId="Heading7">
    <w:name w:val="heading 7"/>
    <w:basedOn w:val="Normal"/>
    <w:next w:val="Normal"/>
    <w:link w:val="Heading7Char"/>
    <w:qFormat/>
    <w:rsid w:val="00246DE1"/>
    <w:pPr>
      <w:keepNext/>
      <w:numPr>
        <w:ilvl w:val="6"/>
        <w:numId w:val="2"/>
      </w:numPr>
      <w:spacing w:after="0" w:line="240" w:lineRule="auto"/>
      <w:jc w:val="right"/>
      <w:outlineLvl w:val="6"/>
    </w:pPr>
    <w:rPr>
      <w:rFonts w:ascii="Arial" w:eastAsia="Times New Roman" w:hAnsi="Arial" w:cs="Times New Roman"/>
      <w:b/>
      <w:color w:val="5A1419"/>
      <w:sz w:val="20"/>
      <w:szCs w:val="24"/>
    </w:rPr>
  </w:style>
  <w:style w:type="paragraph" w:styleId="Heading8">
    <w:name w:val="heading 8"/>
    <w:basedOn w:val="Normal"/>
    <w:next w:val="Normal"/>
    <w:link w:val="Heading8Char"/>
    <w:qFormat/>
    <w:rsid w:val="00246DE1"/>
    <w:pPr>
      <w:keepNext/>
      <w:numPr>
        <w:ilvl w:val="7"/>
        <w:numId w:val="2"/>
      </w:numPr>
      <w:spacing w:after="0" w:line="240" w:lineRule="auto"/>
      <w:jc w:val="right"/>
      <w:outlineLvl w:val="7"/>
    </w:pPr>
    <w:rPr>
      <w:rFonts w:ascii="Arial" w:eastAsia="Times New Roman" w:hAnsi="Arial" w:cs="Times New Roman"/>
      <w:b/>
      <w:color w:val="5A1419"/>
      <w:sz w:val="14"/>
      <w:szCs w:val="24"/>
    </w:rPr>
  </w:style>
  <w:style w:type="paragraph" w:styleId="Heading9">
    <w:name w:val="heading 9"/>
    <w:basedOn w:val="Normal"/>
    <w:next w:val="Normal"/>
    <w:link w:val="Heading9Char"/>
    <w:qFormat/>
    <w:rsid w:val="00246DE1"/>
    <w:pPr>
      <w:keepNext/>
      <w:numPr>
        <w:ilvl w:val="8"/>
        <w:numId w:val="2"/>
      </w:numPr>
      <w:spacing w:after="0" w:line="240" w:lineRule="auto"/>
      <w:outlineLvl w:val="8"/>
    </w:pPr>
    <w:rPr>
      <w:rFonts w:ascii="Arial" w:eastAsia="Times New Roman" w:hAnsi="Arial" w:cs="Times New Roman"/>
      <w:b/>
      <w:color w:val="999999"/>
      <w:sz w:val="1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46DE1"/>
    <w:rPr>
      <w:rFonts w:ascii="Arial" w:eastAsia="Times New Roman" w:hAnsi="Arial" w:cs="Arial"/>
      <w:i/>
      <w:iCs/>
      <w:sz w:val="24"/>
      <w:szCs w:val="24"/>
    </w:rPr>
  </w:style>
  <w:style w:type="character" w:customStyle="1" w:styleId="Heading2Char">
    <w:name w:val="Heading 2 Char"/>
    <w:basedOn w:val="DefaultParagraphFont"/>
    <w:link w:val="Heading2"/>
    <w:rsid w:val="00246DE1"/>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246DE1"/>
    <w:rPr>
      <w:rFonts w:ascii="Arial" w:eastAsia="Times New Roman" w:hAnsi="Arial" w:cs="Arial"/>
      <w:b/>
      <w:bCs/>
      <w:sz w:val="24"/>
      <w:szCs w:val="24"/>
    </w:rPr>
  </w:style>
  <w:style w:type="character" w:customStyle="1" w:styleId="Heading4Char">
    <w:name w:val="Heading 4 Char"/>
    <w:basedOn w:val="DefaultParagraphFont"/>
    <w:link w:val="Heading4"/>
    <w:rsid w:val="00246DE1"/>
    <w:rPr>
      <w:rFonts w:ascii="Arial" w:eastAsia="Times New Roman" w:hAnsi="Arial" w:cs="Times New Roman"/>
      <w:b/>
      <w:color w:val="5A1419"/>
      <w:sz w:val="24"/>
      <w:szCs w:val="24"/>
    </w:rPr>
  </w:style>
  <w:style w:type="character" w:customStyle="1" w:styleId="Heading5Char">
    <w:name w:val="Heading 5 Char"/>
    <w:basedOn w:val="DefaultParagraphFont"/>
    <w:link w:val="Heading5"/>
    <w:rsid w:val="00246DE1"/>
    <w:rPr>
      <w:rFonts w:ascii="Arial" w:eastAsia="Times New Roman" w:hAnsi="Arial" w:cs="Times New Roman"/>
      <w:b/>
      <w:color w:val="5A1419"/>
      <w:sz w:val="16"/>
      <w:szCs w:val="24"/>
    </w:rPr>
  </w:style>
  <w:style w:type="character" w:customStyle="1" w:styleId="Heading6Char">
    <w:name w:val="Heading 6 Char"/>
    <w:basedOn w:val="DefaultParagraphFont"/>
    <w:link w:val="Heading6"/>
    <w:rsid w:val="00246DE1"/>
    <w:rPr>
      <w:rFonts w:ascii="Arial" w:eastAsia="Times New Roman" w:hAnsi="Arial" w:cs="Times New Roman"/>
      <w:b/>
      <w:color w:val="5A1419"/>
      <w:sz w:val="24"/>
      <w:szCs w:val="24"/>
    </w:rPr>
  </w:style>
  <w:style w:type="character" w:customStyle="1" w:styleId="Heading7Char">
    <w:name w:val="Heading 7 Char"/>
    <w:basedOn w:val="DefaultParagraphFont"/>
    <w:link w:val="Heading7"/>
    <w:rsid w:val="00246DE1"/>
    <w:rPr>
      <w:rFonts w:ascii="Arial" w:eastAsia="Times New Roman" w:hAnsi="Arial" w:cs="Times New Roman"/>
      <w:b/>
      <w:color w:val="5A1419"/>
      <w:sz w:val="20"/>
      <w:szCs w:val="24"/>
    </w:rPr>
  </w:style>
  <w:style w:type="character" w:customStyle="1" w:styleId="Heading8Char">
    <w:name w:val="Heading 8 Char"/>
    <w:basedOn w:val="DefaultParagraphFont"/>
    <w:link w:val="Heading8"/>
    <w:rsid w:val="00246DE1"/>
    <w:rPr>
      <w:rFonts w:ascii="Arial" w:eastAsia="Times New Roman" w:hAnsi="Arial" w:cs="Times New Roman"/>
      <w:b/>
      <w:color w:val="5A1419"/>
      <w:sz w:val="14"/>
      <w:szCs w:val="24"/>
    </w:rPr>
  </w:style>
  <w:style w:type="character" w:customStyle="1" w:styleId="Heading9Char">
    <w:name w:val="Heading 9 Char"/>
    <w:basedOn w:val="DefaultParagraphFont"/>
    <w:link w:val="Heading9"/>
    <w:rsid w:val="00246DE1"/>
    <w:rPr>
      <w:rFonts w:ascii="Arial" w:eastAsia="Times New Roman" w:hAnsi="Arial" w:cs="Times New Roman"/>
      <w:b/>
      <w:color w:val="999999"/>
      <w:sz w:val="12"/>
      <w:szCs w:val="24"/>
    </w:rPr>
  </w:style>
  <w:style w:type="paragraph" w:customStyle="1" w:styleId="OBISChapterTitle">
    <w:name w:val="OBIS Chapter Title"/>
    <w:basedOn w:val="Normal"/>
    <w:link w:val="OBISChapterTitleChar"/>
    <w:rsid w:val="00E82498"/>
    <w:pPr>
      <w:spacing w:after="240" w:line="240" w:lineRule="auto"/>
    </w:pPr>
    <w:rPr>
      <w:rFonts w:ascii="Arial" w:eastAsia="Times New Roman" w:hAnsi="Arial" w:cs="Times New Roman"/>
      <w:b/>
      <w:iCs/>
      <w:smallCaps/>
      <w:color w:val="006666"/>
      <w:sz w:val="28"/>
      <w:szCs w:val="28"/>
    </w:rPr>
  </w:style>
  <w:style w:type="character" w:customStyle="1" w:styleId="OBISChapterTitleChar">
    <w:name w:val="OBIS Chapter Title Char"/>
    <w:link w:val="OBISChapterTitle"/>
    <w:rsid w:val="00E82498"/>
    <w:rPr>
      <w:rFonts w:ascii="Arial" w:eastAsia="Times New Roman" w:hAnsi="Arial" w:cs="Times New Roman"/>
      <w:b/>
      <w:iCs/>
      <w:smallCaps/>
      <w:color w:val="006666"/>
      <w:sz w:val="28"/>
      <w:szCs w:val="28"/>
    </w:rPr>
  </w:style>
  <w:style w:type="paragraph" w:customStyle="1" w:styleId="OBISBodyCopy">
    <w:name w:val="OBIS Body Copy"/>
    <w:basedOn w:val="Normal"/>
    <w:link w:val="OBISBodyCopyChar"/>
    <w:rsid w:val="00E82498"/>
    <w:pPr>
      <w:spacing w:after="240" w:line="360" w:lineRule="auto"/>
      <w:jc w:val="both"/>
    </w:pPr>
    <w:rPr>
      <w:rFonts w:ascii="Arial" w:eastAsia="Times New Roman" w:hAnsi="Arial" w:cs="Times New Roman"/>
      <w:szCs w:val="24"/>
    </w:rPr>
  </w:style>
  <w:style w:type="character" w:customStyle="1" w:styleId="OBISBodyCopyChar">
    <w:name w:val="OBIS Body Copy Char"/>
    <w:link w:val="OBISBodyCopy"/>
    <w:rsid w:val="00E82498"/>
    <w:rPr>
      <w:rFonts w:ascii="Arial" w:eastAsia="Times New Roman" w:hAnsi="Arial" w:cs="Times New Roman"/>
      <w:szCs w:val="24"/>
    </w:rPr>
  </w:style>
  <w:style w:type="paragraph" w:customStyle="1" w:styleId="OBISSubhead2">
    <w:name w:val="OBIS Subhead 2"/>
    <w:basedOn w:val="Normal"/>
    <w:link w:val="OBISSubhead2Char"/>
    <w:rsid w:val="00E82498"/>
    <w:pPr>
      <w:widowControl w:val="0"/>
      <w:autoSpaceDE w:val="0"/>
      <w:autoSpaceDN w:val="0"/>
      <w:adjustRightInd w:val="0"/>
      <w:spacing w:after="0" w:line="360" w:lineRule="auto"/>
      <w:jc w:val="both"/>
    </w:pPr>
    <w:rPr>
      <w:rFonts w:ascii="Arial" w:eastAsia="Times New Roman" w:hAnsi="Arial" w:cs="Times New Roman"/>
      <w:i/>
      <w:smallCaps/>
      <w:color w:val="006666"/>
      <w:kern w:val="22"/>
      <w:szCs w:val="24"/>
    </w:rPr>
  </w:style>
  <w:style w:type="character" w:customStyle="1" w:styleId="OBISSubhead2Char">
    <w:name w:val="OBIS Subhead 2 Char"/>
    <w:link w:val="OBISSubhead2"/>
    <w:rsid w:val="00E82498"/>
    <w:rPr>
      <w:rFonts w:ascii="Arial" w:eastAsia="Times New Roman" w:hAnsi="Arial" w:cs="Times New Roman"/>
      <w:i/>
      <w:smallCaps/>
      <w:color w:val="006666"/>
      <w:kern w:val="22"/>
      <w:szCs w:val="24"/>
    </w:rPr>
  </w:style>
  <w:style w:type="paragraph" w:customStyle="1" w:styleId="OBISSubhead1">
    <w:name w:val="OBIS Subhead 1"/>
    <w:basedOn w:val="Normal"/>
    <w:link w:val="OBISSubhead1Char"/>
    <w:rsid w:val="00E82498"/>
    <w:pPr>
      <w:spacing w:after="240" w:line="360" w:lineRule="auto"/>
    </w:pPr>
    <w:rPr>
      <w:rFonts w:ascii="Arial" w:eastAsia="Times New Roman" w:hAnsi="Arial" w:cs="Times New Roman"/>
      <w:b/>
      <w:smallCaps/>
      <w:color w:val="006666"/>
      <w:kern w:val="22"/>
      <w:sz w:val="24"/>
      <w:szCs w:val="24"/>
    </w:rPr>
  </w:style>
  <w:style w:type="character" w:customStyle="1" w:styleId="OBISSubhead1Char">
    <w:name w:val="OBIS Subhead 1 Char"/>
    <w:link w:val="OBISSubhead1"/>
    <w:rsid w:val="00E82498"/>
    <w:rPr>
      <w:rFonts w:ascii="Arial" w:eastAsia="Times New Roman" w:hAnsi="Arial" w:cs="Times New Roman"/>
      <w:b/>
      <w:smallCaps/>
      <w:color w:val="006666"/>
      <w:kern w:val="22"/>
      <w:sz w:val="24"/>
      <w:szCs w:val="24"/>
    </w:rPr>
  </w:style>
  <w:style w:type="character" w:styleId="Hyperlink">
    <w:name w:val="Hyperlink"/>
    <w:basedOn w:val="DefaultParagraphFont"/>
    <w:unhideWhenUsed/>
    <w:rsid w:val="00F77510"/>
    <w:rPr>
      <w:color w:val="0000FF"/>
      <w:u w:val="single"/>
    </w:rPr>
  </w:style>
  <w:style w:type="paragraph" w:styleId="BalloonText">
    <w:name w:val="Balloon Text"/>
    <w:basedOn w:val="Normal"/>
    <w:link w:val="BalloonTextChar"/>
    <w:semiHidden/>
    <w:unhideWhenUsed/>
    <w:rsid w:val="008C03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0337"/>
    <w:rPr>
      <w:rFonts w:ascii="Tahoma" w:hAnsi="Tahoma" w:cs="Tahoma"/>
      <w:sz w:val="16"/>
      <w:szCs w:val="16"/>
    </w:rPr>
  </w:style>
  <w:style w:type="paragraph" w:styleId="ListParagraph">
    <w:name w:val="List Paragraph"/>
    <w:basedOn w:val="Normal"/>
    <w:uiPriority w:val="34"/>
    <w:qFormat/>
    <w:rsid w:val="009140AA"/>
    <w:pPr>
      <w:ind w:left="720"/>
      <w:contextualSpacing/>
    </w:pPr>
  </w:style>
  <w:style w:type="paragraph" w:styleId="Header">
    <w:name w:val="header"/>
    <w:basedOn w:val="Normal"/>
    <w:link w:val="HeaderChar"/>
    <w:rsid w:val="00246DE1"/>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246DE1"/>
    <w:rPr>
      <w:rFonts w:ascii="Times New Roman" w:eastAsia="Times New Roman" w:hAnsi="Times New Roman" w:cs="Times New Roman"/>
      <w:sz w:val="24"/>
      <w:szCs w:val="24"/>
    </w:rPr>
  </w:style>
  <w:style w:type="paragraph" w:styleId="Footer">
    <w:name w:val="footer"/>
    <w:basedOn w:val="Normal"/>
    <w:link w:val="FooterChar"/>
    <w:rsid w:val="00246DE1"/>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246DE1"/>
    <w:rPr>
      <w:rFonts w:ascii="Times New Roman" w:eastAsia="Times New Roman" w:hAnsi="Times New Roman" w:cs="Times New Roman"/>
      <w:sz w:val="24"/>
      <w:szCs w:val="24"/>
    </w:rPr>
  </w:style>
  <w:style w:type="character" w:styleId="PageNumber">
    <w:name w:val="page number"/>
    <w:basedOn w:val="DefaultParagraphFont"/>
    <w:rsid w:val="00246DE1"/>
  </w:style>
  <w:style w:type="paragraph" w:customStyle="1" w:styleId="BrokersName">
    <w:name w:val="Brokers Name"/>
    <w:basedOn w:val="Normal"/>
    <w:rsid w:val="00246DE1"/>
    <w:pPr>
      <w:spacing w:after="0" w:line="240" w:lineRule="auto"/>
      <w:jc w:val="right"/>
    </w:pPr>
    <w:rPr>
      <w:rFonts w:ascii="Arial" w:eastAsia="Times New Roman" w:hAnsi="Arial" w:cs="Times New Roman"/>
      <w:b/>
      <w:sz w:val="32"/>
      <w:szCs w:val="24"/>
    </w:rPr>
  </w:style>
  <w:style w:type="paragraph" w:customStyle="1" w:styleId="PresentationTilte">
    <w:name w:val="Presentation Tilte"/>
    <w:basedOn w:val="Normal"/>
    <w:rsid w:val="00246DE1"/>
    <w:pPr>
      <w:spacing w:after="0" w:line="240" w:lineRule="auto"/>
      <w:jc w:val="right"/>
    </w:pPr>
    <w:rPr>
      <w:rFonts w:ascii="Arial" w:eastAsia="Times New Roman" w:hAnsi="Arial" w:cs="Times New Roman"/>
      <w:b/>
      <w:smallCaps/>
      <w:sz w:val="40"/>
      <w:szCs w:val="24"/>
    </w:rPr>
  </w:style>
  <w:style w:type="paragraph" w:customStyle="1" w:styleId="SectionHeadingNumbers">
    <w:name w:val="Section Heading Numbers"/>
    <w:basedOn w:val="Normal"/>
    <w:rsid w:val="00246DE1"/>
    <w:pPr>
      <w:spacing w:before="120" w:after="120" w:line="240" w:lineRule="auto"/>
      <w:jc w:val="right"/>
    </w:pPr>
    <w:rPr>
      <w:rFonts w:ascii="Arial" w:eastAsia="Times New Roman" w:hAnsi="Arial" w:cs="Times New Roman"/>
      <w:b/>
      <w:smallCaps/>
      <w:sz w:val="36"/>
      <w:szCs w:val="24"/>
    </w:rPr>
  </w:style>
  <w:style w:type="paragraph" w:customStyle="1" w:styleId="PresentationDate">
    <w:name w:val="Presentation Date"/>
    <w:basedOn w:val="Normal"/>
    <w:rsid w:val="00246DE1"/>
    <w:pPr>
      <w:spacing w:after="0" w:line="240" w:lineRule="auto"/>
      <w:jc w:val="right"/>
    </w:pPr>
    <w:rPr>
      <w:rFonts w:ascii="Arial" w:eastAsia="Times New Roman" w:hAnsi="Arial" w:cs="Times New Roman"/>
      <w:b/>
      <w:sz w:val="32"/>
      <w:szCs w:val="24"/>
    </w:rPr>
  </w:style>
  <w:style w:type="paragraph" w:customStyle="1" w:styleId="CMISFORM-ColumnHeader">
    <w:name w:val="CMIS FORM - Column Header"/>
    <w:rsid w:val="00246DE1"/>
    <w:pPr>
      <w:spacing w:before="60" w:after="0" w:line="240" w:lineRule="auto"/>
      <w:jc w:val="right"/>
    </w:pPr>
    <w:rPr>
      <w:rFonts w:ascii="Arial" w:eastAsia="Times New Roman" w:hAnsi="Arial" w:cs="Times New Roman"/>
      <w:b/>
      <w:caps/>
      <w:noProof/>
      <w:color w:val="333333"/>
      <w:spacing w:val="20"/>
      <w:kern w:val="10"/>
      <w:sz w:val="14"/>
      <w:szCs w:val="20"/>
    </w:rPr>
  </w:style>
  <w:style w:type="paragraph" w:customStyle="1" w:styleId="CMISSideBarItem">
    <w:name w:val="CMIS SideBar Item"/>
    <w:next w:val="Normal"/>
    <w:rsid w:val="00246DE1"/>
    <w:pPr>
      <w:framePr w:hSpace="180" w:wrap="around" w:vAnchor="text" w:hAnchor="margin" w:xAlign="right" w:y="115"/>
      <w:tabs>
        <w:tab w:val="num" w:pos="1440"/>
      </w:tabs>
      <w:spacing w:before="180" w:after="60" w:line="220" w:lineRule="exact"/>
      <w:suppressOverlap/>
    </w:pPr>
    <w:rPr>
      <w:rFonts w:ascii="Arial" w:eastAsia="Times New Roman" w:hAnsi="Arial" w:cs="Times New Roman"/>
      <w:b/>
      <w:kern w:val="16"/>
      <w:sz w:val="18"/>
      <w:szCs w:val="20"/>
    </w:rPr>
  </w:style>
  <w:style w:type="paragraph" w:customStyle="1" w:styleId="CMISSideBarBody">
    <w:name w:val="CMIS Side Bar Body"/>
    <w:rsid w:val="00246DE1"/>
    <w:pPr>
      <w:numPr>
        <w:numId w:val="1"/>
      </w:numPr>
      <w:spacing w:before="20" w:after="0" w:line="190" w:lineRule="exact"/>
    </w:pPr>
    <w:rPr>
      <w:rFonts w:ascii="Arial" w:eastAsia="Times New Roman" w:hAnsi="Arial" w:cs="Times New Roman"/>
      <w:kern w:val="16"/>
      <w:sz w:val="16"/>
      <w:szCs w:val="20"/>
    </w:rPr>
  </w:style>
  <w:style w:type="paragraph" w:styleId="NormalWeb">
    <w:name w:val="Normal (Web)"/>
    <w:uiPriority w:val="99"/>
    <w:rsid w:val="00246DE1"/>
    <w:pPr>
      <w:spacing w:after="0" w:line="240" w:lineRule="auto"/>
    </w:pPr>
    <w:rPr>
      <w:rFonts w:ascii="Verdana" w:eastAsia="Verdana" w:hAnsi="Verdana" w:cs="Times New Roman"/>
      <w:sz w:val="17"/>
      <w:szCs w:val="17"/>
    </w:rPr>
  </w:style>
  <w:style w:type="paragraph" w:styleId="BodyText">
    <w:name w:val="Body Text"/>
    <w:basedOn w:val="Normal"/>
    <w:link w:val="BodyTextChar"/>
    <w:rsid w:val="00246DE1"/>
    <w:pPr>
      <w:autoSpaceDE w:val="0"/>
      <w:autoSpaceDN w:val="0"/>
      <w:adjustRightInd w:val="0"/>
      <w:spacing w:after="0" w:line="240" w:lineRule="auto"/>
    </w:pPr>
    <w:rPr>
      <w:rFonts w:ascii="Times New Roman" w:eastAsia="Times New Roman" w:hAnsi="Times New Roman" w:cs="Times New Roman"/>
      <w:color w:val="3366FF"/>
      <w:sz w:val="24"/>
      <w:szCs w:val="20"/>
    </w:rPr>
  </w:style>
  <w:style w:type="character" w:customStyle="1" w:styleId="BodyTextChar">
    <w:name w:val="Body Text Char"/>
    <w:basedOn w:val="DefaultParagraphFont"/>
    <w:link w:val="BodyText"/>
    <w:rsid w:val="00246DE1"/>
    <w:rPr>
      <w:rFonts w:ascii="Times New Roman" w:eastAsia="Times New Roman" w:hAnsi="Times New Roman" w:cs="Times New Roman"/>
      <w:color w:val="3366FF"/>
      <w:sz w:val="24"/>
      <w:szCs w:val="20"/>
    </w:rPr>
  </w:style>
  <w:style w:type="paragraph" w:styleId="BodyText2">
    <w:name w:val="Body Text 2"/>
    <w:basedOn w:val="Normal"/>
    <w:link w:val="BodyText2Char"/>
    <w:rsid w:val="00246DE1"/>
    <w:pPr>
      <w:autoSpaceDE w:val="0"/>
      <w:autoSpaceDN w:val="0"/>
      <w:adjustRightInd w:val="0"/>
      <w:spacing w:after="0" w:line="240" w:lineRule="auto"/>
    </w:pPr>
    <w:rPr>
      <w:rFonts w:ascii="Times New Roman" w:eastAsia="Times New Roman" w:hAnsi="Times New Roman" w:cs="Times New Roman"/>
      <w:color w:val="0000FF"/>
      <w:sz w:val="24"/>
      <w:szCs w:val="20"/>
    </w:rPr>
  </w:style>
  <w:style w:type="character" w:customStyle="1" w:styleId="BodyText2Char">
    <w:name w:val="Body Text 2 Char"/>
    <w:basedOn w:val="DefaultParagraphFont"/>
    <w:link w:val="BodyText2"/>
    <w:rsid w:val="00246DE1"/>
    <w:rPr>
      <w:rFonts w:ascii="Times New Roman" w:eastAsia="Times New Roman" w:hAnsi="Times New Roman" w:cs="Times New Roman"/>
      <w:color w:val="0000FF"/>
      <w:sz w:val="24"/>
      <w:szCs w:val="20"/>
    </w:rPr>
  </w:style>
  <w:style w:type="paragraph" w:styleId="List3">
    <w:name w:val="List 3"/>
    <w:basedOn w:val="Normal"/>
    <w:rsid w:val="00246DE1"/>
    <w:pPr>
      <w:spacing w:after="0" w:line="240" w:lineRule="auto"/>
      <w:ind w:left="1080" w:hanging="360"/>
    </w:pPr>
    <w:rPr>
      <w:rFonts w:ascii="Times New Roman" w:eastAsia="Times New Roman" w:hAnsi="Times New Roman" w:cs="Times New Roman"/>
      <w:sz w:val="24"/>
      <w:szCs w:val="20"/>
    </w:rPr>
  </w:style>
  <w:style w:type="paragraph" w:styleId="BodyText3">
    <w:name w:val="Body Text 3"/>
    <w:basedOn w:val="Normal"/>
    <w:link w:val="BodyText3Char"/>
    <w:rsid w:val="00246DE1"/>
    <w:pPr>
      <w:spacing w:after="0" w:line="240" w:lineRule="auto"/>
      <w:jc w:val="both"/>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rsid w:val="00246DE1"/>
    <w:rPr>
      <w:rFonts w:ascii="Times New Roman" w:eastAsia="Times New Roman" w:hAnsi="Times New Roman" w:cs="Times New Roman"/>
      <w:sz w:val="24"/>
      <w:szCs w:val="24"/>
    </w:rPr>
  </w:style>
  <w:style w:type="paragraph" w:styleId="BodyTextIndent">
    <w:name w:val="Body Text Indent"/>
    <w:basedOn w:val="Normal"/>
    <w:link w:val="BodyTextIndentChar"/>
    <w:rsid w:val="00246DE1"/>
    <w:pPr>
      <w:spacing w:after="0" w:line="240" w:lineRule="auto"/>
      <w:ind w:firstLine="720"/>
    </w:pPr>
    <w:rPr>
      <w:rFonts w:ascii="Arial" w:eastAsia="Times New Roman" w:hAnsi="Arial" w:cs="Arial"/>
      <w:sz w:val="24"/>
      <w:szCs w:val="24"/>
    </w:rPr>
  </w:style>
  <w:style w:type="character" w:customStyle="1" w:styleId="BodyTextIndentChar">
    <w:name w:val="Body Text Indent Char"/>
    <w:basedOn w:val="DefaultParagraphFont"/>
    <w:link w:val="BodyTextIndent"/>
    <w:rsid w:val="00246DE1"/>
    <w:rPr>
      <w:rFonts w:ascii="Arial" w:eastAsia="Times New Roman" w:hAnsi="Arial" w:cs="Arial"/>
      <w:sz w:val="24"/>
      <w:szCs w:val="24"/>
    </w:rPr>
  </w:style>
  <w:style w:type="paragraph" w:customStyle="1" w:styleId="CMIS-MarketOverviewBody">
    <w:name w:val="CMIS - Market Overview Body"/>
    <w:rsid w:val="00246DE1"/>
    <w:pPr>
      <w:spacing w:after="0" w:line="240" w:lineRule="auto"/>
    </w:pPr>
    <w:rPr>
      <w:rFonts w:ascii="Arial" w:eastAsia="Times New Roman" w:hAnsi="Arial" w:cs="Times New Roman"/>
      <w:noProof/>
      <w:sz w:val="16"/>
      <w:szCs w:val="20"/>
    </w:rPr>
  </w:style>
  <w:style w:type="paragraph" w:customStyle="1" w:styleId="CMIS-MarketSection">
    <w:name w:val="CMIS - Market Section"/>
    <w:rsid w:val="00246DE1"/>
    <w:pPr>
      <w:spacing w:after="0" w:line="240" w:lineRule="auto"/>
      <w:jc w:val="right"/>
    </w:pPr>
    <w:rPr>
      <w:rFonts w:ascii="Arial" w:eastAsia="Times New Roman" w:hAnsi="Arial" w:cs="Times New Roman"/>
      <w:b/>
      <w:caps/>
      <w:noProof/>
      <w:color w:val="5A1419"/>
      <w:sz w:val="26"/>
      <w:szCs w:val="20"/>
    </w:rPr>
  </w:style>
  <w:style w:type="paragraph" w:customStyle="1" w:styleId="CMIS-MarketSectionsmall">
    <w:name w:val="CMIS - Market Section (small)"/>
    <w:basedOn w:val="CMIS-MarketSection"/>
    <w:rsid w:val="00246DE1"/>
    <w:rPr>
      <w:sz w:val="20"/>
    </w:rPr>
  </w:style>
  <w:style w:type="paragraph" w:customStyle="1" w:styleId="CMIS-MarketHeader">
    <w:name w:val="CMIS - Market Header"/>
    <w:rsid w:val="00246DE1"/>
    <w:pPr>
      <w:spacing w:after="0" w:line="240" w:lineRule="auto"/>
    </w:pPr>
    <w:rPr>
      <w:rFonts w:ascii="Arial" w:eastAsia="Times New Roman" w:hAnsi="Arial" w:cs="Times New Roman"/>
      <w:b/>
      <w:noProof/>
      <w:color w:val="B2B2B2"/>
      <w:sz w:val="12"/>
      <w:szCs w:val="20"/>
    </w:rPr>
  </w:style>
  <w:style w:type="paragraph" w:customStyle="1" w:styleId="CMIS-ContactsBullets">
    <w:name w:val="CMIS - Contacts Bullets"/>
    <w:rsid w:val="00246DE1"/>
    <w:pPr>
      <w:tabs>
        <w:tab w:val="num" w:pos="360"/>
      </w:tabs>
      <w:spacing w:after="120" w:line="240" w:lineRule="auto"/>
    </w:pPr>
    <w:rPr>
      <w:rFonts w:ascii="Arial" w:eastAsia="Times New Roman" w:hAnsi="Arial" w:cs="Times New Roman"/>
      <w:noProof/>
      <w:kern w:val="16"/>
      <w:sz w:val="20"/>
      <w:szCs w:val="20"/>
    </w:rPr>
  </w:style>
  <w:style w:type="character" w:styleId="Emphasis">
    <w:name w:val="Emphasis"/>
    <w:uiPriority w:val="20"/>
    <w:qFormat/>
    <w:rsid w:val="00246DE1"/>
    <w:rPr>
      <w:i/>
      <w:iCs/>
    </w:rPr>
  </w:style>
  <w:style w:type="paragraph" w:customStyle="1" w:styleId="Summarypagenumber">
    <w:name w:val="Summary page number"/>
    <w:basedOn w:val="Normal"/>
    <w:rsid w:val="00246DE1"/>
    <w:pPr>
      <w:spacing w:after="0" w:line="240" w:lineRule="auto"/>
      <w:jc w:val="right"/>
    </w:pPr>
    <w:rPr>
      <w:rFonts w:ascii="Helvetica" w:eastAsia="Times New Roman" w:hAnsi="Helvetica" w:cs="Times New Roman"/>
      <w:b/>
      <w:color w:val="006666"/>
      <w:sz w:val="24"/>
      <w:szCs w:val="24"/>
    </w:rPr>
  </w:style>
  <w:style w:type="paragraph" w:customStyle="1" w:styleId="OBISCoverTitle">
    <w:name w:val="OBIS Cover Title"/>
    <w:basedOn w:val="Normal"/>
    <w:link w:val="OBISCoverTitleChar"/>
    <w:rsid w:val="00246DE1"/>
    <w:pPr>
      <w:spacing w:after="0" w:line="240" w:lineRule="auto"/>
      <w:jc w:val="right"/>
    </w:pPr>
    <w:rPr>
      <w:rFonts w:ascii="Arial" w:eastAsia="Times New Roman" w:hAnsi="Arial" w:cs="Arial"/>
      <w:b/>
      <w:smallCaps/>
      <w:color w:val="006666"/>
      <w:spacing w:val="10"/>
      <w:kern w:val="28"/>
      <w:sz w:val="44"/>
      <w:szCs w:val="44"/>
    </w:rPr>
  </w:style>
  <w:style w:type="character" w:customStyle="1" w:styleId="OBISCoverTitleChar">
    <w:name w:val="OBIS Cover Title Char"/>
    <w:link w:val="OBISCoverTitle"/>
    <w:rsid w:val="00246DE1"/>
    <w:rPr>
      <w:rFonts w:ascii="Arial" w:eastAsia="Times New Roman" w:hAnsi="Arial" w:cs="Arial"/>
      <w:b/>
      <w:smallCaps/>
      <w:color w:val="006666"/>
      <w:spacing w:val="10"/>
      <w:kern w:val="28"/>
      <w:sz w:val="44"/>
      <w:szCs w:val="44"/>
    </w:rPr>
  </w:style>
  <w:style w:type="paragraph" w:customStyle="1" w:styleId="OBISheadercopy">
    <w:name w:val="OBIS header copy"/>
    <w:basedOn w:val="Normal"/>
    <w:rsid w:val="00246DE1"/>
    <w:pPr>
      <w:spacing w:after="0" w:line="240" w:lineRule="auto"/>
      <w:jc w:val="right"/>
    </w:pPr>
    <w:rPr>
      <w:rFonts w:ascii="Arial" w:eastAsia="Times New Roman" w:hAnsi="Arial" w:cs="Arial"/>
      <w:smallCaps/>
      <w:color w:val="006666"/>
      <w:spacing w:val="10"/>
      <w:kern w:val="28"/>
      <w:sz w:val="20"/>
      <w:szCs w:val="20"/>
    </w:rPr>
  </w:style>
  <w:style w:type="paragraph" w:customStyle="1" w:styleId="post-footer">
    <w:name w:val="post-footer"/>
    <w:basedOn w:val="Normal"/>
    <w:rsid w:val="00246DE1"/>
    <w:pPr>
      <w:spacing w:after="0" w:line="240" w:lineRule="auto"/>
    </w:pPr>
    <w:rPr>
      <w:rFonts w:ascii="Times New Roman" w:eastAsia="Times New Roman" w:hAnsi="Times New Roman" w:cs="Times New Roman"/>
      <w:color w:val="CCCCCC"/>
      <w:sz w:val="24"/>
      <w:szCs w:val="24"/>
    </w:rPr>
  </w:style>
  <w:style w:type="character" w:customStyle="1" w:styleId="item-action">
    <w:name w:val="item-action"/>
    <w:basedOn w:val="DefaultParagraphFont"/>
    <w:rsid w:val="00246DE1"/>
  </w:style>
  <w:style w:type="character" w:customStyle="1" w:styleId="item-controlblog-adminpid-810834912">
    <w:name w:val="item-control blog-admin pid-810834912"/>
    <w:basedOn w:val="DefaultParagraphFont"/>
    <w:rsid w:val="00246DE1"/>
  </w:style>
  <w:style w:type="character" w:styleId="Strong">
    <w:name w:val="Strong"/>
    <w:uiPriority w:val="22"/>
    <w:qFormat/>
    <w:rsid w:val="00246DE1"/>
    <w:rPr>
      <w:b/>
      <w:bCs/>
    </w:rPr>
  </w:style>
  <w:style w:type="character" w:customStyle="1" w:styleId="DocumentMapChar">
    <w:name w:val="Document Map Char"/>
    <w:basedOn w:val="DefaultParagraphFont"/>
    <w:link w:val="DocumentMap"/>
    <w:semiHidden/>
    <w:rsid w:val="00246DE1"/>
    <w:rPr>
      <w:rFonts w:ascii="Tahoma" w:eastAsia="Times New Roman" w:hAnsi="Tahoma" w:cs="Tahoma"/>
      <w:sz w:val="20"/>
      <w:szCs w:val="20"/>
      <w:shd w:val="clear" w:color="auto" w:fill="000080"/>
    </w:rPr>
  </w:style>
  <w:style w:type="paragraph" w:styleId="DocumentMap">
    <w:name w:val="Document Map"/>
    <w:basedOn w:val="Normal"/>
    <w:link w:val="DocumentMapChar"/>
    <w:semiHidden/>
    <w:rsid w:val="00246DE1"/>
    <w:pPr>
      <w:shd w:val="clear" w:color="auto" w:fill="000080"/>
      <w:spacing w:after="0" w:line="240" w:lineRule="auto"/>
    </w:pPr>
    <w:rPr>
      <w:rFonts w:ascii="Tahoma" w:eastAsia="Times New Roman" w:hAnsi="Tahoma" w:cs="Tahoma"/>
      <w:sz w:val="20"/>
      <w:szCs w:val="20"/>
    </w:rPr>
  </w:style>
  <w:style w:type="paragraph" w:styleId="BodyTextIndent3">
    <w:name w:val="Body Text Indent 3"/>
    <w:basedOn w:val="Normal"/>
    <w:link w:val="BodyTextIndent3Char"/>
    <w:rsid w:val="00246DE1"/>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246DE1"/>
    <w:rPr>
      <w:rFonts w:ascii="Times New Roman" w:eastAsia="Times New Roman" w:hAnsi="Times New Roman" w:cs="Times New Roman"/>
      <w:sz w:val="16"/>
      <w:szCs w:val="16"/>
    </w:rPr>
  </w:style>
  <w:style w:type="character" w:styleId="FollowedHyperlink">
    <w:name w:val="FollowedHyperlink"/>
    <w:rsid w:val="00246DE1"/>
    <w:rPr>
      <w:color w:val="606420"/>
      <w:u w:val="single"/>
    </w:rPr>
  </w:style>
  <w:style w:type="character" w:customStyle="1" w:styleId="t2">
    <w:name w:val="t2"/>
    <w:basedOn w:val="DefaultParagraphFont"/>
    <w:rsid w:val="00246DE1"/>
  </w:style>
  <w:style w:type="character" w:customStyle="1" w:styleId="yshortcuts">
    <w:name w:val="yshortcuts"/>
    <w:basedOn w:val="DefaultParagraphFont"/>
    <w:rsid w:val="00246DE1"/>
  </w:style>
  <w:style w:type="paragraph" w:customStyle="1" w:styleId="Subhead">
    <w:name w:val="Subhead"/>
    <w:basedOn w:val="Normal"/>
    <w:rsid w:val="00246DE1"/>
    <w:pPr>
      <w:spacing w:before="320" w:after="0" w:line="201" w:lineRule="auto"/>
    </w:pPr>
    <w:rPr>
      <w:rFonts w:ascii="Helvetica Black" w:eastAsia="Times New Roman" w:hAnsi="Helvetica Black" w:cs="Times New Roman"/>
      <w:color w:val="007F7F"/>
      <w:kern w:val="28"/>
      <w:sz w:val="20"/>
      <w:szCs w:val="20"/>
    </w:rPr>
  </w:style>
  <w:style w:type="paragraph" w:styleId="z-TopofForm">
    <w:name w:val="HTML Top of Form"/>
    <w:basedOn w:val="Normal"/>
    <w:next w:val="Normal"/>
    <w:link w:val="z-TopofFormChar"/>
    <w:hidden/>
    <w:rsid w:val="00246DE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rsid w:val="00246DE1"/>
    <w:rPr>
      <w:rFonts w:ascii="Arial" w:eastAsia="Times New Roman" w:hAnsi="Arial" w:cs="Arial"/>
      <w:vanish/>
      <w:sz w:val="16"/>
      <w:szCs w:val="16"/>
    </w:rPr>
  </w:style>
  <w:style w:type="paragraph" w:styleId="z-BottomofForm">
    <w:name w:val="HTML Bottom of Form"/>
    <w:basedOn w:val="Normal"/>
    <w:next w:val="Normal"/>
    <w:link w:val="z-BottomofFormChar"/>
    <w:hidden/>
    <w:rsid w:val="00246DE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246DE1"/>
    <w:rPr>
      <w:rFonts w:ascii="Arial" w:eastAsia="Times New Roman" w:hAnsi="Arial" w:cs="Arial"/>
      <w:vanish/>
      <w:sz w:val="16"/>
      <w:szCs w:val="16"/>
    </w:rPr>
  </w:style>
  <w:style w:type="character" w:customStyle="1" w:styleId="toctoggle">
    <w:name w:val="toctoggle"/>
    <w:basedOn w:val="DefaultParagraphFont"/>
    <w:rsid w:val="00246DE1"/>
  </w:style>
  <w:style w:type="character" w:customStyle="1" w:styleId="tocnumber2">
    <w:name w:val="tocnumber2"/>
    <w:basedOn w:val="DefaultParagraphFont"/>
    <w:rsid w:val="00246DE1"/>
  </w:style>
  <w:style w:type="character" w:customStyle="1" w:styleId="toctext">
    <w:name w:val="toctext"/>
    <w:basedOn w:val="DefaultParagraphFont"/>
    <w:rsid w:val="00246DE1"/>
  </w:style>
  <w:style w:type="character" w:customStyle="1" w:styleId="editsection">
    <w:name w:val="editsection"/>
    <w:basedOn w:val="DefaultParagraphFont"/>
    <w:rsid w:val="00246DE1"/>
  </w:style>
  <w:style w:type="character" w:customStyle="1" w:styleId="mw-headline">
    <w:name w:val="mw-headline"/>
    <w:basedOn w:val="DefaultParagraphFont"/>
    <w:rsid w:val="00246DE1"/>
  </w:style>
  <w:style w:type="character" w:customStyle="1" w:styleId="CommentTextChar">
    <w:name w:val="Comment Text Char"/>
    <w:basedOn w:val="DefaultParagraphFont"/>
    <w:link w:val="CommentText"/>
    <w:semiHidden/>
    <w:rsid w:val="00246DE1"/>
    <w:rPr>
      <w:rFonts w:ascii="Times New Roman" w:eastAsia="Times New Roman" w:hAnsi="Times New Roman" w:cs="Times New Roman"/>
      <w:sz w:val="20"/>
      <w:szCs w:val="20"/>
    </w:rPr>
  </w:style>
  <w:style w:type="paragraph" w:styleId="CommentText">
    <w:name w:val="annotation text"/>
    <w:basedOn w:val="Normal"/>
    <w:link w:val="CommentTextChar"/>
    <w:semiHidden/>
    <w:rsid w:val="00246DE1"/>
    <w:pPr>
      <w:spacing w:after="0" w:line="240" w:lineRule="auto"/>
    </w:pPr>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semiHidden/>
    <w:rsid w:val="00246DE1"/>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semiHidden/>
    <w:rsid w:val="00246DE1"/>
    <w:rPr>
      <w:b/>
      <w:bCs/>
    </w:rPr>
  </w:style>
  <w:style w:type="paragraph" w:customStyle="1" w:styleId="Default">
    <w:name w:val="Default"/>
    <w:rsid w:val="00246DE1"/>
    <w:pPr>
      <w:autoSpaceDE w:val="0"/>
      <w:autoSpaceDN w:val="0"/>
      <w:adjustRightInd w:val="0"/>
      <w:spacing w:after="0" w:line="240" w:lineRule="auto"/>
    </w:pPr>
    <w:rPr>
      <w:rFonts w:ascii="Minion Pro" w:eastAsia="Times New Roman" w:hAnsi="Minion Pro" w:cs="Minion Pro"/>
      <w:color w:val="000000"/>
      <w:sz w:val="24"/>
      <w:szCs w:val="24"/>
    </w:rPr>
  </w:style>
  <w:style w:type="paragraph" w:customStyle="1" w:styleId="Pa0">
    <w:name w:val="Pa0"/>
    <w:basedOn w:val="Default"/>
    <w:next w:val="Default"/>
    <w:rsid w:val="00246DE1"/>
    <w:pPr>
      <w:spacing w:line="241" w:lineRule="atLeast"/>
    </w:pPr>
    <w:rPr>
      <w:rFonts w:cs="Times New Roman"/>
      <w:color w:val="auto"/>
    </w:rPr>
  </w:style>
  <w:style w:type="character" w:customStyle="1" w:styleId="A1">
    <w:name w:val="A1"/>
    <w:rsid w:val="00246DE1"/>
    <w:rPr>
      <w:rFonts w:cs="Minion Pro"/>
      <w:color w:val="000000"/>
      <w:sz w:val="22"/>
      <w:szCs w:val="22"/>
    </w:rPr>
  </w:style>
  <w:style w:type="table" w:styleId="TableGrid">
    <w:name w:val="Table Grid"/>
    <w:basedOn w:val="TableNormal"/>
    <w:uiPriority w:val="39"/>
    <w:rsid w:val="004C1E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semiHidden/>
    <w:unhideWhenUsed/>
    <w:rsid w:val="00EB2921"/>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EB2921"/>
    <w:rPr>
      <w:rFonts w:ascii="Consolas" w:hAnsi="Consolas" w:cs="Consolas"/>
      <w:sz w:val="21"/>
      <w:szCs w:val="21"/>
    </w:rPr>
  </w:style>
  <w:style w:type="table" w:customStyle="1" w:styleId="TableGrid1">
    <w:name w:val="Table Grid1"/>
    <w:basedOn w:val="TableNormal"/>
    <w:next w:val="TableGrid"/>
    <w:uiPriority w:val="59"/>
    <w:rsid w:val="00AA1129"/>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A2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6558D1"/>
    <w:rPr>
      <w:b/>
      <w:bCs/>
      <w:smallCaps/>
      <w:spacing w:val="5"/>
    </w:rPr>
  </w:style>
  <w:style w:type="paragraph" w:styleId="Revision">
    <w:name w:val="Revision"/>
    <w:hidden/>
    <w:uiPriority w:val="99"/>
    <w:semiHidden/>
    <w:rsid w:val="006558D1"/>
    <w:pPr>
      <w:spacing w:after="0" w:line="240" w:lineRule="auto"/>
    </w:pPr>
  </w:style>
  <w:style w:type="character" w:styleId="UnresolvedMention">
    <w:name w:val="Unresolved Mention"/>
    <w:basedOn w:val="DefaultParagraphFont"/>
    <w:uiPriority w:val="99"/>
    <w:semiHidden/>
    <w:unhideWhenUsed/>
    <w:rsid w:val="006B11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4397">
      <w:bodyDiv w:val="1"/>
      <w:marLeft w:val="0"/>
      <w:marRight w:val="0"/>
      <w:marTop w:val="0"/>
      <w:marBottom w:val="0"/>
      <w:divBdr>
        <w:top w:val="none" w:sz="0" w:space="0" w:color="auto"/>
        <w:left w:val="none" w:sz="0" w:space="0" w:color="auto"/>
        <w:bottom w:val="none" w:sz="0" w:space="0" w:color="auto"/>
        <w:right w:val="none" w:sz="0" w:space="0" w:color="auto"/>
      </w:divBdr>
    </w:div>
    <w:div w:id="34352081">
      <w:bodyDiv w:val="1"/>
      <w:marLeft w:val="0"/>
      <w:marRight w:val="0"/>
      <w:marTop w:val="0"/>
      <w:marBottom w:val="0"/>
      <w:divBdr>
        <w:top w:val="none" w:sz="0" w:space="0" w:color="auto"/>
        <w:left w:val="none" w:sz="0" w:space="0" w:color="auto"/>
        <w:bottom w:val="none" w:sz="0" w:space="0" w:color="auto"/>
        <w:right w:val="none" w:sz="0" w:space="0" w:color="auto"/>
      </w:divBdr>
    </w:div>
    <w:div w:id="97413034">
      <w:bodyDiv w:val="1"/>
      <w:marLeft w:val="0"/>
      <w:marRight w:val="0"/>
      <w:marTop w:val="0"/>
      <w:marBottom w:val="0"/>
      <w:divBdr>
        <w:top w:val="none" w:sz="0" w:space="0" w:color="auto"/>
        <w:left w:val="none" w:sz="0" w:space="0" w:color="auto"/>
        <w:bottom w:val="none" w:sz="0" w:space="0" w:color="auto"/>
        <w:right w:val="none" w:sz="0" w:space="0" w:color="auto"/>
      </w:divBdr>
    </w:div>
    <w:div w:id="101346658">
      <w:bodyDiv w:val="1"/>
      <w:marLeft w:val="0"/>
      <w:marRight w:val="0"/>
      <w:marTop w:val="0"/>
      <w:marBottom w:val="0"/>
      <w:divBdr>
        <w:top w:val="none" w:sz="0" w:space="0" w:color="auto"/>
        <w:left w:val="none" w:sz="0" w:space="0" w:color="auto"/>
        <w:bottom w:val="none" w:sz="0" w:space="0" w:color="auto"/>
        <w:right w:val="none" w:sz="0" w:space="0" w:color="auto"/>
      </w:divBdr>
    </w:div>
    <w:div w:id="281351794">
      <w:bodyDiv w:val="1"/>
      <w:marLeft w:val="0"/>
      <w:marRight w:val="0"/>
      <w:marTop w:val="0"/>
      <w:marBottom w:val="0"/>
      <w:divBdr>
        <w:top w:val="none" w:sz="0" w:space="0" w:color="auto"/>
        <w:left w:val="none" w:sz="0" w:space="0" w:color="auto"/>
        <w:bottom w:val="none" w:sz="0" w:space="0" w:color="auto"/>
        <w:right w:val="none" w:sz="0" w:space="0" w:color="auto"/>
      </w:divBdr>
    </w:div>
    <w:div w:id="414784722">
      <w:bodyDiv w:val="1"/>
      <w:marLeft w:val="0"/>
      <w:marRight w:val="0"/>
      <w:marTop w:val="0"/>
      <w:marBottom w:val="0"/>
      <w:divBdr>
        <w:top w:val="none" w:sz="0" w:space="0" w:color="auto"/>
        <w:left w:val="none" w:sz="0" w:space="0" w:color="auto"/>
        <w:bottom w:val="none" w:sz="0" w:space="0" w:color="auto"/>
        <w:right w:val="none" w:sz="0" w:space="0" w:color="auto"/>
      </w:divBdr>
    </w:div>
    <w:div w:id="552428273">
      <w:bodyDiv w:val="1"/>
      <w:marLeft w:val="0"/>
      <w:marRight w:val="0"/>
      <w:marTop w:val="0"/>
      <w:marBottom w:val="0"/>
      <w:divBdr>
        <w:top w:val="none" w:sz="0" w:space="0" w:color="auto"/>
        <w:left w:val="none" w:sz="0" w:space="0" w:color="auto"/>
        <w:bottom w:val="none" w:sz="0" w:space="0" w:color="auto"/>
        <w:right w:val="none" w:sz="0" w:space="0" w:color="auto"/>
      </w:divBdr>
    </w:div>
    <w:div w:id="568149690">
      <w:bodyDiv w:val="1"/>
      <w:marLeft w:val="0"/>
      <w:marRight w:val="0"/>
      <w:marTop w:val="0"/>
      <w:marBottom w:val="0"/>
      <w:divBdr>
        <w:top w:val="none" w:sz="0" w:space="0" w:color="auto"/>
        <w:left w:val="none" w:sz="0" w:space="0" w:color="auto"/>
        <w:bottom w:val="none" w:sz="0" w:space="0" w:color="auto"/>
        <w:right w:val="none" w:sz="0" w:space="0" w:color="auto"/>
      </w:divBdr>
    </w:div>
    <w:div w:id="705300989">
      <w:bodyDiv w:val="1"/>
      <w:marLeft w:val="0"/>
      <w:marRight w:val="0"/>
      <w:marTop w:val="0"/>
      <w:marBottom w:val="0"/>
      <w:divBdr>
        <w:top w:val="none" w:sz="0" w:space="0" w:color="auto"/>
        <w:left w:val="none" w:sz="0" w:space="0" w:color="auto"/>
        <w:bottom w:val="none" w:sz="0" w:space="0" w:color="auto"/>
        <w:right w:val="none" w:sz="0" w:space="0" w:color="auto"/>
      </w:divBdr>
    </w:div>
    <w:div w:id="751245435">
      <w:bodyDiv w:val="1"/>
      <w:marLeft w:val="0"/>
      <w:marRight w:val="0"/>
      <w:marTop w:val="0"/>
      <w:marBottom w:val="0"/>
      <w:divBdr>
        <w:top w:val="none" w:sz="0" w:space="0" w:color="auto"/>
        <w:left w:val="none" w:sz="0" w:space="0" w:color="auto"/>
        <w:bottom w:val="none" w:sz="0" w:space="0" w:color="auto"/>
        <w:right w:val="none" w:sz="0" w:space="0" w:color="auto"/>
      </w:divBdr>
    </w:div>
    <w:div w:id="819346615">
      <w:bodyDiv w:val="1"/>
      <w:marLeft w:val="0"/>
      <w:marRight w:val="0"/>
      <w:marTop w:val="0"/>
      <w:marBottom w:val="0"/>
      <w:divBdr>
        <w:top w:val="none" w:sz="0" w:space="0" w:color="auto"/>
        <w:left w:val="none" w:sz="0" w:space="0" w:color="auto"/>
        <w:bottom w:val="none" w:sz="0" w:space="0" w:color="auto"/>
        <w:right w:val="none" w:sz="0" w:space="0" w:color="auto"/>
      </w:divBdr>
    </w:div>
    <w:div w:id="844591985">
      <w:bodyDiv w:val="1"/>
      <w:marLeft w:val="0"/>
      <w:marRight w:val="0"/>
      <w:marTop w:val="0"/>
      <w:marBottom w:val="0"/>
      <w:divBdr>
        <w:top w:val="none" w:sz="0" w:space="0" w:color="auto"/>
        <w:left w:val="none" w:sz="0" w:space="0" w:color="auto"/>
        <w:bottom w:val="none" w:sz="0" w:space="0" w:color="auto"/>
        <w:right w:val="none" w:sz="0" w:space="0" w:color="auto"/>
      </w:divBdr>
    </w:div>
    <w:div w:id="872688274">
      <w:bodyDiv w:val="1"/>
      <w:marLeft w:val="0"/>
      <w:marRight w:val="0"/>
      <w:marTop w:val="0"/>
      <w:marBottom w:val="0"/>
      <w:divBdr>
        <w:top w:val="none" w:sz="0" w:space="0" w:color="auto"/>
        <w:left w:val="none" w:sz="0" w:space="0" w:color="auto"/>
        <w:bottom w:val="none" w:sz="0" w:space="0" w:color="auto"/>
        <w:right w:val="none" w:sz="0" w:space="0" w:color="auto"/>
      </w:divBdr>
    </w:div>
    <w:div w:id="884412669">
      <w:bodyDiv w:val="1"/>
      <w:marLeft w:val="0"/>
      <w:marRight w:val="0"/>
      <w:marTop w:val="0"/>
      <w:marBottom w:val="0"/>
      <w:divBdr>
        <w:top w:val="none" w:sz="0" w:space="0" w:color="auto"/>
        <w:left w:val="none" w:sz="0" w:space="0" w:color="auto"/>
        <w:bottom w:val="none" w:sz="0" w:space="0" w:color="auto"/>
        <w:right w:val="none" w:sz="0" w:space="0" w:color="auto"/>
      </w:divBdr>
    </w:div>
    <w:div w:id="942998974">
      <w:bodyDiv w:val="1"/>
      <w:marLeft w:val="0"/>
      <w:marRight w:val="0"/>
      <w:marTop w:val="0"/>
      <w:marBottom w:val="0"/>
      <w:divBdr>
        <w:top w:val="none" w:sz="0" w:space="0" w:color="auto"/>
        <w:left w:val="none" w:sz="0" w:space="0" w:color="auto"/>
        <w:bottom w:val="none" w:sz="0" w:space="0" w:color="auto"/>
        <w:right w:val="none" w:sz="0" w:space="0" w:color="auto"/>
      </w:divBdr>
    </w:div>
    <w:div w:id="1026444429">
      <w:bodyDiv w:val="1"/>
      <w:marLeft w:val="0"/>
      <w:marRight w:val="0"/>
      <w:marTop w:val="0"/>
      <w:marBottom w:val="0"/>
      <w:divBdr>
        <w:top w:val="none" w:sz="0" w:space="0" w:color="auto"/>
        <w:left w:val="none" w:sz="0" w:space="0" w:color="auto"/>
        <w:bottom w:val="none" w:sz="0" w:space="0" w:color="auto"/>
        <w:right w:val="none" w:sz="0" w:space="0" w:color="auto"/>
      </w:divBdr>
    </w:div>
    <w:div w:id="1036542024">
      <w:bodyDiv w:val="1"/>
      <w:marLeft w:val="0"/>
      <w:marRight w:val="0"/>
      <w:marTop w:val="0"/>
      <w:marBottom w:val="0"/>
      <w:divBdr>
        <w:top w:val="none" w:sz="0" w:space="0" w:color="auto"/>
        <w:left w:val="none" w:sz="0" w:space="0" w:color="auto"/>
        <w:bottom w:val="none" w:sz="0" w:space="0" w:color="auto"/>
        <w:right w:val="none" w:sz="0" w:space="0" w:color="auto"/>
      </w:divBdr>
    </w:div>
    <w:div w:id="1077094064">
      <w:bodyDiv w:val="1"/>
      <w:marLeft w:val="0"/>
      <w:marRight w:val="0"/>
      <w:marTop w:val="0"/>
      <w:marBottom w:val="0"/>
      <w:divBdr>
        <w:top w:val="none" w:sz="0" w:space="0" w:color="auto"/>
        <w:left w:val="none" w:sz="0" w:space="0" w:color="auto"/>
        <w:bottom w:val="none" w:sz="0" w:space="0" w:color="auto"/>
        <w:right w:val="none" w:sz="0" w:space="0" w:color="auto"/>
      </w:divBdr>
    </w:div>
    <w:div w:id="1241985239">
      <w:bodyDiv w:val="1"/>
      <w:marLeft w:val="0"/>
      <w:marRight w:val="0"/>
      <w:marTop w:val="0"/>
      <w:marBottom w:val="0"/>
      <w:divBdr>
        <w:top w:val="none" w:sz="0" w:space="0" w:color="auto"/>
        <w:left w:val="none" w:sz="0" w:space="0" w:color="auto"/>
        <w:bottom w:val="none" w:sz="0" w:space="0" w:color="auto"/>
        <w:right w:val="none" w:sz="0" w:space="0" w:color="auto"/>
      </w:divBdr>
    </w:div>
    <w:div w:id="1244102332">
      <w:bodyDiv w:val="1"/>
      <w:marLeft w:val="0"/>
      <w:marRight w:val="0"/>
      <w:marTop w:val="0"/>
      <w:marBottom w:val="0"/>
      <w:divBdr>
        <w:top w:val="none" w:sz="0" w:space="0" w:color="auto"/>
        <w:left w:val="none" w:sz="0" w:space="0" w:color="auto"/>
        <w:bottom w:val="none" w:sz="0" w:space="0" w:color="auto"/>
        <w:right w:val="none" w:sz="0" w:space="0" w:color="auto"/>
      </w:divBdr>
    </w:div>
    <w:div w:id="1406024512">
      <w:bodyDiv w:val="1"/>
      <w:marLeft w:val="0"/>
      <w:marRight w:val="0"/>
      <w:marTop w:val="0"/>
      <w:marBottom w:val="0"/>
      <w:divBdr>
        <w:top w:val="none" w:sz="0" w:space="0" w:color="auto"/>
        <w:left w:val="none" w:sz="0" w:space="0" w:color="auto"/>
        <w:bottom w:val="none" w:sz="0" w:space="0" w:color="auto"/>
        <w:right w:val="none" w:sz="0" w:space="0" w:color="auto"/>
      </w:divBdr>
    </w:div>
    <w:div w:id="1713338381">
      <w:bodyDiv w:val="1"/>
      <w:marLeft w:val="0"/>
      <w:marRight w:val="0"/>
      <w:marTop w:val="0"/>
      <w:marBottom w:val="0"/>
      <w:divBdr>
        <w:top w:val="none" w:sz="0" w:space="0" w:color="auto"/>
        <w:left w:val="none" w:sz="0" w:space="0" w:color="auto"/>
        <w:bottom w:val="none" w:sz="0" w:space="0" w:color="auto"/>
        <w:right w:val="none" w:sz="0" w:space="0" w:color="auto"/>
      </w:divBdr>
    </w:div>
    <w:div w:id="1902055570">
      <w:bodyDiv w:val="1"/>
      <w:marLeft w:val="0"/>
      <w:marRight w:val="0"/>
      <w:marTop w:val="0"/>
      <w:marBottom w:val="0"/>
      <w:divBdr>
        <w:top w:val="none" w:sz="0" w:space="0" w:color="auto"/>
        <w:left w:val="none" w:sz="0" w:space="0" w:color="auto"/>
        <w:bottom w:val="none" w:sz="0" w:space="0" w:color="auto"/>
        <w:right w:val="none" w:sz="0" w:space="0" w:color="auto"/>
      </w:divBdr>
    </w:div>
    <w:div w:id="1912883811">
      <w:bodyDiv w:val="1"/>
      <w:marLeft w:val="0"/>
      <w:marRight w:val="0"/>
      <w:marTop w:val="0"/>
      <w:marBottom w:val="0"/>
      <w:divBdr>
        <w:top w:val="none" w:sz="0" w:space="0" w:color="auto"/>
        <w:left w:val="none" w:sz="0" w:space="0" w:color="auto"/>
        <w:bottom w:val="none" w:sz="0" w:space="0" w:color="auto"/>
        <w:right w:val="none" w:sz="0" w:space="0" w:color="auto"/>
      </w:divBdr>
    </w:div>
    <w:div w:id="2105497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microsoft.com/office/2007/relationships/diagramDrawing" Target="diagrams/drawing1.xml"/><Relationship Id="rId26" Type="http://schemas.openxmlformats.org/officeDocument/2006/relationships/image" Target="media/image15.png"/><Relationship Id="rId39" Type="http://schemas.openxmlformats.org/officeDocument/2006/relationships/image" Target="media/image27.tmp"/><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www.dandodiary.com/2021/04/articles/securities-litigation/spac-and-target-company-hit-with-pre-merger-10b-5-class-action-suit/" TargetMode="External"/><Relationship Id="rId47" Type="http://schemas.openxmlformats.org/officeDocument/2006/relationships/image" Target="media/image31.png"/><Relationship Id="rId50" Type="http://schemas.openxmlformats.org/officeDocument/2006/relationships/hyperlink" Target="https://www.dandodiary.com/2020/10/articles/director-and-officer-liability/rain-on-the-spac-parade/" TargetMode="External"/><Relationship Id="rId55" Type="http://schemas.openxmlformats.org/officeDocument/2006/relationships/image" Target="media/image36.png"/><Relationship Id="rId63" Type="http://schemas.openxmlformats.org/officeDocument/2006/relationships/image" Target="media/image42.jpeg"/><Relationship Id="rId68" Type="http://schemas.openxmlformats.org/officeDocument/2006/relationships/image" Target="media/image45.tmp"/><Relationship Id="rId7" Type="http://schemas.openxmlformats.org/officeDocument/2006/relationships/endnotes" Target="endnotes.xml"/><Relationship Id="rId71"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diagramQuickStyle" Target="diagrams/quickStyle1.xml"/><Relationship Id="rId29" Type="http://schemas.openxmlformats.org/officeDocument/2006/relationships/image" Target="media/image18.png"/><Relationship Id="rId11" Type="http://schemas.openxmlformats.org/officeDocument/2006/relationships/image" Target="media/image5.jpe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hyperlink" Target="https://www.dandodiary.com/2021/05/articles/securities-litigation/virgin-galactic-hit-with-securities-suit-over-spac-warrant-accounting-issue/" TargetMode="External"/><Relationship Id="rId45" Type="http://schemas.openxmlformats.org/officeDocument/2006/relationships/image" Target="media/image30.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4.png"/><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2.png"/><Relationship Id="rId57" Type="http://schemas.openxmlformats.org/officeDocument/2006/relationships/image" Target="media/image38.png"/><Relationship Id="rId61" Type="http://schemas.openxmlformats.org/officeDocument/2006/relationships/chart" Target="charts/chart1.xml"/><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www.dandodiary.com/2022/05/articles/securities-litigation/u-k-based-cybersecurity-firm-hit-with-spac-related-securities-suit/" TargetMode="External"/><Relationship Id="rId52" Type="http://schemas.openxmlformats.org/officeDocument/2006/relationships/hyperlink" Target="https://www.dandodiary.com/2021/04/articles/securities-litigation/akazoo-spac-related-litigation-partially-settled-for-35-million/" TargetMode="External"/><Relationship Id="rId60" Type="http://schemas.openxmlformats.org/officeDocument/2006/relationships/image" Target="media/image41.png"/><Relationship Id="rId65" Type="http://schemas.openxmlformats.org/officeDocument/2006/relationships/image" Target="media/image43.tmp"/><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diagramData" Target="diagrams/data1.xml"/><Relationship Id="rId22" Type="http://schemas.openxmlformats.org/officeDocument/2006/relationships/image" Target="media/image11.gif"/><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29.png"/><Relationship Id="rId48" Type="http://schemas.openxmlformats.org/officeDocument/2006/relationships/hyperlink" Target="https://www.dandodiary.com/2021/02/articles/securities-litigation/securities-suit-alleges-failure-to-disclose-doj-investigation-before-de-spac-transaction/" TargetMode="External"/><Relationship Id="rId56" Type="http://schemas.openxmlformats.org/officeDocument/2006/relationships/image" Target="media/image37.png"/><Relationship Id="rId64" Type="http://schemas.openxmlformats.org/officeDocument/2006/relationships/hyperlink" Target="http://www.rtspecialty.com" TargetMode="External"/><Relationship Id="rId69"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33.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diagramColors" Target="diagrams/colors1.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www.sec.gov/corpfin/disclosure-special-purpose-acquisition-companies" TargetMode="External"/><Relationship Id="rId46" Type="http://schemas.openxmlformats.org/officeDocument/2006/relationships/hyperlink" Target="https://www.dandodiary.com/2021/02/articles/securities-litigation/post-spac-acquired-biopharma-firm-hit-with-securities-suit/" TargetMode="External"/><Relationship Id="rId59" Type="http://schemas.openxmlformats.org/officeDocument/2006/relationships/image" Target="media/image40.png"/><Relationship Id="rId67" Type="http://schemas.openxmlformats.org/officeDocument/2006/relationships/hyperlink" Target="http://www.dandodiary.com" TargetMode="Externa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35.jpeg"/><Relationship Id="rId62" Type="http://schemas.openxmlformats.org/officeDocument/2006/relationships/hyperlink" Target="http://www.ambest.com"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2" Type="http://schemas.openxmlformats.org/officeDocument/2006/relationships/image" Target="media/image47.png"/><Relationship Id="rId1" Type="http://schemas.openxmlformats.org/officeDocument/2006/relationships/image" Target="media/image46.png"/></Relationships>
</file>

<file path=word/_rels/footer2.xml.rels><?xml version="1.0" encoding="UTF-8" standalone="yes"?>
<Relationships xmlns="http://schemas.openxmlformats.org/package/2006/relationships"><Relationship Id="rId2" Type="http://schemas.openxmlformats.org/officeDocument/2006/relationships/image" Target="media/image47.png"/><Relationship Id="rId1" Type="http://schemas.openxmlformats.org/officeDocument/2006/relationships/image" Target="media/image46.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lrMapOvr bg1="lt1" tx1="dk1" bg2="lt2" tx2="dk2" accent1="accent1" accent2="accent2" accent3="accent3" accent4="accent4" accent5="accent5" accent6="accent6" hlink="hlink" folHlink="folHlink"/>
  <c:chart>
    <c:title>
      <c:tx>
        <c:rich>
          <a:bodyPr/>
          <a:lstStyle/>
          <a:p>
            <a:pPr>
              <a:defRPr/>
            </a:pPr>
            <a:r>
              <a:rPr lang="en-US" sz="1600"/>
              <a:t>Status of Securities Class Actions by Year Filed (%)</a:t>
            </a:r>
          </a:p>
        </c:rich>
      </c:tx>
      <c:overlay val="0"/>
    </c:title>
    <c:autoTitleDeleted val="0"/>
    <c:plotArea>
      <c:layout/>
      <c:barChart>
        <c:barDir val="col"/>
        <c:grouping val="percentStacked"/>
        <c:varyColors val="0"/>
        <c:ser>
          <c:idx val="0"/>
          <c:order val="0"/>
          <c:tx>
            <c:strRef>
              <c:f>Sheet1!$B$1</c:f>
              <c:strCache>
                <c:ptCount val="1"/>
                <c:pt idx="0">
                  <c:v>Settled</c:v>
                </c:pt>
              </c:strCache>
            </c:strRef>
          </c:tx>
          <c:invertIfNegative val="0"/>
          <c:cat>
            <c:numRef>
              <c:f>Sheet1!$A$2:$A$11</c:f>
              <c:numCache>
                <c:formatCode>General</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Sheet1!$B$2:$B$11</c:f>
              <c:numCache>
                <c:formatCode>General</c:formatCode>
                <c:ptCount val="10"/>
                <c:pt idx="0">
                  <c:v>49</c:v>
                </c:pt>
                <c:pt idx="1">
                  <c:v>42</c:v>
                </c:pt>
                <c:pt idx="2">
                  <c:v>56</c:v>
                </c:pt>
                <c:pt idx="3">
                  <c:v>40</c:v>
                </c:pt>
                <c:pt idx="4">
                  <c:v>40</c:v>
                </c:pt>
                <c:pt idx="5">
                  <c:v>36</c:v>
                </c:pt>
                <c:pt idx="6">
                  <c:v>25</c:v>
                </c:pt>
                <c:pt idx="7">
                  <c:v>24</c:v>
                </c:pt>
                <c:pt idx="8">
                  <c:v>8</c:v>
                </c:pt>
                <c:pt idx="9">
                  <c:v>0</c:v>
                </c:pt>
              </c:numCache>
            </c:numRef>
          </c:val>
          <c:extLst>
            <c:ext xmlns:c16="http://schemas.microsoft.com/office/drawing/2014/chart" uri="{C3380CC4-5D6E-409C-BE32-E72D297353CC}">
              <c16:uniqueId val="{00000000-2755-4A5A-AA79-4026F3D6BC91}"/>
            </c:ext>
          </c:extLst>
        </c:ser>
        <c:ser>
          <c:idx val="1"/>
          <c:order val="1"/>
          <c:tx>
            <c:strRef>
              <c:f>Sheet1!$C$1</c:f>
              <c:strCache>
                <c:ptCount val="1"/>
                <c:pt idx="0">
                  <c:v>Dismissed</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Sheet1!$A$2:$A$11</c:f>
              <c:numCache>
                <c:formatCode>General</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Sheet1!$C$2:$C$11</c:f>
              <c:numCache>
                <c:formatCode>General</c:formatCode>
                <c:ptCount val="10"/>
                <c:pt idx="0">
                  <c:v>48</c:v>
                </c:pt>
                <c:pt idx="1">
                  <c:v>56</c:v>
                </c:pt>
                <c:pt idx="2">
                  <c:v>42</c:v>
                </c:pt>
                <c:pt idx="3">
                  <c:v>55</c:v>
                </c:pt>
                <c:pt idx="4">
                  <c:v>50</c:v>
                </c:pt>
                <c:pt idx="5">
                  <c:v>54</c:v>
                </c:pt>
                <c:pt idx="6">
                  <c:v>54</c:v>
                </c:pt>
                <c:pt idx="7">
                  <c:v>48</c:v>
                </c:pt>
                <c:pt idx="8">
                  <c:v>32</c:v>
                </c:pt>
                <c:pt idx="9">
                  <c:v>10</c:v>
                </c:pt>
              </c:numCache>
            </c:numRef>
          </c:val>
          <c:extLst>
            <c:ext xmlns:c16="http://schemas.microsoft.com/office/drawing/2014/chart" uri="{C3380CC4-5D6E-409C-BE32-E72D297353CC}">
              <c16:uniqueId val="{00000001-2755-4A5A-AA79-4026F3D6BC91}"/>
            </c:ext>
          </c:extLst>
        </c:ser>
        <c:ser>
          <c:idx val="2"/>
          <c:order val="2"/>
          <c:tx>
            <c:strRef>
              <c:f>Sheet1!$D$1</c:f>
              <c:strCache>
                <c:ptCount val="1"/>
                <c:pt idx="0">
                  <c:v>Trial Verdict</c:v>
                </c:pt>
              </c:strCache>
            </c:strRef>
          </c:tx>
          <c:invertIfNegative val="0"/>
          <c:cat>
            <c:numRef>
              <c:f>Sheet1!$A$2:$A$11</c:f>
              <c:numCache>
                <c:formatCode>General</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Sheet1!$D$2:$D$11</c:f>
              <c:numCache>
                <c:formatCode>General</c:formatCode>
                <c:ptCount val="10"/>
                <c:pt idx="3">
                  <c:v>1</c:v>
                </c:pt>
              </c:numCache>
            </c:numRef>
          </c:val>
          <c:extLst>
            <c:ext xmlns:c16="http://schemas.microsoft.com/office/drawing/2014/chart" uri="{C3380CC4-5D6E-409C-BE32-E72D297353CC}">
              <c16:uniqueId val="{00000002-2755-4A5A-AA79-4026F3D6BC91}"/>
            </c:ext>
          </c:extLst>
        </c:ser>
        <c:ser>
          <c:idx val="3"/>
          <c:order val="3"/>
          <c:tx>
            <c:strRef>
              <c:f>Sheet1!$E$1</c:f>
              <c:strCache>
                <c:ptCount val="1"/>
                <c:pt idx="0">
                  <c:v>Continuing</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Sheet1!$A$2:$A$11</c:f>
              <c:numCache>
                <c:formatCode>General</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Sheet1!$E$2:$E$11</c:f>
              <c:numCache>
                <c:formatCode>General</c:formatCode>
                <c:ptCount val="10"/>
                <c:pt idx="0">
                  <c:v>1</c:v>
                </c:pt>
                <c:pt idx="1">
                  <c:v>1</c:v>
                </c:pt>
                <c:pt idx="2">
                  <c:v>2</c:v>
                </c:pt>
                <c:pt idx="3">
                  <c:v>3</c:v>
                </c:pt>
                <c:pt idx="4">
                  <c:v>7</c:v>
                </c:pt>
                <c:pt idx="5">
                  <c:v>8</c:v>
                </c:pt>
                <c:pt idx="6">
                  <c:v>21</c:v>
                </c:pt>
                <c:pt idx="7">
                  <c:v>29</c:v>
                </c:pt>
                <c:pt idx="8">
                  <c:v>60</c:v>
                </c:pt>
                <c:pt idx="9">
                  <c:v>90</c:v>
                </c:pt>
              </c:numCache>
            </c:numRef>
          </c:val>
          <c:extLst>
            <c:ext xmlns:c16="http://schemas.microsoft.com/office/drawing/2014/chart" uri="{C3380CC4-5D6E-409C-BE32-E72D297353CC}">
              <c16:uniqueId val="{00000003-2755-4A5A-AA79-4026F3D6BC91}"/>
            </c:ext>
          </c:extLst>
        </c:ser>
        <c:dLbls>
          <c:showLegendKey val="0"/>
          <c:showVal val="0"/>
          <c:showCatName val="0"/>
          <c:showSerName val="0"/>
          <c:showPercent val="0"/>
          <c:showBubbleSize val="0"/>
        </c:dLbls>
        <c:gapWidth val="150"/>
        <c:overlap val="100"/>
        <c:axId val="544838856"/>
        <c:axId val="544840424"/>
      </c:barChart>
      <c:catAx>
        <c:axId val="544838856"/>
        <c:scaling>
          <c:orientation val="minMax"/>
        </c:scaling>
        <c:delete val="0"/>
        <c:axPos val="b"/>
        <c:numFmt formatCode="General" sourceLinked="1"/>
        <c:majorTickMark val="out"/>
        <c:minorTickMark val="none"/>
        <c:tickLblPos val="nextTo"/>
        <c:crossAx val="544840424"/>
        <c:crosses val="autoZero"/>
        <c:auto val="1"/>
        <c:lblAlgn val="ctr"/>
        <c:lblOffset val="100"/>
        <c:noMultiLvlLbl val="0"/>
      </c:catAx>
      <c:valAx>
        <c:axId val="544840424"/>
        <c:scaling>
          <c:orientation val="minMax"/>
        </c:scaling>
        <c:delete val="0"/>
        <c:axPos val="l"/>
        <c:majorGridlines/>
        <c:numFmt formatCode="0%" sourceLinked="1"/>
        <c:majorTickMark val="out"/>
        <c:minorTickMark val="none"/>
        <c:tickLblPos val="nextTo"/>
        <c:crossAx val="544838856"/>
        <c:crosses val="autoZero"/>
        <c:crossBetween val="between"/>
      </c:valAx>
    </c:plotArea>
    <c:legend>
      <c:legendPos val="r"/>
      <c:overlay val="0"/>
    </c:legend>
    <c:plotVisOnly val="1"/>
    <c:dispBlanksAs val="gap"/>
    <c:showDLblsOverMax val="0"/>
  </c:chart>
  <c:externalData r:id="rId2">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CAA8AB8-A6E5-4F82-898A-C34EF301A0F2}"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n-US"/>
        </a:p>
      </dgm:t>
    </dgm:pt>
    <dgm:pt modelId="{3EEA913B-A213-481D-A713-248C8BB7BD12}">
      <dgm:prSet phldrT="[Text]" custT="1"/>
      <dgm:spPr>
        <a:xfrm rot="10800000">
          <a:off x="0" y="1183"/>
          <a:ext cx="6143625" cy="477297"/>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US" sz="900" baseline="0">
              <a:solidFill>
                <a:sysClr val="window" lastClr="FFFFFF"/>
              </a:solidFill>
              <a:latin typeface="Arial" panose="020B0604020202020204" pitchFamily="34" charset="0"/>
              <a:ea typeface="+mn-ea"/>
              <a:cs typeface="Arial" panose="020B0604020202020204" pitchFamily="34" charset="0"/>
            </a:rPr>
            <a:t>1933: Securities Act of 1933 (33 Act) signed into law-Section 22 gives state courts concurrent jurisdiction  over 33 Act suits</a:t>
          </a:r>
        </a:p>
      </dgm:t>
    </dgm:pt>
    <dgm:pt modelId="{DFFA8721-C29A-4836-8EA7-FB6844CBA6FE}" type="parTrans" cxnId="{F8E30C02-2197-4C0D-AC45-839BFE633C06}">
      <dgm:prSet/>
      <dgm:spPr/>
      <dgm:t>
        <a:bodyPr/>
        <a:lstStyle/>
        <a:p>
          <a:endParaRPr lang="en-US"/>
        </a:p>
      </dgm:t>
    </dgm:pt>
    <dgm:pt modelId="{CFF4EEDD-EAA7-40E1-A66C-22B638FC753F}" type="sibTrans" cxnId="{F8E30C02-2197-4C0D-AC45-839BFE633C06}">
      <dgm:prSet/>
      <dgm:spPr/>
      <dgm:t>
        <a:bodyPr/>
        <a:lstStyle/>
        <a:p>
          <a:endParaRPr lang="en-US"/>
        </a:p>
      </dgm:t>
    </dgm:pt>
    <dgm:pt modelId="{2769ED09-B302-45EA-AEA2-97D61560421F}">
      <dgm:prSet phldrT="[Text]" custT="1"/>
      <dgm:spPr>
        <a:xfrm rot="10800000">
          <a:off x="0" y="473826"/>
          <a:ext cx="6143625" cy="477297"/>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US" sz="900" baseline="0">
              <a:solidFill>
                <a:sysClr val="window" lastClr="FFFFFF"/>
              </a:solidFill>
              <a:latin typeface="Arial" panose="020B0604020202020204" pitchFamily="34" charset="0"/>
              <a:ea typeface="+mn-ea"/>
              <a:cs typeface="Arial" panose="020B0604020202020204" pitchFamily="34" charset="0"/>
            </a:rPr>
            <a:t>December 1995: Private Securitites Litigation Reform Act (PSLRA) - Imposes restrictions on plaintiffs' abilities to file shareholder class action suits in federal courts </a:t>
          </a:r>
        </a:p>
      </dgm:t>
    </dgm:pt>
    <dgm:pt modelId="{DA736F93-56AE-4196-98ED-134078DA4AAE}" type="parTrans" cxnId="{D7495805-4D22-4892-91BD-1095FCD6FDF5}">
      <dgm:prSet/>
      <dgm:spPr/>
      <dgm:t>
        <a:bodyPr/>
        <a:lstStyle/>
        <a:p>
          <a:endParaRPr lang="en-US"/>
        </a:p>
      </dgm:t>
    </dgm:pt>
    <dgm:pt modelId="{9744110D-A45E-46BD-85F4-7A30846B64E4}" type="sibTrans" cxnId="{D7495805-4D22-4892-91BD-1095FCD6FDF5}">
      <dgm:prSet/>
      <dgm:spPr/>
      <dgm:t>
        <a:bodyPr/>
        <a:lstStyle/>
        <a:p>
          <a:endParaRPr lang="en-US"/>
        </a:p>
      </dgm:t>
    </dgm:pt>
    <dgm:pt modelId="{F4115E18-90E6-4746-80A3-CF49EEBE882E}">
      <dgm:prSet phldrT="[Text]" custT="1"/>
      <dgm:spPr>
        <a:xfrm rot="10800000">
          <a:off x="0" y="946468"/>
          <a:ext cx="6143625" cy="477297"/>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US" sz="900" baseline="0">
              <a:solidFill>
                <a:sysClr val="window" lastClr="FFFFFF"/>
              </a:solidFill>
              <a:latin typeface="Arial" panose="020B0604020202020204" pitchFamily="34" charset="0"/>
              <a:ea typeface="+mn-ea"/>
              <a:cs typeface="Arial" panose="020B0604020202020204" pitchFamily="34" charset="0"/>
            </a:rPr>
            <a:t>1996-1998: Plaintiffs bring securities cases in state courts in an attempt to circumvent PSLRA</a:t>
          </a:r>
        </a:p>
      </dgm:t>
    </dgm:pt>
    <dgm:pt modelId="{4423799D-74C7-4679-B5CC-255C4D0DC13C}" type="parTrans" cxnId="{FD442C98-4506-4151-85F3-81F5674E5AB7}">
      <dgm:prSet/>
      <dgm:spPr/>
      <dgm:t>
        <a:bodyPr/>
        <a:lstStyle/>
        <a:p>
          <a:endParaRPr lang="en-US"/>
        </a:p>
      </dgm:t>
    </dgm:pt>
    <dgm:pt modelId="{504B568F-3459-4037-BEC7-12C373E688F6}" type="sibTrans" cxnId="{FD442C98-4506-4151-85F3-81F5674E5AB7}">
      <dgm:prSet/>
      <dgm:spPr/>
      <dgm:t>
        <a:bodyPr/>
        <a:lstStyle/>
        <a:p>
          <a:endParaRPr lang="en-US"/>
        </a:p>
      </dgm:t>
    </dgm:pt>
    <dgm:pt modelId="{AE0CC8AA-41E0-40DB-8313-2256A06192B4}">
      <dgm:prSet phldrT="[Text]" custT="1"/>
      <dgm:spPr>
        <a:xfrm rot="10800000">
          <a:off x="0" y="1419111"/>
          <a:ext cx="6143625" cy="477297"/>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US" sz="900" baseline="0">
              <a:solidFill>
                <a:sysClr val="window" lastClr="FFFFFF"/>
              </a:solidFill>
              <a:latin typeface="Arial" panose="020B0604020202020204" pitchFamily="34" charset="0"/>
              <a:ea typeface="+mn-ea"/>
              <a:cs typeface="Arial" panose="020B0604020202020204" pitchFamily="34" charset="0"/>
            </a:rPr>
            <a:t>1998: Securities Litigation Uniform Standards Act (SLUSA) - Requires securities suits to be brought in federal court</a:t>
          </a:r>
        </a:p>
      </dgm:t>
    </dgm:pt>
    <dgm:pt modelId="{FFFBBC6A-BAAA-4042-A541-1A0D00BAA55B}" type="parTrans" cxnId="{3C433C0C-A888-4419-8E1F-ED71AEDE27F2}">
      <dgm:prSet/>
      <dgm:spPr/>
      <dgm:t>
        <a:bodyPr/>
        <a:lstStyle/>
        <a:p>
          <a:endParaRPr lang="en-US"/>
        </a:p>
      </dgm:t>
    </dgm:pt>
    <dgm:pt modelId="{7E5220E6-CA49-4EB2-8BC4-56DA3B4DD6FF}" type="sibTrans" cxnId="{3C433C0C-A888-4419-8E1F-ED71AEDE27F2}">
      <dgm:prSet/>
      <dgm:spPr/>
      <dgm:t>
        <a:bodyPr/>
        <a:lstStyle/>
        <a:p>
          <a:endParaRPr lang="en-US"/>
        </a:p>
      </dgm:t>
    </dgm:pt>
    <dgm:pt modelId="{768EE4F9-DA3D-4056-BA9D-FC2C17CAA956}">
      <dgm:prSet phldrT="[Text]" custT="1"/>
      <dgm:spPr>
        <a:xfrm rot="10800000">
          <a:off x="0" y="1891754"/>
          <a:ext cx="6143625" cy="477297"/>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US" sz="900" baseline="0">
              <a:solidFill>
                <a:sysClr val="window" lastClr="FFFFFF"/>
              </a:solidFill>
              <a:latin typeface="Arial" panose="020B0604020202020204" pitchFamily="34" charset="0"/>
              <a:ea typeface="+mn-ea"/>
              <a:cs typeface="Arial" panose="020B0604020202020204" pitchFamily="34" charset="0"/>
            </a:rPr>
            <a:t>2008: Ninth Circuit (Northern CA) rules in </a:t>
          </a:r>
          <a:r>
            <a:rPr lang="en-US" sz="900" i="1" baseline="0">
              <a:solidFill>
                <a:sysClr val="window" lastClr="FFFFFF"/>
              </a:solidFill>
              <a:latin typeface="Arial" panose="020B0604020202020204" pitchFamily="34" charset="0"/>
              <a:ea typeface="+mn-ea"/>
              <a:cs typeface="Arial" panose="020B0604020202020204" pitchFamily="34" charset="0"/>
            </a:rPr>
            <a:t>Luther v. Countrywide Financial Corporation </a:t>
          </a:r>
          <a:r>
            <a:rPr lang="en-US" sz="900" baseline="0">
              <a:solidFill>
                <a:sysClr val="window" lastClr="FFFFFF"/>
              </a:solidFill>
              <a:latin typeface="Arial" panose="020B0604020202020204" pitchFamily="34" charset="0"/>
              <a:ea typeface="+mn-ea"/>
              <a:cs typeface="Arial" panose="020B0604020202020204" pitchFamily="34" charset="0"/>
            </a:rPr>
            <a:t>that SLUSA does not preempt the 33 Act's state court concurrent jurisdiction for suits alleging 33 Act violations</a:t>
          </a:r>
        </a:p>
      </dgm:t>
    </dgm:pt>
    <dgm:pt modelId="{BC368573-7C05-420A-9867-50D4C45D17B2}" type="parTrans" cxnId="{F28F5D7F-7C8D-4381-96D5-13FF90488538}">
      <dgm:prSet/>
      <dgm:spPr/>
      <dgm:t>
        <a:bodyPr/>
        <a:lstStyle/>
        <a:p>
          <a:endParaRPr lang="en-US"/>
        </a:p>
      </dgm:t>
    </dgm:pt>
    <dgm:pt modelId="{0671A370-F332-4E3A-A841-AA69CD9AC801}" type="sibTrans" cxnId="{F28F5D7F-7C8D-4381-96D5-13FF90488538}">
      <dgm:prSet/>
      <dgm:spPr/>
      <dgm:t>
        <a:bodyPr/>
        <a:lstStyle/>
        <a:p>
          <a:endParaRPr lang="en-US"/>
        </a:p>
      </dgm:t>
    </dgm:pt>
    <dgm:pt modelId="{E5F12B93-0552-459E-86EC-0A1335BC38C4}">
      <dgm:prSet phldrT="[Text]" custT="1"/>
      <dgm:spPr>
        <a:xfrm rot="10800000">
          <a:off x="0" y="2364396"/>
          <a:ext cx="6143625" cy="477297"/>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US" sz="900" baseline="0">
              <a:solidFill>
                <a:sysClr val="window" lastClr="FFFFFF"/>
              </a:solidFill>
              <a:latin typeface="Arial" panose="020B0604020202020204" pitchFamily="34" charset="0"/>
              <a:ea typeface="+mn-ea"/>
              <a:cs typeface="Arial" panose="020B0604020202020204" pitchFamily="34" charset="0"/>
            </a:rPr>
            <a:t>2008-2017:  Other Circuits (like the Seventh and Second) disagreed with the Ninth Circuit decision-California IPO suits are filed in CA state courts at an increasing pace</a:t>
          </a:r>
        </a:p>
      </dgm:t>
    </dgm:pt>
    <dgm:pt modelId="{A0D41998-32B3-4D30-B830-B071695BF806}" type="parTrans" cxnId="{E92A3ED1-86BB-4C85-B288-331F65913FF2}">
      <dgm:prSet/>
      <dgm:spPr/>
      <dgm:t>
        <a:bodyPr/>
        <a:lstStyle/>
        <a:p>
          <a:endParaRPr lang="en-US"/>
        </a:p>
      </dgm:t>
    </dgm:pt>
    <dgm:pt modelId="{410AED4D-717D-4C35-A376-32589402EB1F}" type="sibTrans" cxnId="{E92A3ED1-86BB-4C85-B288-331F65913FF2}">
      <dgm:prSet/>
      <dgm:spPr/>
      <dgm:t>
        <a:bodyPr/>
        <a:lstStyle/>
        <a:p>
          <a:endParaRPr lang="en-US"/>
        </a:p>
      </dgm:t>
    </dgm:pt>
    <dgm:pt modelId="{619B283D-3042-4D77-A5BD-0B7CF122DCD0}">
      <dgm:prSet phldrT="[Text]" custT="1"/>
      <dgm:spPr>
        <a:xfrm rot="10800000">
          <a:off x="0" y="2837039"/>
          <a:ext cx="6143625" cy="477297"/>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US" sz="900" baseline="0">
              <a:solidFill>
                <a:sysClr val="window" lastClr="FFFFFF"/>
              </a:solidFill>
              <a:latin typeface="Arial" panose="020B0604020202020204" pitchFamily="34" charset="0"/>
              <a:ea typeface="+mn-ea"/>
              <a:cs typeface="Arial" panose="020B0604020202020204" pitchFamily="34" charset="0"/>
            </a:rPr>
            <a:t>March 2018: US Supreme Court rules in </a:t>
          </a:r>
          <a:r>
            <a:rPr lang="en-US" sz="900" i="1" baseline="0">
              <a:solidFill>
                <a:sysClr val="window" lastClr="FFFFFF"/>
              </a:solidFill>
              <a:latin typeface="Arial" panose="020B0604020202020204" pitchFamily="34" charset="0"/>
              <a:ea typeface="+mn-ea"/>
              <a:cs typeface="Arial" panose="020B0604020202020204" pitchFamily="34" charset="0"/>
            </a:rPr>
            <a:t>Cyan, Inc. v. Beaver County Employees  Retirement Fund  </a:t>
          </a:r>
          <a:r>
            <a:rPr lang="en-US" sz="900" baseline="0">
              <a:solidFill>
                <a:sysClr val="window" lastClr="FFFFFF"/>
              </a:solidFill>
              <a:latin typeface="Arial" panose="020B0604020202020204" pitchFamily="34" charset="0"/>
              <a:ea typeface="+mn-ea"/>
              <a:cs typeface="Arial" panose="020B0604020202020204" pitchFamily="34" charset="0"/>
            </a:rPr>
            <a:t>that state courts retain concurrent jurisdiction over suits alleging 33 Act violations</a:t>
          </a:r>
        </a:p>
      </dgm:t>
    </dgm:pt>
    <dgm:pt modelId="{86D275DA-63E7-41F1-AD18-DB9114A49B12}" type="parTrans" cxnId="{DBF0B2B0-63F8-4C0E-8B8E-78544CEC20DD}">
      <dgm:prSet/>
      <dgm:spPr/>
      <dgm:t>
        <a:bodyPr/>
        <a:lstStyle/>
        <a:p>
          <a:endParaRPr lang="en-US"/>
        </a:p>
      </dgm:t>
    </dgm:pt>
    <dgm:pt modelId="{C5F1CFA3-AD71-4B3D-BD61-F5D8105C0D3B}" type="sibTrans" cxnId="{DBF0B2B0-63F8-4C0E-8B8E-78544CEC20DD}">
      <dgm:prSet/>
      <dgm:spPr/>
      <dgm:t>
        <a:bodyPr/>
        <a:lstStyle/>
        <a:p>
          <a:endParaRPr lang="en-US"/>
        </a:p>
      </dgm:t>
    </dgm:pt>
    <dgm:pt modelId="{67A1BCD6-1FD4-4BE7-A76E-33404DEFA1F8}">
      <dgm:prSet phldrT="[Text]" custT="1"/>
      <dgm:spPr>
        <a:xfrm rot="10800000">
          <a:off x="0" y="3309682"/>
          <a:ext cx="6143625" cy="477297"/>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US" sz="900" baseline="0">
              <a:solidFill>
                <a:sysClr val="window" lastClr="FFFFFF"/>
              </a:solidFill>
              <a:latin typeface="Arial" panose="020B0604020202020204" pitchFamily="34" charset="0"/>
              <a:ea typeface="+mn-ea"/>
              <a:cs typeface="Arial" panose="020B0604020202020204" pitchFamily="34" charset="0"/>
            </a:rPr>
            <a:t>March 2020: Delaware Supreme Court rules in </a:t>
          </a:r>
          <a:r>
            <a:rPr lang="en-US" sz="900" i="1" baseline="0">
              <a:solidFill>
                <a:sysClr val="window" lastClr="FFFFFF"/>
              </a:solidFill>
              <a:latin typeface="Arial" panose="020B0604020202020204" pitchFamily="34" charset="0"/>
              <a:ea typeface="+mn-ea"/>
              <a:cs typeface="Arial" panose="020B0604020202020204" pitchFamily="34" charset="0"/>
            </a:rPr>
            <a:t>Salzberg v. Sciabacchuchi</a:t>
          </a:r>
          <a:r>
            <a:rPr lang="en-US" sz="900" baseline="0">
              <a:solidFill>
                <a:sysClr val="window" lastClr="FFFFFF"/>
              </a:solidFill>
              <a:latin typeface="Arial" panose="020B0604020202020204" pitchFamily="34" charset="0"/>
              <a:ea typeface="+mn-ea"/>
              <a:cs typeface="Arial" panose="020B0604020202020204" pitchFamily="34" charset="0"/>
            </a:rPr>
            <a:t>,  that federal forum provisions are facially valid</a:t>
          </a:r>
        </a:p>
      </dgm:t>
    </dgm:pt>
    <dgm:pt modelId="{13EEE195-D43C-49FA-847A-F5F1511A9228}" type="sibTrans" cxnId="{037B3810-9B59-4B46-8F77-0047E00A4434}">
      <dgm:prSet/>
      <dgm:spPr/>
      <dgm:t>
        <a:bodyPr/>
        <a:lstStyle/>
        <a:p>
          <a:endParaRPr lang="en-US"/>
        </a:p>
      </dgm:t>
    </dgm:pt>
    <dgm:pt modelId="{10F0442A-83ED-4309-B8D7-97E485849585}" type="parTrans" cxnId="{037B3810-9B59-4B46-8F77-0047E00A4434}">
      <dgm:prSet/>
      <dgm:spPr/>
      <dgm:t>
        <a:bodyPr/>
        <a:lstStyle/>
        <a:p>
          <a:endParaRPr lang="en-US"/>
        </a:p>
      </dgm:t>
    </dgm:pt>
    <dgm:pt modelId="{4FC0BB83-4568-4993-8D9F-BACDE932E54D}">
      <dgm:prSet custT="1"/>
      <dgm:spPr>
        <a:xfrm>
          <a:off x="0" y="3783508"/>
          <a:ext cx="6143625" cy="310336"/>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US" sz="900" baseline="0">
              <a:solidFill>
                <a:sysClr val="window" lastClr="FFFFFF"/>
              </a:solidFill>
              <a:latin typeface="Arial" panose="020B0604020202020204" pitchFamily="34" charset="0"/>
              <a:ea typeface="+mn-ea"/>
              <a:cs typeface="Arial" panose="020B0604020202020204" pitchFamily="34" charset="0"/>
            </a:rPr>
            <a:t>September 2020: California state judge dismisses Wong v. Restoration Robotics Inc. et al IPO suit due to the defendant's adoption of a federal forum provision for securities litigation. Similar decisions follow in Uber and Dropbox. </a:t>
          </a:r>
        </a:p>
      </dgm:t>
    </dgm:pt>
    <dgm:pt modelId="{852D9DA6-1E9B-4A0E-AEE4-EC3610208115}" type="sibTrans" cxnId="{6B8CB417-ECBA-4FB4-9C2F-B64A3CD8D91E}">
      <dgm:prSet/>
      <dgm:spPr/>
      <dgm:t>
        <a:bodyPr/>
        <a:lstStyle/>
        <a:p>
          <a:endParaRPr lang="en-US"/>
        </a:p>
      </dgm:t>
    </dgm:pt>
    <dgm:pt modelId="{111EFED4-06B9-4724-994E-17A1693A4B5F}" type="parTrans" cxnId="{6B8CB417-ECBA-4FB4-9C2F-B64A3CD8D91E}">
      <dgm:prSet/>
      <dgm:spPr/>
      <dgm:t>
        <a:bodyPr/>
        <a:lstStyle/>
        <a:p>
          <a:endParaRPr lang="en-US"/>
        </a:p>
      </dgm:t>
    </dgm:pt>
    <dgm:pt modelId="{C4CFE872-4CCC-4120-BC19-0E4C95409D86}" type="pres">
      <dgm:prSet presAssocID="{CCAA8AB8-A6E5-4F82-898A-C34EF301A0F2}" presName="Name0" presStyleCnt="0">
        <dgm:presLayoutVars>
          <dgm:dir/>
          <dgm:animLvl val="lvl"/>
          <dgm:resizeHandles val="exact"/>
        </dgm:presLayoutVars>
      </dgm:prSet>
      <dgm:spPr/>
    </dgm:pt>
    <dgm:pt modelId="{FCC9AC84-EB07-42E6-AC16-C2EA7F59FDAE}" type="pres">
      <dgm:prSet presAssocID="{4FC0BB83-4568-4993-8D9F-BACDE932E54D}" presName="boxAndChildren" presStyleCnt="0"/>
      <dgm:spPr/>
    </dgm:pt>
    <dgm:pt modelId="{2BE6432C-B6F4-4722-8839-C5C397A2373B}" type="pres">
      <dgm:prSet presAssocID="{4FC0BB83-4568-4993-8D9F-BACDE932E54D}" presName="parentTextBox" presStyleLbl="node1" presStyleIdx="0" presStyleCnt="9" custAng="0" custLinFactNeighborX="327" custLinFactNeighborY="426"/>
      <dgm:spPr>
        <a:prstGeom prst="rect">
          <a:avLst/>
        </a:prstGeom>
      </dgm:spPr>
    </dgm:pt>
    <dgm:pt modelId="{E25821EF-A344-4709-9AEF-D226BFA58024}" type="pres">
      <dgm:prSet presAssocID="{13EEE195-D43C-49FA-847A-F5F1511A9228}" presName="sp" presStyleCnt="0"/>
      <dgm:spPr/>
    </dgm:pt>
    <dgm:pt modelId="{F9C4A818-29EA-4F81-8E77-998DAC64251B}" type="pres">
      <dgm:prSet presAssocID="{67A1BCD6-1FD4-4BE7-A76E-33404DEFA1F8}" presName="arrowAndChildren" presStyleCnt="0"/>
      <dgm:spPr/>
    </dgm:pt>
    <dgm:pt modelId="{61EEA9C5-30A5-4574-8093-948537B1F591}" type="pres">
      <dgm:prSet presAssocID="{67A1BCD6-1FD4-4BE7-A76E-33404DEFA1F8}" presName="parentTextArrow" presStyleLbl="node1" presStyleIdx="1" presStyleCnt="9" custLinFactNeighborX="96"/>
      <dgm:spPr>
        <a:prstGeom prst="upArrowCallout">
          <a:avLst/>
        </a:prstGeom>
      </dgm:spPr>
    </dgm:pt>
    <dgm:pt modelId="{14467B0E-AFE3-46AD-A816-8FC32DC81DA9}" type="pres">
      <dgm:prSet presAssocID="{C5F1CFA3-AD71-4B3D-BD61-F5D8105C0D3B}" presName="sp" presStyleCnt="0"/>
      <dgm:spPr/>
    </dgm:pt>
    <dgm:pt modelId="{66966C4B-FE78-4A37-8597-10938BBB1112}" type="pres">
      <dgm:prSet presAssocID="{619B283D-3042-4D77-A5BD-0B7CF122DCD0}" presName="arrowAndChildren" presStyleCnt="0"/>
      <dgm:spPr/>
    </dgm:pt>
    <dgm:pt modelId="{4A45DAD3-F530-4240-8E3F-C2E80D9E0F44}" type="pres">
      <dgm:prSet presAssocID="{619B283D-3042-4D77-A5BD-0B7CF122DCD0}" presName="parentTextArrow" presStyleLbl="node1" presStyleIdx="2" presStyleCnt="9" custLinFactNeighborX="96"/>
      <dgm:spPr>
        <a:prstGeom prst="upArrowCallout">
          <a:avLst/>
        </a:prstGeom>
      </dgm:spPr>
    </dgm:pt>
    <dgm:pt modelId="{6FE7EEA9-A99F-40FA-9857-3A471E2E4539}" type="pres">
      <dgm:prSet presAssocID="{410AED4D-717D-4C35-A376-32589402EB1F}" presName="sp" presStyleCnt="0"/>
      <dgm:spPr/>
    </dgm:pt>
    <dgm:pt modelId="{C0A9EE6F-3A0F-41AA-9483-63163865DD2A}" type="pres">
      <dgm:prSet presAssocID="{E5F12B93-0552-459E-86EC-0A1335BC38C4}" presName="arrowAndChildren" presStyleCnt="0"/>
      <dgm:spPr/>
    </dgm:pt>
    <dgm:pt modelId="{720F7939-61E6-4BE5-8033-C3F76CAB1E2A}" type="pres">
      <dgm:prSet presAssocID="{E5F12B93-0552-459E-86EC-0A1335BC38C4}" presName="parentTextArrow" presStyleLbl="node1" presStyleIdx="3" presStyleCnt="9"/>
      <dgm:spPr>
        <a:prstGeom prst="upArrowCallout">
          <a:avLst/>
        </a:prstGeom>
      </dgm:spPr>
    </dgm:pt>
    <dgm:pt modelId="{84090092-7A71-4C47-8040-4FD430079B38}" type="pres">
      <dgm:prSet presAssocID="{0671A370-F332-4E3A-A841-AA69CD9AC801}" presName="sp" presStyleCnt="0"/>
      <dgm:spPr/>
    </dgm:pt>
    <dgm:pt modelId="{648A9257-F65D-4D18-B4F1-0000D3524358}" type="pres">
      <dgm:prSet presAssocID="{768EE4F9-DA3D-4056-BA9D-FC2C17CAA956}" presName="arrowAndChildren" presStyleCnt="0"/>
      <dgm:spPr/>
    </dgm:pt>
    <dgm:pt modelId="{264D3F19-751D-477A-802B-D87F2119EE10}" type="pres">
      <dgm:prSet presAssocID="{768EE4F9-DA3D-4056-BA9D-FC2C17CAA956}" presName="parentTextArrow" presStyleLbl="node1" presStyleIdx="4" presStyleCnt="9"/>
      <dgm:spPr>
        <a:prstGeom prst="upArrowCallout">
          <a:avLst/>
        </a:prstGeom>
      </dgm:spPr>
    </dgm:pt>
    <dgm:pt modelId="{844F4E07-703D-4550-B715-443FAC639E1C}" type="pres">
      <dgm:prSet presAssocID="{7E5220E6-CA49-4EB2-8BC4-56DA3B4DD6FF}" presName="sp" presStyleCnt="0"/>
      <dgm:spPr/>
    </dgm:pt>
    <dgm:pt modelId="{FEE9AF43-7094-4236-BBB1-22741B098CA9}" type="pres">
      <dgm:prSet presAssocID="{AE0CC8AA-41E0-40DB-8313-2256A06192B4}" presName="arrowAndChildren" presStyleCnt="0"/>
      <dgm:spPr/>
    </dgm:pt>
    <dgm:pt modelId="{42FCE871-1CDC-41D8-BDD3-D88DCCC0185F}" type="pres">
      <dgm:prSet presAssocID="{AE0CC8AA-41E0-40DB-8313-2256A06192B4}" presName="parentTextArrow" presStyleLbl="node1" presStyleIdx="5" presStyleCnt="9"/>
      <dgm:spPr>
        <a:prstGeom prst="upArrowCallout">
          <a:avLst/>
        </a:prstGeom>
      </dgm:spPr>
    </dgm:pt>
    <dgm:pt modelId="{1DA9810B-38AA-4587-92A5-3D4CE46C74B6}" type="pres">
      <dgm:prSet presAssocID="{504B568F-3459-4037-BEC7-12C373E688F6}" presName="sp" presStyleCnt="0"/>
      <dgm:spPr/>
    </dgm:pt>
    <dgm:pt modelId="{D85FD497-A134-48D9-834A-F6E244CB2714}" type="pres">
      <dgm:prSet presAssocID="{F4115E18-90E6-4746-80A3-CF49EEBE882E}" presName="arrowAndChildren" presStyleCnt="0"/>
      <dgm:spPr/>
    </dgm:pt>
    <dgm:pt modelId="{9249ACF6-F048-412B-A31F-084DC11FBCD9}" type="pres">
      <dgm:prSet presAssocID="{F4115E18-90E6-4746-80A3-CF49EEBE882E}" presName="parentTextArrow" presStyleLbl="node1" presStyleIdx="6" presStyleCnt="9"/>
      <dgm:spPr>
        <a:prstGeom prst="upArrowCallout">
          <a:avLst/>
        </a:prstGeom>
      </dgm:spPr>
    </dgm:pt>
    <dgm:pt modelId="{5E867C06-38E3-4B36-BBAC-0379DD485B8C}" type="pres">
      <dgm:prSet presAssocID="{9744110D-A45E-46BD-85F4-7A30846B64E4}" presName="sp" presStyleCnt="0"/>
      <dgm:spPr/>
    </dgm:pt>
    <dgm:pt modelId="{9051EF62-5971-425E-93F8-D32D66BA2F49}" type="pres">
      <dgm:prSet presAssocID="{2769ED09-B302-45EA-AEA2-97D61560421F}" presName="arrowAndChildren" presStyleCnt="0"/>
      <dgm:spPr/>
    </dgm:pt>
    <dgm:pt modelId="{0CEA4C88-6BA7-406A-97C3-134155384BF3}" type="pres">
      <dgm:prSet presAssocID="{2769ED09-B302-45EA-AEA2-97D61560421F}" presName="parentTextArrow" presStyleLbl="node1" presStyleIdx="7" presStyleCnt="9"/>
      <dgm:spPr>
        <a:prstGeom prst="upArrowCallout">
          <a:avLst/>
        </a:prstGeom>
      </dgm:spPr>
    </dgm:pt>
    <dgm:pt modelId="{AEB5AD12-4A28-4347-BA84-85F0207E7DBB}" type="pres">
      <dgm:prSet presAssocID="{CFF4EEDD-EAA7-40E1-A66C-22B638FC753F}" presName="sp" presStyleCnt="0"/>
      <dgm:spPr/>
    </dgm:pt>
    <dgm:pt modelId="{D14BF8FB-B4A0-4E47-9E7F-61845A292ED2}" type="pres">
      <dgm:prSet presAssocID="{3EEA913B-A213-481D-A713-248C8BB7BD12}" presName="arrowAndChildren" presStyleCnt="0"/>
      <dgm:spPr/>
    </dgm:pt>
    <dgm:pt modelId="{74CE471C-5C67-4115-90FB-16C0E8B4431D}" type="pres">
      <dgm:prSet presAssocID="{3EEA913B-A213-481D-A713-248C8BB7BD12}" presName="parentTextArrow" presStyleLbl="node1" presStyleIdx="8" presStyleCnt="9"/>
      <dgm:spPr>
        <a:prstGeom prst="upArrowCallout">
          <a:avLst/>
        </a:prstGeom>
      </dgm:spPr>
    </dgm:pt>
  </dgm:ptLst>
  <dgm:cxnLst>
    <dgm:cxn modelId="{F8E30C02-2197-4C0D-AC45-839BFE633C06}" srcId="{CCAA8AB8-A6E5-4F82-898A-C34EF301A0F2}" destId="{3EEA913B-A213-481D-A713-248C8BB7BD12}" srcOrd="0" destOrd="0" parTransId="{DFFA8721-C29A-4836-8EA7-FB6844CBA6FE}" sibTransId="{CFF4EEDD-EAA7-40E1-A66C-22B638FC753F}"/>
    <dgm:cxn modelId="{D7495805-4D22-4892-91BD-1095FCD6FDF5}" srcId="{CCAA8AB8-A6E5-4F82-898A-C34EF301A0F2}" destId="{2769ED09-B302-45EA-AEA2-97D61560421F}" srcOrd="1" destOrd="0" parTransId="{DA736F93-56AE-4196-98ED-134078DA4AAE}" sibTransId="{9744110D-A45E-46BD-85F4-7A30846B64E4}"/>
    <dgm:cxn modelId="{FAE3D305-796E-49A2-92F4-9F4FD6948F9A}" type="presOf" srcId="{4FC0BB83-4568-4993-8D9F-BACDE932E54D}" destId="{2BE6432C-B6F4-4722-8839-C5C397A2373B}" srcOrd="0" destOrd="0" presId="urn:microsoft.com/office/officeart/2005/8/layout/process4"/>
    <dgm:cxn modelId="{3C433C0C-A888-4419-8E1F-ED71AEDE27F2}" srcId="{CCAA8AB8-A6E5-4F82-898A-C34EF301A0F2}" destId="{AE0CC8AA-41E0-40DB-8313-2256A06192B4}" srcOrd="3" destOrd="0" parTransId="{FFFBBC6A-BAAA-4042-A541-1A0D00BAA55B}" sibTransId="{7E5220E6-CA49-4EB2-8BC4-56DA3B4DD6FF}"/>
    <dgm:cxn modelId="{037B3810-9B59-4B46-8F77-0047E00A4434}" srcId="{CCAA8AB8-A6E5-4F82-898A-C34EF301A0F2}" destId="{67A1BCD6-1FD4-4BE7-A76E-33404DEFA1F8}" srcOrd="7" destOrd="0" parTransId="{10F0442A-83ED-4309-B8D7-97E485849585}" sibTransId="{13EEE195-D43C-49FA-847A-F5F1511A9228}"/>
    <dgm:cxn modelId="{6B8CB417-ECBA-4FB4-9C2F-B64A3CD8D91E}" srcId="{CCAA8AB8-A6E5-4F82-898A-C34EF301A0F2}" destId="{4FC0BB83-4568-4993-8D9F-BACDE932E54D}" srcOrd="8" destOrd="0" parTransId="{111EFED4-06B9-4724-994E-17A1693A4B5F}" sibTransId="{852D9DA6-1E9B-4A0E-AEE4-EC3610208115}"/>
    <dgm:cxn modelId="{D62B851B-7A2F-42BF-8A1F-FC43E39B06DC}" type="presOf" srcId="{67A1BCD6-1FD4-4BE7-A76E-33404DEFA1F8}" destId="{61EEA9C5-30A5-4574-8093-948537B1F591}" srcOrd="0" destOrd="0" presId="urn:microsoft.com/office/officeart/2005/8/layout/process4"/>
    <dgm:cxn modelId="{F4DEA61B-8885-400E-80B0-9A39005A8213}" type="presOf" srcId="{F4115E18-90E6-4746-80A3-CF49EEBE882E}" destId="{9249ACF6-F048-412B-A31F-084DC11FBCD9}" srcOrd="0" destOrd="0" presId="urn:microsoft.com/office/officeart/2005/8/layout/process4"/>
    <dgm:cxn modelId="{2D4C0724-EDD2-4ACA-8005-B71BBEAD86B1}" type="presOf" srcId="{768EE4F9-DA3D-4056-BA9D-FC2C17CAA956}" destId="{264D3F19-751D-477A-802B-D87F2119EE10}" srcOrd="0" destOrd="0" presId="urn:microsoft.com/office/officeart/2005/8/layout/process4"/>
    <dgm:cxn modelId="{A6A4102D-7FF5-4348-9B4C-DAB6D4BEC9B8}" type="presOf" srcId="{CCAA8AB8-A6E5-4F82-898A-C34EF301A0F2}" destId="{C4CFE872-4CCC-4120-BC19-0E4C95409D86}" srcOrd="0" destOrd="0" presId="urn:microsoft.com/office/officeart/2005/8/layout/process4"/>
    <dgm:cxn modelId="{BB8FA770-174A-492B-9AF3-667DB9822014}" type="presOf" srcId="{619B283D-3042-4D77-A5BD-0B7CF122DCD0}" destId="{4A45DAD3-F530-4240-8E3F-C2E80D9E0F44}" srcOrd="0" destOrd="0" presId="urn:microsoft.com/office/officeart/2005/8/layout/process4"/>
    <dgm:cxn modelId="{F28F5D7F-7C8D-4381-96D5-13FF90488538}" srcId="{CCAA8AB8-A6E5-4F82-898A-C34EF301A0F2}" destId="{768EE4F9-DA3D-4056-BA9D-FC2C17CAA956}" srcOrd="4" destOrd="0" parTransId="{BC368573-7C05-420A-9867-50D4C45D17B2}" sibTransId="{0671A370-F332-4E3A-A841-AA69CD9AC801}"/>
    <dgm:cxn modelId="{FD442C98-4506-4151-85F3-81F5674E5AB7}" srcId="{CCAA8AB8-A6E5-4F82-898A-C34EF301A0F2}" destId="{F4115E18-90E6-4746-80A3-CF49EEBE882E}" srcOrd="2" destOrd="0" parTransId="{4423799D-74C7-4679-B5CC-255C4D0DC13C}" sibTransId="{504B568F-3459-4037-BEC7-12C373E688F6}"/>
    <dgm:cxn modelId="{7232969E-9364-4327-BFDB-C231956F7358}" type="presOf" srcId="{AE0CC8AA-41E0-40DB-8313-2256A06192B4}" destId="{42FCE871-1CDC-41D8-BDD3-D88DCCC0185F}" srcOrd="0" destOrd="0" presId="urn:microsoft.com/office/officeart/2005/8/layout/process4"/>
    <dgm:cxn modelId="{DBF0B2B0-63F8-4C0E-8B8E-78544CEC20DD}" srcId="{CCAA8AB8-A6E5-4F82-898A-C34EF301A0F2}" destId="{619B283D-3042-4D77-A5BD-0B7CF122DCD0}" srcOrd="6" destOrd="0" parTransId="{86D275DA-63E7-41F1-AD18-DB9114A49B12}" sibTransId="{C5F1CFA3-AD71-4B3D-BD61-F5D8105C0D3B}"/>
    <dgm:cxn modelId="{CDB6DCB9-7206-4962-854E-7D0196C3CAEF}" type="presOf" srcId="{3EEA913B-A213-481D-A713-248C8BB7BD12}" destId="{74CE471C-5C67-4115-90FB-16C0E8B4431D}" srcOrd="0" destOrd="0" presId="urn:microsoft.com/office/officeart/2005/8/layout/process4"/>
    <dgm:cxn modelId="{060F96C4-2573-400D-A0A2-EAE8610601A3}" type="presOf" srcId="{2769ED09-B302-45EA-AEA2-97D61560421F}" destId="{0CEA4C88-6BA7-406A-97C3-134155384BF3}" srcOrd="0" destOrd="0" presId="urn:microsoft.com/office/officeart/2005/8/layout/process4"/>
    <dgm:cxn modelId="{E92A3ED1-86BB-4C85-B288-331F65913FF2}" srcId="{CCAA8AB8-A6E5-4F82-898A-C34EF301A0F2}" destId="{E5F12B93-0552-459E-86EC-0A1335BC38C4}" srcOrd="5" destOrd="0" parTransId="{A0D41998-32B3-4D30-B830-B071695BF806}" sibTransId="{410AED4D-717D-4C35-A376-32589402EB1F}"/>
    <dgm:cxn modelId="{6B99BED5-A753-4163-944D-254664B56F52}" type="presOf" srcId="{E5F12B93-0552-459E-86EC-0A1335BC38C4}" destId="{720F7939-61E6-4BE5-8033-C3F76CAB1E2A}" srcOrd="0" destOrd="0" presId="urn:microsoft.com/office/officeart/2005/8/layout/process4"/>
    <dgm:cxn modelId="{F9D2C510-658C-41A6-97FF-806257065521}" type="presParOf" srcId="{C4CFE872-4CCC-4120-BC19-0E4C95409D86}" destId="{FCC9AC84-EB07-42E6-AC16-C2EA7F59FDAE}" srcOrd="0" destOrd="0" presId="urn:microsoft.com/office/officeart/2005/8/layout/process4"/>
    <dgm:cxn modelId="{E7FADBA8-34AB-4635-9D58-2D4EBB36E0D7}" type="presParOf" srcId="{FCC9AC84-EB07-42E6-AC16-C2EA7F59FDAE}" destId="{2BE6432C-B6F4-4722-8839-C5C397A2373B}" srcOrd="0" destOrd="0" presId="urn:microsoft.com/office/officeart/2005/8/layout/process4"/>
    <dgm:cxn modelId="{884DCA35-B52F-4487-9C5C-88AEE41C66E7}" type="presParOf" srcId="{C4CFE872-4CCC-4120-BC19-0E4C95409D86}" destId="{E25821EF-A344-4709-9AEF-D226BFA58024}" srcOrd="1" destOrd="0" presId="urn:microsoft.com/office/officeart/2005/8/layout/process4"/>
    <dgm:cxn modelId="{F07BA3B7-B408-473E-B98B-C865F3232341}" type="presParOf" srcId="{C4CFE872-4CCC-4120-BC19-0E4C95409D86}" destId="{F9C4A818-29EA-4F81-8E77-998DAC64251B}" srcOrd="2" destOrd="0" presId="urn:microsoft.com/office/officeart/2005/8/layout/process4"/>
    <dgm:cxn modelId="{3AD01F88-D1EA-4564-9D52-BF23DF2D27C7}" type="presParOf" srcId="{F9C4A818-29EA-4F81-8E77-998DAC64251B}" destId="{61EEA9C5-30A5-4574-8093-948537B1F591}" srcOrd="0" destOrd="0" presId="urn:microsoft.com/office/officeart/2005/8/layout/process4"/>
    <dgm:cxn modelId="{7D73D9AE-F967-4D2A-B49F-3D897911E32E}" type="presParOf" srcId="{C4CFE872-4CCC-4120-BC19-0E4C95409D86}" destId="{14467B0E-AFE3-46AD-A816-8FC32DC81DA9}" srcOrd="3" destOrd="0" presId="urn:microsoft.com/office/officeart/2005/8/layout/process4"/>
    <dgm:cxn modelId="{14652AEF-8AAC-4457-948B-2D7FFF645BF0}" type="presParOf" srcId="{C4CFE872-4CCC-4120-BC19-0E4C95409D86}" destId="{66966C4B-FE78-4A37-8597-10938BBB1112}" srcOrd="4" destOrd="0" presId="urn:microsoft.com/office/officeart/2005/8/layout/process4"/>
    <dgm:cxn modelId="{DF58E5F1-DEBE-4B55-AA07-8109CE674B77}" type="presParOf" srcId="{66966C4B-FE78-4A37-8597-10938BBB1112}" destId="{4A45DAD3-F530-4240-8E3F-C2E80D9E0F44}" srcOrd="0" destOrd="0" presId="urn:microsoft.com/office/officeart/2005/8/layout/process4"/>
    <dgm:cxn modelId="{2C607683-23AC-420C-A00E-91C6B8B7D26F}" type="presParOf" srcId="{C4CFE872-4CCC-4120-BC19-0E4C95409D86}" destId="{6FE7EEA9-A99F-40FA-9857-3A471E2E4539}" srcOrd="5" destOrd="0" presId="urn:microsoft.com/office/officeart/2005/8/layout/process4"/>
    <dgm:cxn modelId="{9BC3E85D-B2CF-4620-94C7-5F389983688A}" type="presParOf" srcId="{C4CFE872-4CCC-4120-BC19-0E4C95409D86}" destId="{C0A9EE6F-3A0F-41AA-9483-63163865DD2A}" srcOrd="6" destOrd="0" presId="urn:microsoft.com/office/officeart/2005/8/layout/process4"/>
    <dgm:cxn modelId="{3CF337CB-BD27-4DA5-B5D7-C592E9C05509}" type="presParOf" srcId="{C0A9EE6F-3A0F-41AA-9483-63163865DD2A}" destId="{720F7939-61E6-4BE5-8033-C3F76CAB1E2A}" srcOrd="0" destOrd="0" presId="urn:microsoft.com/office/officeart/2005/8/layout/process4"/>
    <dgm:cxn modelId="{2FD3C870-D88B-447C-903A-2491AF7F4F32}" type="presParOf" srcId="{C4CFE872-4CCC-4120-BC19-0E4C95409D86}" destId="{84090092-7A71-4C47-8040-4FD430079B38}" srcOrd="7" destOrd="0" presId="urn:microsoft.com/office/officeart/2005/8/layout/process4"/>
    <dgm:cxn modelId="{FE4C700D-DC02-46BA-B8F9-CC1BA4A9D83F}" type="presParOf" srcId="{C4CFE872-4CCC-4120-BC19-0E4C95409D86}" destId="{648A9257-F65D-4D18-B4F1-0000D3524358}" srcOrd="8" destOrd="0" presId="urn:microsoft.com/office/officeart/2005/8/layout/process4"/>
    <dgm:cxn modelId="{1A7DFB2F-BFCC-4F7A-8736-D28DE01D0B98}" type="presParOf" srcId="{648A9257-F65D-4D18-B4F1-0000D3524358}" destId="{264D3F19-751D-477A-802B-D87F2119EE10}" srcOrd="0" destOrd="0" presId="urn:microsoft.com/office/officeart/2005/8/layout/process4"/>
    <dgm:cxn modelId="{0B1C08B3-AA3A-48DE-B1A0-4CBA5396A486}" type="presParOf" srcId="{C4CFE872-4CCC-4120-BC19-0E4C95409D86}" destId="{844F4E07-703D-4550-B715-443FAC639E1C}" srcOrd="9" destOrd="0" presId="urn:microsoft.com/office/officeart/2005/8/layout/process4"/>
    <dgm:cxn modelId="{A123111B-F01D-4C88-A9BA-E81A93A3F4A1}" type="presParOf" srcId="{C4CFE872-4CCC-4120-BC19-0E4C95409D86}" destId="{FEE9AF43-7094-4236-BBB1-22741B098CA9}" srcOrd="10" destOrd="0" presId="urn:microsoft.com/office/officeart/2005/8/layout/process4"/>
    <dgm:cxn modelId="{9C37FA63-ED3C-4606-8D93-97A13B72B9DF}" type="presParOf" srcId="{FEE9AF43-7094-4236-BBB1-22741B098CA9}" destId="{42FCE871-1CDC-41D8-BDD3-D88DCCC0185F}" srcOrd="0" destOrd="0" presId="urn:microsoft.com/office/officeart/2005/8/layout/process4"/>
    <dgm:cxn modelId="{0A930D10-4208-4159-8693-7267E6A26841}" type="presParOf" srcId="{C4CFE872-4CCC-4120-BC19-0E4C95409D86}" destId="{1DA9810B-38AA-4587-92A5-3D4CE46C74B6}" srcOrd="11" destOrd="0" presId="urn:microsoft.com/office/officeart/2005/8/layout/process4"/>
    <dgm:cxn modelId="{17121F8F-C7F7-4DED-87F0-BEAEB9C5349B}" type="presParOf" srcId="{C4CFE872-4CCC-4120-BC19-0E4C95409D86}" destId="{D85FD497-A134-48D9-834A-F6E244CB2714}" srcOrd="12" destOrd="0" presId="urn:microsoft.com/office/officeart/2005/8/layout/process4"/>
    <dgm:cxn modelId="{0DCFF74D-1846-4FE7-87F3-B2CFE1ACD536}" type="presParOf" srcId="{D85FD497-A134-48D9-834A-F6E244CB2714}" destId="{9249ACF6-F048-412B-A31F-084DC11FBCD9}" srcOrd="0" destOrd="0" presId="urn:microsoft.com/office/officeart/2005/8/layout/process4"/>
    <dgm:cxn modelId="{D8818B3F-8B0A-48DC-B878-30606383CB7C}" type="presParOf" srcId="{C4CFE872-4CCC-4120-BC19-0E4C95409D86}" destId="{5E867C06-38E3-4B36-BBAC-0379DD485B8C}" srcOrd="13" destOrd="0" presId="urn:microsoft.com/office/officeart/2005/8/layout/process4"/>
    <dgm:cxn modelId="{9DE91316-48AE-466B-8046-88EBCF467297}" type="presParOf" srcId="{C4CFE872-4CCC-4120-BC19-0E4C95409D86}" destId="{9051EF62-5971-425E-93F8-D32D66BA2F49}" srcOrd="14" destOrd="0" presId="urn:microsoft.com/office/officeart/2005/8/layout/process4"/>
    <dgm:cxn modelId="{A3F7C177-E400-4F23-9B8D-AA8C349D1970}" type="presParOf" srcId="{9051EF62-5971-425E-93F8-D32D66BA2F49}" destId="{0CEA4C88-6BA7-406A-97C3-134155384BF3}" srcOrd="0" destOrd="0" presId="urn:microsoft.com/office/officeart/2005/8/layout/process4"/>
    <dgm:cxn modelId="{B3A4EA6F-556B-427F-B205-85454A4A1129}" type="presParOf" srcId="{C4CFE872-4CCC-4120-BC19-0E4C95409D86}" destId="{AEB5AD12-4A28-4347-BA84-85F0207E7DBB}" srcOrd="15" destOrd="0" presId="urn:microsoft.com/office/officeart/2005/8/layout/process4"/>
    <dgm:cxn modelId="{C1B464B7-5589-43F7-B649-54E4E7C491C8}" type="presParOf" srcId="{C4CFE872-4CCC-4120-BC19-0E4C95409D86}" destId="{D14BF8FB-B4A0-4E47-9E7F-61845A292ED2}" srcOrd="16" destOrd="0" presId="urn:microsoft.com/office/officeart/2005/8/layout/process4"/>
    <dgm:cxn modelId="{C9676C56-EC14-41C3-986B-483757EA2FDC}" type="presParOf" srcId="{D14BF8FB-B4A0-4E47-9E7F-61845A292ED2}" destId="{74CE471C-5C67-4115-90FB-16C0E8B4431D}" srcOrd="0" destOrd="0" presId="urn:microsoft.com/office/officeart/2005/8/layout/process4"/>
  </dgm:cxnLst>
  <dgm:bg>
    <a:noFill/>
  </dgm:bg>
  <dgm:whole>
    <a:ln>
      <a:noFill/>
    </a:ln>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BE6432C-B6F4-4722-8839-C5C397A2373B}">
      <dsp:nvSpPr>
        <dsp:cNvPr id="0" name=""/>
        <dsp:cNvSpPr/>
      </dsp:nvSpPr>
      <dsp:spPr>
        <a:xfrm>
          <a:off x="0" y="3830457"/>
          <a:ext cx="6174740" cy="314187"/>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baseline="0">
              <a:solidFill>
                <a:sysClr val="window" lastClr="FFFFFF"/>
              </a:solidFill>
              <a:latin typeface="Arial" panose="020B0604020202020204" pitchFamily="34" charset="0"/>
              <a:ea typeface="+mn-ea"/>
              <a:cs typeface="Arial" panose="020B0604020202020204" pitchFamily="34" charset="0"/>
            </a:rPr>
            <a:t>September 2020: California state judge dismisses Wong v. Restoration Robotics Inc. et al IPO suit due to the defendant's adoption of a federal forum provision for securities litigation. Similar decisions follow in Uber and Dropbox. </a:t>
          </a:r>
        </a:p>
      </dsp:txBody>
      <dsp:txXfrm>
        <a:off x="0" y="3830457"/>
        <a:ext cx="6174740" cy="314187"/>
      </dsp:txXfrm>
    </dsp:sp>
    <dsp:sp modelId="{61EEA9C5-30A5-4574-8093-948537B1F591}">
      <dsp:nvSpPr>
        <dsp:cNvPr id="0" name=""/>
        <dsp:cNvSpPr/>
      </dsp:nvSpPr>
      <dsp:spPr>
        <a:xfrm rot="10800000">
          <a:off x="0" y="3350751"/>
          <a:ext cx="6174740" cy="483220"/>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baseline="0">
              <a:solidFill>
                <a:sysClr val="window" lastClr="FFFFFF"/>
              </a:solidFill>
              <a:latin typeface="Arial" panose="020B0604020202020204" pitchFamily="34" charset="0"/>
              <a:ea typeface="+mn-ea"/>
              <a:cs typeface="Arial" panose="020B0604020202020204" pitchFamily="34" charset="0"/>
            </a:rPr>
            <a:t>March 2020: Delaware Supreme Court rules in </a:t>
          </a:r>
          <a:r>
            <a:rPr lang="en-US" sz="900" i="1" kern="1200" baseline="0">
              <a:solidFill>
                <a:sysClr val="window" lastClr="FFFFFF"/>
              </a:solidFill>
              <a:latin typeface="Arial" panose="020B0604020202020204" pitchFamily="34" charset="0"/>
              <a:ea typeface="+mn-ea"/>
              <a:cs typeface="Arial" panose="020B0604020202020204" pitchFamily="34" charset="0"/>
            </a:rPr>
            <a:t>Salzberg v. Sciabacchuchi</a:t>
          </a:r>
          <a:r>
            <a:rPr lang="en-US" sz="900" kern="1200" baseline="0">
              <a:solidFill>
                <a:sysClr val="window" lastClr="FFFFFF"/>
              </a:solidFill>
              <a:latin typeface="Arial" panose="020B0604020202020204" pitchFamily="34" charset="0"/>
              <a:ea typeface="+mn-ea"/>
              <a:cs typeface="Arial" panose="020B0604020202020204" pitchFamily="34" charset="0"/>
            </a:rPr>
            <a:t>,  that federal forum provisions are facially valid</a:t>
          </a:r>
        </a:p>
      </dsp:txBody>
      <dsp:txXfrm rot="10800000">
        <a:off x="0" y="3350751"/>
        <a:ext cx="6174740" cy="313982"/>
      </dsp:txXfrm>
    </dsp:sp>
    <dsp:sp modelId="{4A45DAD3-F530-4240-8E3F-C2E80D9E0F44}">
      <dsp:nvSpPr>
        <dsp:cNvPr id="0" name=""/>
        <dsp:cNvSpPr/>
      </dsp:nvSpPr>
      <dsp:spPr>
        <a:xfrm rot="10800000">
          <a:off x="0" y="2872244"/>
          <a:ext cx="6174740" cy="483220"/>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baseline="0">
              <a:solidFill>
                <a:sysClr val="window" lastClr="FFFFFF"/>
              </a:solidFill>
              <a:latin typeface="Arial" panose="020B0604020202020204" pitchFamily="34" charset="0"/>
              <a:ea typeface="+mn-ea"/>
              <a:cs typeface="Arial" panose="020B0604020202020204" pitchFamily="34" charset="0"/>
            </a:rPr>
            <a:t>March 2018: US Supreme Court rules in </a:t>
          </a:r>
          <a:r>
            <a:rPr lang="en-US" sz="900" i="1" kern="1200" baseline="0">
              <a:solidFill>
                <a:sysClr val="window" lastClr="FFFFFF"/>
              </a:solidFill>
              <a:latin typeface="Arial" panose="020B0604020202020204" pitchFamily="34" charset="0"/>
              <a:ea typeface="+mn-ea"/>
              <a:cs typeface="Arial" panose="020B0604020202020204" pitchFamily="34" charset="0"/>
            </a:rPr>
            <a:t>Cyan, Inc. v. Beaver County Employees  Retirement Fund  </a:t>
          </a:r>
          <a:r>
            <a:rPr lang="en-US" sz="900" kern="1200" baseline="0">
              <a:solidFill>
                <a:sysClr val="window" lastClr="FFFFFF"/>
              </a:solidFill>
              <a:latin typeface="Arial" panose="020B0604020202020204" pitchFamily="34" charset="0"/>
              <a:ea typeface="+mn-ea"/>
              <a:cs typeface="Arial" panose="020B0604020202020204" pitchFamily="34" charset="0"/>
            </a:rPr>
            <a:t>that state courts retain concurrent jurisdiction over suits alleging 33 Act violations</a:t>
          </a:r>
        </a:p>
      </dsp:txBody>
      <dsp:txXfrm rot="10800000">
        <a:off x="0" y="2872244"/>
        <a:ext cx="6174740" cy="313982"/>
      </dsp:txXfrm>
    </dsp:sp>
    <dsp:sp modelId="{720F7939-61E6-4BE5-8033-C3F76CAB1E2A}">
      <dsp:nvSpPr>
        <dsp:cNvPr id="0" name=""/>
        <dsp:cNvSpPr/>
      </dsp:nvSpPr>
      <dsp:spPr>
        <a:xfrm rot="10800000">
          <a:off x="0" y="2393736"/>
          <a:ext cx="6174740" cy="483220"/>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baseline="0">
              <a:solidFill>
                <a:sysClr val="window" lastClr="FFFFFF"/>
              </a:solidFill>
              <a:latin typeface="Arial" panose="020B0604020202020204" pitchFamily="34" charset="0"/>
              <a:ea typeface="+mn-ea"/>
              <a:cs typeface="Arial" panose="020B0604020202020204" pitchFamily="34" charset="0"/>
            </a:rPr>
            <a:t>2008-2017:  Other Circuits (like the Seventh and Second) disagreed with the Ninth Circuit decision-California IPO suits are filed in CA state courts at an increasing pace</a:t>
          </a:r>
        </a:p>
      </dsp:txBody>
      <dsp:txXfrm rot="10800000">
        <a:off x="0" y="2393736"/>
        <a:ext cx="6174740" cy="313982"/>
      </dsp:txXfrm>
    </dsp:sp>
    <dsp:sp modelId="{264D3F19-751D-477A-802B-D87F2119EE10}">
      <dsp:nvSpPr>
        <dsp:cNvPr id="0" name=""/>
        <dsp:cNvSpPr/>
      </dsp:nvSpPr>
      <dsp:spPr>
        <a:xfrm rot="10800000">
          <a:off x="0" y="1915228"/>
          <a:ext cx="6174740" cy="483220"/>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baseline="0">
              <a:solidFill>
                <a:sysClr val="window" lastClr="FFFFFF"/>
              </a:solidFill>
              <a:latin typeface="Arial" panose="020B0604020202020204" pitchFamily="34" charset="0"/>
              <a:ea typeface="+mn-ea"/>
              <a:cs typeface="Arial" panose="020B0604020202020204" pitchFamily="34" charset="0"/>
            </a:rPr>
            <a:t>2008: Ninth Circuit (Northern CA) rules in </a:t>
          </a:r>
          <a:r>
            <a:rPr lang="en-US" sz="900" i="1" kern="1200" baseline="0">
              <a:solidFill>
                <a:sysClr val="window" lastClr="FFFFFF"/>
              </a:solidFill>
              <a:latin typeface="Arial" panose="020B0604020202020204" pitchFamily="34" charset="0"/>
              <a:ea typeface="+mn-ea"/>
              <a:cs typeface="Arial" panose="020B0604020202020204" pitchFamily="34" charset="0"/>
            </a:rPr>
            <a:t>Luther v. Countrywide Financial Corporation </a:t>
          </a:r>
          <a:r>
            <a:rPr lang="en-US" sz="900" kern="1200" baseline="0">
              <a:solidFill>
                <a:sysClr val="window" lastClr="FFFFFF"/>
              </a:solidFill>
              <a:latin typeface="Arial" panose="020B0604020202020204" pitchFamily="34" charset="0"/>
              <a:ea typeface="+mn-ea"/>
              <a:cs typeface="Arial" panose="020B0604020202020204" pitchFamily="34" charset="0"/>
            </a:rPr>
            <a:t>that SLUSA does not preempt the 33 Act's state court concurrent jurisdiction for suits alleging 33 Act violations</a:t>
          </a:r>
        </a:p>
      </dsp:txBody>
      <dsp:txXfrm rot="10800000">
        <a:off x="0" y="1915228"/>
        <a:ext cx="6174740" cy="313982"/>
      </dsp:txXfrm>
    </dsp:sp>
    <dsp:sp modelId="{42FCE871-1CDC-41D8-BDD3-D88DCCC0185F}">
      <dsp:nvSpPr>
        <dsp:cNvPr id="0" name=""/>
        <dsp:cNvSpPr/>
      </dsp:nvSpPr>
      <dsp:spPr>
        <a:xfrm rot="10800000">
          <a:off x="0" y="1436721"/>
          <a:ext cx="6174740" cy="483220"/>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baseline="0">
              <a:solidFill>
                <a:sysClr val="window" lastClr="FFFFFF"/>
              </a:solidFill>
              <a:latin typeface="Arial" panose="020B0604020202020204" pitchFamily="34" charset="0"/>
              <a:ea typeface="+mn-ea"/>
              <a:cs typeface="Arial" panose="020B0604020202020204" pitchFamily="34" charset="0"/>
            </a:rPr>
            <a:t>1998: Securities Litigation Uniform Standards Act (SLUSA) - Requires securities suits to be brought in federal court</a:t>
          </a:r>
        </a:p>
      </dsp:txBody>
      <dsp:txXfrm rot="10800000">
        <a:off x="0" y="1436721"/>
        <a:ext cx="6174740" cy="313982"/>
      </dsp:txXfrm>
    </dsp:sp>
    <dsp:sp modelId="{9249ACF6-F048-412B-A31F-084DC11FBCD9}">
      <dsp:nvSpPr>
        <dsp:cNvPr id="0" name=""/>
        <dsp:cNvSpPr/>
      </dsp:nvSpPr>
      <dsp:spPr>
        <a:xfrm rot="10800000">
          <a:off x="0" y="958213"/>
          <a:ext cx="6174740" cy="483220"/>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baseline="0">
              <a:solidFill>
                <a:sysClr val="window" lastClr="FFFFFF"/>
              </a:solidFill>
              <a:latin typeface="Arial" panose="020B0604020202020204" pitchFamily="34" charset="0"/>
              <a:ea typeface="+mn-ea"/>
              <a:cs typeface="Arial" panose="020B0604020202020204" pitchFamily="34" charset="0"/>
            </a:rPr>
            <a:t>1996-1998: Plaintiffs bring securities cases in state courts in an attempt to circumvent PSLRA</a:t>
          </a:r>
        </a:p>
      </dsp:txBody>
      <dsp:txXfrm rot="10800000">
        <a:off x="0" y="958213"/>
        <a:ext cx="6174740" cy="313982"/>
      </dsp:txXfrm>
    </dsp:sp>
    <dsp:sp modelId="{0CEA4C88-6BA7-406A-97C3-134155384BF3}">
      <dsp:nvSpPr>
        <dsp:cNvPr id="0" name=""/>
        <dsp:cNvSpPr/>
      </dsp:nvSpPr>
      <dsp:spPr>
        <a:xfrm rot="10800000">
          <a:off x="0" y="479705"/>
          <a:ext cx="6174740" cy="483220"/>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baseline="0">
              <a:solidFill>
                <a:sysClr val="window" lastClr="FFFFFF"/>
              </a:solidFill>
              <a:latin typeface="Arial" panose="020B0604020202020204" pitchFamily="34" charset="0"/>
              <a:ea typeface="+mn-ea"/>
              <a:cs typeface="Arial" panose="020B0604020202020204" pitchFamily="34" charset="0"/>
            </a:rPr>
            <a:t>December 1995: Private Securitites Litigation Reform Act (PSLRA) - Imposes restrictions on plaintiffs' abilities to file shareholder class action suits in federal courts </a:t>
          </a:r>
        </a:p>
      </dsp:txBody>
      <dsp:txXfrm rot="10800000">
        <a:off x="0" y="479705"/>
        <a:ext cx="6174740" cy="313982"/>
      </dsp:txXfrm>
    </dsp:sp>
    <dsp:sp modelId="{74CE471C-5C67-4115-90FB-16C0E8B4431D}">
      <dsp:nvSpPr>
        <dsp:cNvPr id="0" name=""/>
        <dsp:cNvSpPr/>
      </dsp:nvSpPr>
      <dsp:spPr>
        <a:xfrm rot="10800000">
          <a:off x="0" y="1198"/>
          <a:ext cx="6174740" cy="483220"/>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baseline="0">
              <a:solidFill>
                <a:sysClr val="window" lastClr="FFFFFF"/>
              </a:solidFill>
              <a:latin typeface="Arial" panose="020B0604020202020204" pitchFamily="34" charset="0"/>
              <a:ea typeface="+mn-ea"/>
              <a:cs typeface="Arial" panose="020B0604020202020204" pitchFamily="34" charset="0"/>
            </a:rPr>
            <a:t>1933: Securities Act of 1933 (33 Act) signed into law-Section 22 gives state courts concurrent jurisdiction  over 33 Act suits</a:t>
          </a:r>
        </a:p>
      </dsp:txBody>
      <dsp:txXfrm rot="10800000">
        <a:off x="0" y="1198"/>
        <a:ext cx="6174740" cy="31398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8C65B7-B618-4A30-8F1C-41C0DABA5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57</Pages>
  <Words>11524</Words>
  <Characters>65688</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Ryan Specialty Group, LLC</Company>
  <LinksUpToDate>false</LinksUpToDate>
  <CharactersWithSpaces>77058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Medina</dc:creator>
  <cp:keywords/>
  <dc:description/>
  <cp:lastModifiedBy>Best, Rachelle</cp:lastModifiedBy>
  <cp:revision>3</cp:revision>
  <cp:lastPrinted>2020-03-24T12:44:00Z</cp:lastPrinted>
  <dcterms:created xsi:type="dcterms:W3CDTF">2022-06-23T13:04:00Z</dcterms:created>
  <dcterms:modified xsi:type="dcterms:W3CDTF">2022-06-23T13:07:00Z</dcterms:modified>
</cp:coreProperties>
</file>