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Meeting Synopsis: Enhancing Risk Management in Construction Through Data and Reputation-Driven Solutions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Purpose: To discuss the role of risk management in construction, the impact of reputation on project success, challenges associated with Fast-Track construction, and opportunities to integrate data-driven insights into risk management solutions.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Key Discussion Points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1. Positioning Risk Management as a Value-Add to Contractors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Contractors in the target market (200-300 range) often have risk managers, but their expertise varies.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Emphasizing reputation, schedule management, and cost-effectiveness as key selling points, rather than positioning risk management as a deficiency in their existing process.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The goal is to partner with firms to enhance their ability to deliver on-time, high-quality projects that improve their reputation and competitiveness in negotiated contracts.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2. The Role of Reputation in Contract Negotiations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Larger projects are moving away from hard-bid contracts toward negotiated work, where reputation plays a pivotal role.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General contractors who consistently complete quality projects on time and within budget gain a competitive edge, reducing the need to compete in hard-bid scenarios.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Risk management solutions should be marketed as a tool to enhance reputation, mitigate delays, and improve project cost control, ultimately leading to better contract opportunities.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3. Fast-Track Construction: Challenges and Impact on Risk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Fast-track construction has led to increased delays and cost overruns due to incomplete design at the bidding stage.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Previously, fully designed projects ensured all details were accounted for before construction began, reducing unexpected changes and disputes.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Today, projects often start with only 5-10% of the design completed, leading to frequent change orders and delays, which negatively impact budgets and schedules.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BIM (Building Information Modeling) combined with risk management data can help mitigate these issues by improving visibility into project risks.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4. Risk Management and Data Integration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Most risk managers operate in silos and lack real-time access to project data, limiting their ability to proactively manage risks.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There is an opportunity to bridge the gap between risk management and project management teams by integrating data-driven insights into decision-making.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The proposed solution should: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Aggregate risk-related data across the project lifecycle.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Provide actionable insights to improve scheduling, budgeting, and overall risk mitigation.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Enhance communication between risk managers, project managers, and C-suite executives.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5. The Role of Subcontractor Default Insurance (SDI)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Traditional surety bonds were used to mitigate subcontractor risk but were costly due to compounding bond requirements.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SDI emerged as an alternative, focusing on: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Pre-qualification of subcontractors (evaluating financial strength, past performance, and ability to absorb cash flow delays).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Providing an insurance-backed guarantee, which pays damages rather than just facilitating replacement contractors.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Pre-qualification is critical to subcontractor risk mitigation and should be integrated into broader risk management solutions.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6. Pre-Qualification Platforms and System Integration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Several third-party pre-qualification platforms exist, including: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TradeTapp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Compass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Vertical KAL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The key question: Do these platforms offer an open API for seamless integration into a centralized risk management system?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The ability to integrate these pre-qualification systems into a broader risk management platform would provide contractors with a holistic view of subcontractor risk.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Action Items &amp; Next Steps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1. Refine the marketing message to position risk management as a partner-driven enhancement to reputation, schedule, and cost savings rather than a critique of existing processes.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2. Explore BIM and risk management integration to address Fast-Track construction challenges and improve project predictability.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3. Assess existing pre-qualification platforms for integration potential to create a centralized risk management hub.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4. Develop a sales strategy that highlights: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Reputation and risk management as key factors in winning negotiated contracts.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The role of real-time data in improving decision-making.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The impact of subcontractor pre-qualification and SDI in reducing project risks.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Conclusion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The meeting highlighted the importance of data-driven risk management in enhancing contractor reputation, improving scheduling, and reducing overall project risk. The next step is to develop a strategy that leverages pre-qualification data, integrates with BIM, and positions risk management as a competitive advantage rather than a cost center.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