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Delays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Triggers: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date slips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Long-lead items not ordered in time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Supply chain disruption (e.g., port delays, customs issues)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Signals: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purchase orders past due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times exceeding schedule buffers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Repeated supplier change requests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order status with suppliers and logistics teams — get updated ETAs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alternate materials or vendors (pre-vetted if possible)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Re-sequence work to prioritize areas not dependent on delayed materials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Communicate delay to stakeholders with updated timelines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Product: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Auto-alert when material ETAs exceed threshold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Suggested alternate vendors from marketplace API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Re-sequencing tool to visualize schedule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 Shortages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Triggers: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Crew no-shows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Trade-specific labor unavailable in region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Health/safety protocols reducing workforce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Signals: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Lower-than-expected crew headcount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Subcontractor delay notices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trade demand in surrounding projects/regions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Engage backup labor sources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Adjust sequence or scope to work around impacted trades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Offer overtime or shift adjustments if feasible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 in tasks from future phases (if they don’t require same labor pool)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and log delay for reporting/dispute defense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Product: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Labor availability heatmap (by trade, region)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Notifications when crew counts fall below thresholds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Suggested task reshuffle based on available labor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Subcontractor Underperformance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Triggers: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Missed milestones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Poor workmanship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Repeated safety incidents or inspection failures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Signals: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 slippage from one trade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Increase in rework/change orders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Unclosed punch items piling up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Initiate performance review or site walk with subcontractor PM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 corrective action plan with specific milestones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QC/safety audit team for documentation and oversight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Withhold payment/backcharge as needed per contract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backup subcontractor, if risk escalates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Product: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Subcontractor risk score dashboard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Alert when subs trigger performance thresholds (e.g., missed 2 milestones)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Auto-suggest prequalified backup contractors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Weather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Triggers: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Rain, snow, wind, extreme temperatures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 flooding, material damage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Signals: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Forecasts for severe weather events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Delays in concrete curing, roofing, excavation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paused due to unsafe conditions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Shift to indoor work or trades not impacted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Re-schedule weather-sensitive tasks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Cover/protect materials and equipment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Extend buffers for affected tasks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weather conditions for force majeure or insurance claims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Product: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Weather API integration with predictive impact by task type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Alerts when forecasts exceed risk thresholds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Auto-generated documentation logs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Observations / Change Orders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Triggers: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Client-driven changes (design preferences, scope creep)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RFIs leading to scope revisions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compliance adjustments mid-project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Signals: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Spike in RFIs or design clarifications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orders not approved or priced promptly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volume of field observations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Quantify schedule &amp; cost impact of change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Formalize change order through contract vehicle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schedule &amp; re-sequence trades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Escalate to Owner/PM If decisions lag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delay for potential claims/delay damages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Product: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RFI/change order volume tracker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Delay calculator based on scope additions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Pre-built “impact memo” generator to share with owners or execs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Delay Risk Detected: Material Delay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Trigger: Steel delivery for level 2 framing is 7 days late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Impact: Critical task starting 4/29 will slip 3–5 days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Suggested Actions: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Contact supplier to get updated ETA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Source from alternate vendor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Re-sequence task: shift to HVAC rough-in in Zone 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Notify Owner/GC of projected delay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