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vzork5b2a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Revolutionize Risk Management for General Contractors</w:t>
      </w:r>
    </w:p>
    <w:p w:rsidR="00000000" w:rsidDel="00000000" w:rsidP="00000000" w:rsidRDefault="00000000" w:rsidRPr="00000000" w14:paraId="00000002">
      <w:pPr>
        <w:spacing w:after="280" w:before="200" w:lineRule="auto"/>
        <w:ind w:left="20" w:right="20" w:firstLine="0"/>
        <w:rPr/>
      </w:pPr>
      <w:r w:rsidDel="00000000" w:rsidR="00000000" w:rsidRPr="00000000">
        <w:rPr>
          <w:rtl w:val="0"/>
        </w:rPr>
        <w:t xml:space="preserve">An Exclusive Opportunity to Enhance Your Project Outcomes with Data-Driven Insights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qqg3wtr2z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🚧 The Problem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Unpredictable risks: Delays and budget overruns derail success.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Inefficiencies: Lack of actionable data impacts decisions.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Missed opportunities: Without insights, profitability suffers.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yjlkss0i2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Our Solution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Real-time data dashboards.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Proactive risk identification.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Custom insights tailored to your projects.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ehgxhszii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The Benefits to Your Organization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Avoid delays and budget overruns.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Simplify operations with centralized dashboards.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Boost profitability through proactive risk mitigation.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Gain exclusive beta access to our cutting-edge platform.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