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b/>
          <w:i w:val="0"/>
          <w:color w:val="2C6E8E"/>
          <w:sz w:val="60"/>
        </w:rPr>
        <w:t>CongoTopFashion</w:t>
      </w:r>
    </w:p>
    <w:p>
      <w:pPr>
        <w:spacing w:after="80"/>
        <w:jc w:val="center"/>
      </w:pPr>
      <w:r>
        <w:rPr>
          <w:b w:val="0"/>
          <w:i w:val="0"/>
          <w:color w:val="1A1A1A"/>
          <w:sz w:val="34"/>
        </w:rPr>
        <w:t>Analyse de la base de données commerciale</w:t>
      </w:r>
    </w:p>
    <w:p>
      <w:pPr>
        <w:spacing w:after="600"/>
        <w:jc w:val="center"/>
      </w:pPr>
      <w:r>
        <w:rPr>
          <w:b w:val="0"/>
          <w:i/>
          <w:color w:val="666666"/>
          <w:sz w:val="24"/>
        </w:rPr>
        <w:t>Rapport d'analyse et recommandations à la direction</w:t>
      </w:r>
    </w:p>
    <w:p>
      <w:pPr>
        <w:spacing w:after="60"/>
        <w:jc w:val="center"/>
      </w:pPr>
      <w:r>
        <w:rPr>
          <w:b w:val="0"/>
          <w:i w:val="0"/>
          <w:sz w:val="22"/>
        </w:rPr>
        <w:t>Période analysée : janvier 2021 — décembre 2025</w:t>
      </w:r>
    </w:p>
    <w:p>
      <w:pPr>
        <w:spacing w:after="60"/>
        <w:jc w:val="center"/>
      </w:pPr>
      <w:r>
        <w:rPr>
          <w:b w:val="0"/>
          <w:i w:val="0"/>
          <w:color w:val="666666"/>
          <w:sz w:val="20"/>
        </w:rPr>
        <w:t>Périmètre : 24 tables · 100 351 enregistrements · 15 000 commandes · 2 000 clients · 700 références</w:t>
      </w:r>
    </w:p>
    <w:p>
      <w:pPr>
        <w:spacing w:after="140"/>
        <w:jc w:val="center"/>
      </w:pPr>
      <w:r>
        <w:rPr>
          <w:b w:val="0"/>
          <w:i w:val="0"/>
          <w:color w:val="666666"/>
          <w:sz w:val="20"/>
        </w:rPr>
        <w:t>Date du rapport : 29 août 2026</w:t>
      </w:r>
    </w:p>
    <w:p>
      <w:r>
        <w:br w:type="page"/>
      </w:r>
    </w:p>
    <w:p>
      <w:pPr>
        <w:pStyle w:val="Heading1"/>
      </w:pPr>
      <w:r>
        <w:t>1. Synthèse exécutive</w:t>
      </w:r>
    </w:p>
    <w:p>
      <w:pPr>
        <w:spacing w:after="140"/>
      </w:pPr>
      <w:r>
        <w:rPr>
          <w:b w:val="0"/>
          <w:i w:val="0"/>
          <w:sz w:val="21"/>
        </w:rPr>
        <w:t>CongoTopFashion a réalisé un chiffre d'affaires cumulé de 2 385 826 $ sur la période 2021-2025, pour un bénéfice net de 686 050 $, soit une marge nette réelle de 28,76 %. L'entreprise a plus que triplé son activité en cinq ans, passant de 228 634 $ en 2021 à 709 171 $ en 2025.</w:t>
      </w:r>
    </w:p>
    <w:p>
      <w:pPr>
        <w:spacing w:after="140"/>
      </w:pPr>
      <w:r>
        <w:rPr>
          <w:b w:val="0"/>
          <w:i w:val="0"/>
          <w:sz w:val="21"/>
        </w:rPr>
        <w:t>Cette croissance est cependant en nette décélération : le rythme annuel est passé de +51,5 % en 2022 à +16,4 % en 2025, soit une division par trois en quatre ans. Parallèlement, l'analyse met en évidence plusieurs dysfonctionnements majeurs qui pèsent sur la trésorerie et le pilotage de l'entreprise.</w:t>
      </w:r>
    </w:p>
    <w:p>
      <w:pPr>
        <w:pStyle w:val="Heading2"/>
      </w:pPr>
      <w:r>
        <w:t>Indicateurs clés</w:t>
      </w:r>
    </w:p>
    <w:tbl>
      <w:tblPr>
        <w:tblStyle w:val="TableGrid"/>
        <w:tblW w:type="auto" w:w="0"/>
        <w:jc w:val="center"/>
        <w:tblLook w:firstColumn="1" w:firstRow="1" w:lastColumn="0" w:lastRow="0" w:noHBand="0" w:noVBand="1" w:val="04A0"/>
      </w:tblPr>
      <w:tblGrid>
        <w:gridCol w:w="4873"/>
        <w:gridCol w:w="4873"/>
      </w:tblGrid>
      <w:tr>
        <w:tc>
          <w:tcPr>
            <w:tcW w:type="dxa" w:w="5953"/>
            <w:shd w:val="clear" w:fill="2C6E8E"/>
          </w:tcPr>
          <w:p>
            <w:r/>
            <w:r>
              <w:rPr>
                <w:b/>
                <w:color w:val="FFFFFF"/>
                <w:sz w:val="18"/>
              </w:rPr>
              <w:t>Indicateur</w:t>
            </w:r>
          </w:p>
        </w:tc>
        <w:tc>
          <w:tcPr>
            <w:tcW w:type="dxa" w:w="3402"/>
            <w:shd w:val="clear" w:fill="2C6E8E"/>
          </w:tcPr>
          <w:p>
            <w:r/>
            <w:r>
              <w:rPr>
                <w:b/>
                <w:color w:val="FFFFFF"/>
                <w:sz w:val="18"/>
              </w:rPr>
              <w:t>Valeur</w:t>
            </w:r>
          </w:p>
        </w:tc>
      </w:tr>
      <w:tr>
        <w:tc>
          <w:tcPr>
            <w:tcW w:type="dxa" w:w="5953"/>
          </w:tcPr>
          <w:p>
            <w:r/>
            <w:r>
              <w:rPr>
                <w:sz w:val="18"/>
              </w:rPr>
              <w:t>Chiffre d'affaires cumulé 2021-2025</w:t>
            </w:r>
          </w:p>
        </w:tc>
        <w:tc>
          <w:tcPr>
            <w:tcW w:type="dxa" w:w="3402"/>
          </w:tcPr>
          <w:p>
            <w:r/>
            <w:r>
              <w:rPr>
                <w:sz w:val="18"/>
              </w:rPr>
              <w:t>2 385 826 $</w:t>
            </w:r>
          </w:p>
        </w:tc>
      </w:tr>
      <w:tr>
        <w:tc>
          <w:tcPr>
            <w:tcW w:type="dxa" w:w="5953"/>
          </w:tcPr>
          <w:p>
            <w:r/>
            <w:r>
              <w:rPr>
                <w:sz w:val="18"/>
              </w:rPr>
              <w:t>Bénéfice net cumulé</w:t>
            </w:r>
          </w:p>
        </w:tc>
        <w:tc>
          <w:tcPr>
            <w:tcW w:type="dxa" w:w="3402"/>
          </w:tcPr>
          <w:p>
            <w:r/>
            <w:r>
              <w:rPr>
                <w:sz w:val="18"/>
              </w:rPr>
              <w:t>686 050 $</w:t>
            </w:r>
          </w:p>
        </w:tc>
      </w:tr>
      <w:tr>
        <w:tc>
          <w:tcPr>
            <w:tcW w:type="dxa" w:w="5953"/>
          </w:tcPr>
          <w:p>
            <w:r/>
            <w:r>
              <w:rPr>
                <w:sz w:val="18"/>
              </w:rPr>
              <w:t>Marge nette réelle (pondérée)</w:t>
            </w:r>
          </w:p>
        </w:tc>
        <w:tc>
          <w:tcPr>
            <w:tcW w:type="dxa" w:w="3402"/>
          </w:tcPr>
          <w:p>
            <w:r/>
            <w:r>
              <w:rPr>
                <w:sz w:val="18"/>
              </w:rPr>
              <w:t>28,76 %</w:t>
            </w:r>
          </w:p>
        </w:tc>
      </w:tr>
      <w:tr>
        <w:tc>
          <w:tcPr>
            <w:tcW w:type="dxa" w:w="5953"/>
          </w:tcPr>
          <w:p>
            <w:r/>
            <w:r>
              <w:rPr>
                <w:sz w:val="18"/>
              </w:rPr>
              <w:t>Nombre de commandes</w:t>
            </w:r>
          </w:p>
        </w:tc>
        <w:tc>
          <w:tcPr>
            <w:tcW w:type="dxa" w:w="3402"/>
          </w:tcPr>
          <w:p>
            <w:r/>
            <w:r>
              <w:rPr>
                <w:sz w:val="18"/>
              </w:rPr>
              <w:t>15 000</w:t>
            </w:r>
          </w:p>
        </w:tc>
      </w:tr>
      <w:tr>
        <w:tc>
          <w:tcPr>
            <w:tcW w:type="dxa" w:w="5953"/>
          </w:tcPr>
          <w:p>
            <w:r/>
            <w:r>
              <w:rPr>
                <w:sz w:val="18"/>
              </w:rPr>
              <w:t>Panier moyen</w:t>
            </w:r>
          </w:p>
        </w:tc>
        <w:tc>
          <w:tcPr>
            <w:tcW w:type="dxa" w:w="3402"/>
          </w:tcPr>
          <w:p>
            <w:r/>
            <w:r>
              <w:rPr>
                <w:sz w:val="18"/>
              </w:rPr>
              <w:t>169,58 $</w:t>
            </w:r>
          </w:p>
        </w:tc>
      </w:tr>
      <w:tr>
        <w:tc>
          <w:tcPr>
            <w:tcW w:type="dxa" w:w="5953"/>
          </w:tcPr>
          <w:p>
            <w:r/>
            <w:r>
              <w:rPr>
                <w:sz w:val="18"/>
              </w:rPr>
              <w:t>Nombre de clients</w:t>
            </w:r>
          </w:p>
        </w:tc>
        <w:tc>
          <w:tcPr>
            <w:tcW w:type="dxa" w:w="3402"/>
          </w:tcPr>
          <w:p>
            <w:r/>
            <w:r>
              <w:rPr>
                <w:sz w:val="18"/>
              </w:rPr>
              <w:t>2 000</w:t>
            </w:r>
          </w:p>
        </w:tc>
      </w:tr>
      <w:tr>
        <w:tc>
          <w:tcPr>
            <w:tcW w:type="dxa" w:w="5953"/>
          </w:tcPr>
          <w:p>
            <w:r/>
            <w:r>
              <w:rPr>
                <w:sz w:val="18"/>
              </w:rPr>
              <w:t>Clients VIP (Champions)</w:t>
            </w:r>
          </w:p>
        </w:tc>
        <w:tc>
          <w:tcPr>
            <w:tcW w:type="dxa" w:w="3402"/>
          </w:tcPr>
          <w:p>
            <w:r/>
            <w:r>
              <w:rPr>
                <w:sz w:val="18"/>
              </w:rPr>
              <w:t>341 (17,1 %)</w:t>
            </w:r>
          </w:p>
        </w:tc>
      </w:tr>
      <w:tr>
        <w:tc>
          <w:tcPr>
            <w:tcW w:type="dxa" w:w="5953"/>
          </w:tcPr>
          <w:p>
            <w:r/>
            <w:r>
              <w:rPr>
                <w:sz w:val="18"/>
              </w:rPr>
              <w:t>Taux de retour</w:t>
            </w:r>
          </w:p>
        </w:tc>
        <w:tc>
          <w:tcPr>
            <w:tcW w:type="dxa" w:w="3402"/>
          </w:tcPr>
          <w:p>
            <w:r/>
            <w:r>
              <w:rPr>
                <w:sz w:val="18"/>
              </w:rPr>
              <w:t>13,33 %</w:t>
            </w:r>
          </w:p>
        </w:tc>
      </w:tr>
      <w:tr>
        <w:tc>
          <w:tcPr>
            <w:tcW w:type="dxa" w:w="5953"/>
          </w:tcPr>
          <w:p>
            <w:r/>
            <w:r>
              <w:rPr>
                <w:sz w:val="18"/>
              </w:rPr>
              <w:t>Taux d'annulation</w:t>
            </w:r>
          </w:p>
        </w:tc>
        <w:tc>
          <w:tcPr>
            <w:tcW w:type="dxa" w:w="3402"/>
          </w:tcPr>
          <w:p>
            <w:r/>
            <w:r>
              <w:rPr>
                <w:sz w:val="18"/>
              </w:rPr>
              <w:t>6,21 %</w:t>
            </w:r>
          </w:p>
        </w:tc>
      </w:tr>
      <w:tr>
        <w:tc>
          <w:tcPr>
            <w:tcW w:type="dxa" w:w="5953"/>
          </w:tcPr>
          <w:p>
            <w:r/>
            <w:r>
              <w:rPr>
                <w:sz w:val="18"/>
              </w:rPr>
              <w:t>Délai de livraison moyen</w:t>
            </w:r>
          </w:p>
        </w:tc>
        <w:tc>
          <w:tcPr>
            <w:tcW w:type="dxa" w:w="3402"/>
          </w:tcPr>
          <w:p>
            <w:r/>
            <w:r>
              <w:rPr>
                <w:sz w:val="18"/>
              </w:rPr>
              <w:t>2,26 jours</w:t>
            </w:r>
          </w:p>
        </w:tc>
      </w:tr>
      <w:tr>
        <w:tc>
          <w:tcPr>
            <w:tcW w:type="dxa" w:w="5953"/>
          </w:tcPr>
          <w:p>
            <w:r/>
            <w:r>
              <w:rPr>
                <w:sz w:val="18"/>
              </w:rPr>
              <w:t>Satisfaction client moyenne</w:t>
            </w:r>
          </w:p>
        </w:tc>
        <w:tc>
          <w:tcPr>
            <w:tcW w:type="dxa" w:w="3402"/>
          </w:tcPr>
          <w:p>
            <w:r/>
            <w:r>
              <w:rPr>
                <w:sz w:val="18"/>
              </w:rPr>
              <w:t>3,88 / 5</w:t>
            </w:r>
          </w:p>
        </w:tc>
      </w:tr>
      <w:tr>
        <w:tc>
          <w:tcPr>
            <w:tcW w:type="dxa" w:w="5953"/>
          </w:tcPr>
          <w:p>
            <w:r/>
            <w:r>
              <w:rPr>
                <w:sz w:val="18"/>
              </w:rPr>
              <w:t>Projection de chiffre d'affaires 2026</w:t>
            </w:r>
          </w:p>
        </w:tc>
        <w:tc>
          <w:tcPr>
            <w:tcW w:type="dxa" w:w="3402"/>
          </w:tcPr>
          <w:p>
            <w:r/>
            <w:r>
              <w:rPr>
                <w:sz w:val="18"/>
              </w:rPr>
              <w:t>874 056 $ (+23,3 %)</w:t>
            </w:r>
          </w:p>
        </w:tc>
      </w:tr>
    </w:tbl>
    <w:p>
      <w:pPr>
        <w:spacing w:after="80"/>
      </w:pPr>
    </w:p>
    <w:p>
      <w:pPr>
        <w:pStyle w:val="Heading2"/>
      </w:pPr>
      <w:r>
        <w:t>Les six constats majeurs</w:t>
      </w:r>
    </w:p>
    <w:p>
      <w:pPr>
        <w:pStyle w:val="Heading3"/>
      </w:pPr>
      <w:r>
        <w:t>Un surstock qui immobilise la trésorerie</w:t>
      </w:r>
    </w:p>
    <w:p>
      <w:pPr>
        <w:spacing w:after="140"/>
      </w:pPr>
      <w:r>
        <w:rPr>
          <w:b w:val="0"/>
          <w:i w:val="0"/>
          <w:sz w:val="21"/>
        </w:rPr>
        <w:t>Le stock est valorisé à 8 020 239 $ alors que le coût des ventes annuel s'établit à 274 139 $. La couverture atteint 29,3 années. Les achats fournisseurs cumulés (4 922 934 $) représentent 3,6 fois le coût des ventes de la période. C'est le problème le plus grave identifié.</w:t>
      </w:r>
    </w:p>
    <w:p>
      <w:pPr>
        <w:pStyle w:val="Heading3"/>
      </w:pPr>
      <w:r>
        <w:t>Un système d'objectifs commerciaux inopérant</w:t>
      </w:r>
    </w:p>
    <w:p>
      <w:pPr>
        <w:spacing w:after="140"/>
      </w:pPr>
      <w:r>
        <w:rPr>
          <w:b w:val="0"/>
          <w:i w:val="0"/>
          <w:sz w:val="21"/>
        </w:rPr>
        <w:t>Aucun des 500 objectifs fixés sur cinq ans n'a été atteint. Le taux de réalisation moyen est de 14,2 %. L'objectif annuel par boutique s'élève à 376 767 $ pour un réalisé moyen de 45 016 $, soit un facteur 8,4. Le système de primes associé est de fait inactif : 69 $ versés au total sur cinq ans.</w:t>
      </w:r>
    </w:p>
    <w:p>
      <w:pPr>
        <w:pStyle w:val="Heading3"/>
      </w:pPr>
      <w:r>
        <w:t>Une marge nette surestimée de 4,7 points dans le reporting</w:t>
      </w:r>
    </w:p>
    <w:p>
      <w:pPr>
        <w:spacing w:after="140"/>
      </w:pPr>
      <w:r>
        <w:rPr>
          <w:b w:val="0"/>
          <w:i w:val="0"/>
          <w:sz w:val="21"/>
        </w:rPr>
        <w:t>Le tableau de bord existant affiche une marge nette de 33,45 %. Ce chiffre correspond à la moyenne arithmétique des marges de chaque commande, ce qui donne le même poids à une commande de 20 $ et à une commande de 2 000 $. La marge réelle, calculée comme le rapport du bénéfice total au chiffre d'affaires total, est de 28,76 %.</w:t>
      </w:r>
    </w:p>
    <w:p>
      <w:pPr>
        <w:pStyle w:val="Heading3"/>
      </w:pPr>
      <w:r>
        <w:t>Un budget marketing disproportionné et mal attribué</w:t>
      </w:r>
    </w:p>
    <w:p>
      <w:pPr>
        <w:spacing w:after="140"/>
      </w:pPr>
      <w:r>
        <w:rPr>
          <w:b w:val="0"/>
          <w:i w:val="0"/>
          <w:sz w:val="21"/>
        </w:rPr>
        <w:t>Le budget marketing représente 31,3 % du chiffre d'affaires, contre une norme sectorielle de 8 à 12 %. 55 campagnes sur 300 affichent un retour sur investissement publicitaire inférieur à 1, pour 192 944 $ engagés sans retour. De plus, le chiffre d'affaires attribué aux campagnes (3 254 203 $) dépasse de 36 % le chiffre d'affaires réel de l'entreprise, ce qui invalide le modèle d'attribution actuel.</w:t>
      </w:r>
    </w:p>
    <w:p>
      <w:pPr>
        <w:pStyle w:val="Heading3"/>
      </w:pPr>
      <w:r>
        <w:t>Une double concentration du chiffre d'affaires</w:t>
      </w:r>
    </w:p>
    <w:p>
      <w:pPr>
        <w:spacing w:after="140"/>
      </w:pPr>
      <w:r>
        <w:rPr>
          <w:b w:val="0"/>
          <w:i w:val="0"/>
          <w:sz w:val="21"/>
        </w:rPr>
        <w:t>Le canal e-commerce concentre 56,7 % du chiffre d'affaires et la province de Kinshasa 79,6 %. Par ailleurs, 20 % des clients génèrent 62,1 % du chiffre d'affaires et 36 % des références en produisent 80 %. Cette concentration crée un risque de dépendance élevé.</w:t>
      </w:r>
    </w:p>
    <w:p>
      <w:pPr>
        <w:pStyle w:val="Heading3"/>
      </w:pPr>
      <w:r>
        <w:t>Des retours dominés par un problème simple à corriger</w:t>
      </w:r>
    </w:p>
    <w:p>
      <w:pPr>
        <w:spacing w:after="140"/>
      </w:pPr>
      <w:r>
        <w:rPr>
          <w:b w:val="0"/>
          <w:i w:val="0"/>
          <w:sz w:val="21"/>
        </w:rPr>
        <w:t>Le taux de retour s'établit à 13,3 %, pour 64 831 $ remboursés. Les problèmes de taille représentent à eux seuls 44 % des retours (881 cas, 30 450 $). Il s'agit d'un levier d'amélioration à faible coût.</w:t>
      </w:r>
    </w:p>
    <w:p>
      <w:r>
        <w:br w:type="page"/>
      </w:r>
    </w:p>
    <w:p>
      <w:pPr>
        <w:pStyle w:val="Heading1"/>
      </w:pPr>
      <w:r>
        <w:t>2. Méthodologie et qualité des données</w:t>
      </w:r>
    </w:p>
    <w:p>
      <w:pPr>
        <w:pStyle w:val="Heading2"/>
      </w:pPr>
      <w:r>
        <w:t>2.1 Périmètre et démarche</w:t>
      </w:r>
    </w:p>
    <w:p>
      <w:pPr>
        <w:spacing w:after="140"/>
      </w:pPr>
      <w:r>
        <w:rPr>
          <w:b w:val="0"/>
          <w:i w:val="0"/>
          <w:sz w:val="21"/>
        </w:rPr>
        <w:t>L'analyse porte sur l'intégralité de la base CongoTopFashion, composée de 24 tables et 100 351 enregistrements couvrant la période du 1er janvier 2021 au 31 décembre 2025. La démarche suivie comprend six étapes : audit de qualité, nettoyage, construction du modèle de données, analyse exploratoire, analyses avancées (segmentation, cohortes, Pareto, projection) et formulation des recommandations.</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fill="2C6E8E"/>
          </w:tcPr>
          <w:p>
            <w:r/>
            <w:r>
              <w:rPr>
                <w:b/>
                <w:color w:val="FFFFFF"/>
                <w:sz w:val="18"/>
              </w:rPr>
              <w:t>Domaine</w:t>
            </w:r>
          </w:p>
        </w:tc>
        <w:tc>
          <w:tcPr>
            <w:tcW w:type="dxa" w:w="4252"/>
            <w:shd w:val="clear" w:fill="2C6E8E"/>
          </w:tcPr>
          <w:p>
            <w:r/>
            <w:r>
              <w:rPr>
                <w:b/>
                <w:color w:val="FFFFFF"/>
                <w:sz w:val="18"/>
              </w:rPr>
              <w:t>Tables</w:t>
            </w:r>
          </w:p>
        </w:tc>
        <w:tc>
          <w:tcPr>
            <w:tcW w:type="dxa" w:w="2268"/>
            <w:shd w:val="clear" w:fill="2C6E8E"/>
          </w:tcPr>
          <w:p>
            <w:r/>
            <w:r>
              <w:rPr>
                <w:b/>
                <w:color w:val="FFFFFF"/>
                <w:sz w:val="18"/>
              </w:rPr>
              <w:t>Volume</w:t>
            </w:r>
          </w:p>
        </w:tc>
      </w:tr>
      <w:tr>
        <w:tc>
          <w:tcPr>
            <w:tcW w:type="dxa" w:w="1814"/>
          </w:tcPr>
          <w:p>
            <w:r/>
            <w:r>
              <w:rPr>
                <w:sz w:val="18"/>
              </w:rPr>
              <w:t>Ventes</w:t>
            </w:r>
          </w:p>
        </w:tc>
        <w:tc>
          <w:tcPr>
            <w:tcW w:type="dxa" w:w="4252"/>
          </w:tcPr>
          <w:p>
            <w:r/>
            <w:r>
              <w:rPr>
                <w:sz w:val="18"/>
              </w:rPr>
              <w:t>Commandes, Détails_Commandes, Paiements</w:t>
            </w:r>
          </w:p>
        </w:tc>
        <w:tc>
          <w:tcPr>
            <w:tcW w:type="dxa" w:w="2268"/>
          </w:tcPr>
          <w:p>
            <w:r/>
            <w:r>
              <w:rPr>
                <w:sz w:val="18"/>
              </w:rPr>
              <w:t>75 000 lignes</w:t>
            </w:r>
          </w:p>
        </w:tc>
      </w:tr>
      <w:tr>
        <w:tc>
          <w:tcPr>
            <w:tcW w:type="dxa" w:w="1814"/>
          </w:tcPr>
          <w:p>
            <w:r/>
            <w:r>
              <w:rPr>
                <w:sz w:val="18"/>
              </w:rPr>
              <w:t>Clients</w:t>
            </w:r>
          </w:p>
        </w:tc>
        <w:tc>
          <w:tcPr>
            <w:tcW w:type="dxa" w:w="4252"/>
          </w:tcPr>
          <w:p>
            <w:r/>
            <w:r>
              <w:rPr>
                <w:sz w:val="18"/>
              </w:rPr>
              <w:t>Clients</w:t>
            </w:r>
          </w:p>
        </w:tc>
        <w:tc>
          <w:tcPr>
            <w:tcW w:type="dxa" w:w="2268"/>
          </w:tcPr>
          <w:p>
            <w:r/>
            <w:r>
              <w:rPr>
                <w:sz w:val="18"/>
              </w:rPr>
              <w:t>2 000 lignes</w:t>
            </w:r>
          </w:p>
        </w:tc>
      </w:tr>
      <w:tr>
        <w:tc>
          <w:tcPr>
            <w:tcW w:type="dxa" w:w="1814"/>
          </w:tcPr>
          <w:p>
            <w:r/>
            <w:r>
              <w:rPr>
                <w:sz w:val="18"/>
              </w:rPr>
              <w:t>Produits</w:t>
            </w:r>
          </w:p>
        </w:tc>
        <w:tc>
          <w:tcPr>
            <w:tcW w:type="dxa" w:w="4252"/>
          </w:tcPr>
          <w:p>
            <w:r/>
            <w:r>
              <w:rPr>
                <w:sz w:val="18"/>
              </w:rPr>
              <w:t>Produits, Catégories, Sous_Catégories, Marques</w:t>
            </w:r>
          </w:p>
        </w:tc>
        <w:tc>
          <w:tcPr>
            <w:tcW w:type="dxa" w:w="2268"/>
          </w:tcPr>
          <w:p>
            <w:r/>
            <w:r>
              <w:rPr>
                <w:sz w:val="18"/>
              </w:rPr>
              <w:t>799 lignes</w:t>
            </w:r>
          </w:p>
        </w:tc>
      </w:tr>
      <w:tr>
        <w:tc>
          <w:tcPr>
            <w:tcW w:type="dxa" w:w="1814"/>
          </w:tcPr>
          <w:p>
            <w:r/>
            <w:r>
              <w:rPr>
                <w:sz w:val="18"/>
              </w:rPr>
              <w:t>Logistique</w:t>
            </w:r>
          </w:p>
        </w:tc>
        <w:tc>
          <w:tcPr>
            <w:tcW w:type="dxa" w:w="4252"/>
          </w:tcPr>
          <w:p>
            <w:r/>
            <w:r>
              <w:rPr>
                <w:sz w:val="18"/>
              </w:rPr>
              <w:t>Livraisons, Retours, Stocks, Inventaires</w:t>
            </w:r>
          </w:p>
        </w:tc>
        <w:tc>
          <w:tcPr>
            <w:tcW w:type="dxa" w:w="2268"/>
          </w:tcPr>
          <w:p>
            <w:r/>
            <w:r>
              <w:rPr>
                <w:sz w:val="18"/>
              </w:rPr>
              <w:t>23 500 lignes</w:t>
            </w:r>
          </w:p>
        </w:tc>
      </w:tr>
      <w:tr>
        <w:tc>
          <w:tcPr>
            <w:tcW w:type="dxa" w:w="1814"/>
          </w:tcPr>
          <w:p>
            <w:r/>
            <w:r>
              <w:rPr>
                <w:sz w:val="18"/>
              </w:rPr>
              <w:t>Réseau</w:t>
            </w:r>
          </w:p>
        </w:tc>
        <w:tc>
          <w:tcPr>
            <w:tcW w:type="dxa" w:w="4252"/>
          </w:tcPr>
          <w:p>
            <w:r/>
            <w:r>
              <w:rPr>
                <w:sz w:val="18"/>
              </w:rPr>
              <w:t>Boutiques, Employés</w:t>
            </w:r>
          </w:p>
        </w:tc>
        <w:tc>
          <w:tcPr>
            <w:tcW w:type="dxa" w:w="2268"/>
          </w:tcPr>
          <w:p>
            <w:r/>
            <w:r>
              <w:rPr>
                <w:sz w:val="18"/>
              </w:rPr>
              <w:t>132 lignes</w:t>
            </w:r>
          </w:p>
        </w:tc>
      </w:tr>
      <w:tr>
        <w:tc>
          <w:tcPr>
            <w:tcW w:type="dxa" w:w="1814"/>
          </w:tcPr>
          <w:p>
            <w:r/>
            <w:r>
              <w:rPr>
                <w:sz w:val="18"/>
              </w:rPr>
              <w:t>Marketing</w:t>
            </w:r>
          </w:p>
        </w:tc>
        <w:tc>
          <w:tcPr>
            <w:tcW w:type="dxa" w:w="4252"/>
          </w:tcPr>
          <w:p>
            <w:r/>
            <w:r>
              <w:rPr>
                <w:sz w:val="18"/>
              </w:rPr>
              <w:t>Promotions, Campagnes_Marketing</w:t>
            </w:r>
          </w:p>
        </w:tc>
        <w:tc>
          <w:tcPr>
            <w:tcW w:type="dxa" w:w="2268"/>
          </w:tcPr>
          <w:p>
            <w:r/>
            <w:r>
              <w:rPr>
                <w:sz w:val="18"/>
              </w:rPr>
              <w:t>900 lignes</w:t>
            </w:r>
          </w:p>
        </w:tc>
      </w:tr>
      <w:tr>
        <w:tc>
          <w:tcPr>
            <w:tcW w:type="dxa" w:w="1814"/>
          </w:tcPr>
          <w:p>
            <w:r/>
            <w:r>
              <w:rPr>
                <w:sz w:val="18"/>
              </w:rPr>
              <w:t>Achats</w:t>
            </w:r>
          </w:p>
        </w:tc>
        <w:tc>
          <w:tcPr>
            <w:tcW w:type="dxa" w:w="4252"/>
          </w:tcPr>
          <w:p>
            <w:r/>
            <w:r>
              <w:rPr>
                <w:sz w:val="18"/>
              </w:rPr>
              <w:t>Fournisseurs, Achats_Fournisseurs</w:t>
            </w:r>
          </w:p>
        </w:tc>
        <w:tc>
          <w:tcPr>
            <w:tcW w:type="dxa" w:w="2268"/>
          </w:tcPr>
          <w:p>
            <w:r/>
            <w:r>
              <w:rPr>
                <w:sz w:val="18"/>
              </w:rPr>
              <w:t>2 560 lignes</w:t>
            </w:r>
          </w:p>
        </w:tc>
      </w:tr>
      <w:tr>
        <w:tc>
          <w:tcPr>
            <w:tcW w:type="dxa" w:w="1814"/>
          </w:tcPr>
          <w:p>
            <w:r/>
            <w:r>
              <w:rPr>
                <w:sz w:val="18"/>
              </w:rPr>
              <w:t>Pilotage</w:t>
            </w:r>
          </w:p>
        </w:tc>
        <w:tc>
          <w:tcPr>
            <w:tcW w:type="dxa" w:w="4252"/>
          </w:tcPr>
          <w:p>
            <w:r/>
            <w:r>
              <w:rPr>
                <w:sz w:val="18"/>
              </w:rPr>
              <w:t>Objectifs_Commerciaux, KPI_Annuel, KPI_Global, Paramètres</w:t>
            </w:r>
          </w:p>
        </w:tc>
        <w:tc>
          <w:tcPr>
            <w:tcW w:type="dxa" w:w="2268"/>
          </w:tcPr>
          <w:p>
            <w:r/>
            <w:r>
              <w:rPr>
                <w:sz w:val="18"/>
              </w:rPr>
              <w:t>541 lignes</w:t>
            </w:r>
          </w:p>
        </w:tc>
      </w:tr>
    </w:tbl>
    <w:p>
      <w:pPr>
        <w:spacing w:after="80"/>
      </w:pPr>
    </w:p>
    <w:p>
      <w:pPr>
        <w:pStyle w:val="Heading2"/>
      </w:pPr>
      <w:r>
        <w:t>2.2 Contrôles effectués et résultats</w:t>
      </w:r>
    </w:p>
    <w:p>
      <w:pPr>
        <w:spacing w:after="140"/>
      </w:pPr>
      <w:r>
        <w:rPr>
          <w:b w:val="0"/>
          <w:i w:val="0"/>
          <w:sz w:val="21"/>
        </w:rPr>
        <w:t>Six familles de contrôles ont été appliquées à l'ensemble des tables.</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2C6E8E"/>
          </w:tcPr>
          <w:p>
            <w:r/>
            <w:r>
              <w:rPr>
                <w:b/>
                <w:color w:val="FFFFFF"/>
                <w:sz w:val="18"/>
              </w:rPr>
              <w:t>Contrôle</w:t>
            </w:r>
          </w:p>
        </w:tc>
        <w:tc>
          <w:tcPr>
            <w:tcW w:type="dxa" w:w="3402"/>
            <w:shd w:val="clear" w:fill="2C6E8E"/>
          </w:tcPr>
          <w:p>
            <w:r/>
            <w:r>
              <w:rPr>
                <w:b/>
                <w:color w:val="FFFFFF"/>
                <w:sz w:val="18"/>
              </w:rPr>
              <w:t>Périmètre</w:t>
            </w:r>
          </w:p>
        </w:tc>
        <w:tc>
          <w:tcPr>
            <w:tcW w:type="dxa" w:w="3402"/>
            <w:shd w:val="clear" w:fill="2C6E8E"/>
          </w:tcPr>
          <w:p>
            <w:r/>
            <w:r>
              <w:rPr>
                <w:b/>
                <w:color w:val="FFFFFF"/>
                <w:sz w:val="18"/>
              </w:rPr>
              <w:t>Résultat</w:t>
            </w:r>
          </w:p>
        </w:tc>
      </w:tr>
      <w:tr>
        <w:tc>
          <w:tcPr>
            <w:tcW w:type="dxa" w:w="2551"/>
          </w:tcPr>
          <w:p>
            <w:r/>
            <w:r>
              <w:rPr>
                <w:sz w:val="18"/>
              </w:rPr>
              <w:t>Doublons de lignes</w:t>
            </w:r>
          </w:p>
        </w:tc>
        <w:tc>
          <w:tcPr>
            <w:tcW w:type="dxa" w:w="3402"/>
          </w:tcPr>
          <w:p>
            <w:r/>
            <w:r>
              <w:rPr>
                <w:sz w:val="18"/>
              </w:rPr>
              <w:t>24 tables</w:t>
            </w:r>
          </w:p>
        </w:tc>
        <w:tc>
          <w:tcPr>
            <w:tcW w:type="dxa" w:w="3402"/>
          </w:tcPr>
          <w:p>
            <w:r/>
            <w:r>
              <w:rPr>
                <w:sz w:val="18"/>
              </w:rPr>
              <w:t>Aucun doublon détecté</w:t>
            </w:r>
          </w:p>
        </w:tc>
      </w:tr>
      <w:tr>
        <w:tc>
          <w:tcPr>
            <w:tcW w:type="dxa" w:w="2551"/>
          </w:tcPr>
          <w:p>
            <w:r/>
            <w:r>
              <w:rPr>
                <w:sz w:val="18"/>
              </w:rPr>
              <w:t>Unicité des identifiants</w:t>
            </w:r>
          </w:p>
        </w:tc>
        <w:tc>
          <w:tcPr>
            <w:tcW w:type="dxa" w:w="3402"/>
          </w:tcPr>
          <w:p>
            <w:r/>
            <w:r>
              <w:rPr>
                <w:sz w:val="18"/>
              </w:rPr>
              <w:t>19 tables transactionnelles</w:t>
            </w:r>
          </w:p>
        </w:tc>
        <w:tc>
          <w:tcPr>
            <w:tcW w:type="dxa" w:w="3402"/>
          </w:tcPr>
          <w:p>
            <w:r/>
            <w:r>
              <w:rPr>
                <w:sz w:val="18"/>
              </w:rPr>
              <w:t>Aucun identifiant dupliqué</w:t>
            </w:r>
          </w:p>
        </w:tc>
      </w:tr>
      <w:tr>
        <w:tc>
          <w:tcPr>
            <w:tcW w:type="dxa" w:w="2551"/>
          </w:tcPr>
          <w:p>
            <w:r/>
            <w:r>
              <w:rPr>
                <w:sz w:val="18"/>
              </w:rPr>
              <w:t>Intégrité référentielle</w:t>
            </w:r>
          </w:p>
        </w:tc>
        <w:tc>
          <w:tcPr>
            <w:tcW w:type="dxa" w:w="3402"/>
          </w:tcPr>
          <w:p>
            <w:r/>
            <w:r>
              <w:rPr>
                <w:sz w:val="18"/>
              </w:rPr>
              <w:t>18 relations clé étrangère</w:t>
            </w:r>
          </w:p>
        </w:tc>
        <w:tc>
          <w:tcPr>
            <w:tcW w:type="dxa" w:w="3402"/>
          </w:tcPr>
          <w:p>
            <w:r/>
            <w:r>
              <w:rPr>
                <w:sz w:val="18"/>
              </w:rPr>
              <w:t>Aucune référence orpheline</w:t>
            </w:r>
          </w:p>
        </w:tc>
      </w:tr>
      <w:tr>
        <w:tc>
          <w:tcPr>
            <w:tcW w:type="dxa" w:w="2551"/>
          </w:tcPr>
          <w:p>
            <w:r/>
            <w:r>
              <w:rPr>
                <w:sz w:val="18"/>
              </w:rPr>
              <w:t>Valeurs aberrantes</w:t>
            </w:r>
          </w:p>
        </w:tc>
        <w:tc>
          <w:tcPr>
            <w:tcW w:type="dxa" w:w="3402"/>
          </w:tcPr>
          <w:p>
            <w:r/>
            <w:r>
              <w:rPr>
                <w:sz w:val="18"/>
              </w:rPr>
              <w:t>Montants, marges, quantités, âges, délais</w:t>
            </w:r>
          </w:p>
        </w:tc>
        <w:tc>
          <w:tcPr>
            <w:tcW w:type="dxa" w:w="3402"/>
          </w:tcPr>
          <w:p>
            <w:r/>
            <w:r>
              <w:rPr>
                <w:sz w:val="18"/>
              </w:rPr>
              <w:t>Aucune valeur aberrante</w:t>
            </w:r>
          </w:p>
        </w:tc>
      </w:tr>
      <w:tr>
        <w:tc>
          <w:tcPr>
            <w:tcW w:type="dxa" w:w="2551"/>
          </w:tcPr>
          <w:p>
            <w:r/>
            <w:r>
              <w:rPr>
                <w:sz w:val="18"/>
              </w:rPr>
              <w:t>Cohérence arithmétique</w:t>
            </w:r>
          </w:p>
        </w:tc>
        <w:tc>
          <w:tcPr>
            <w:tcW w:type="dxa" w:w="3402"/>
          </w:tcPr>
          <w:p>
            <w:r/>
            <w:r>
              <w:rPr>
                <w:sz w:val="18"/>
              </w:rPr>
              <w:t>15 000 commandes</w:t>
            </w:r>
          </w:p>
        </w:tc>
        <w:tc>
          <w:tcPr>
            <w:tcW w:type="dxa" w:w="3402"/>
          </w:tcPr>
          <w:p>
            <w:r/>
            <w:r>
              <w:rPr>
                <w:sz w:val="18"/>
              </w:rPr>
              <w:t>Montant Brut − Remise = Montant Net vérifié</w:t>
            </w:r>
          </w:p>
        </w:tc>
      </w:tr>
      <w:tr>
        <w:tc>
          <w:tcPr>
            <w:tcW w:type="dxa" w:w="2551"/>
          </w:tcPr>
          <w:p>
            <w:r/>
            <w:r>
              <w:rPr>
                <w:sz w:val="18"/>
              </w:rPr>
              <w:t>Valeurs manquantes</w:t>
            </w:r>
          </w:p>
        </w:tc>
        <w:tc>
          <w:tcPr>
            <w:tcW w:type="dxa" w:w="3402"/>
          </w:tcPr>
          <w:p>
            <w:r/>
            <w:r>
              <w:rPr>
                <w:sz w:val="18"/>
              </w:rPr>
              <w:t>24 tables</w:t>
            </w:r>
          </w:p>
        </w:tc>
        <w:tc>
          <w:tcPr>
            <w:tcW w:type="dxa" w:w="3402"/>
          </w:tcPr>
          <w:p>
            <w:r/>
            <w:r>
              <w:rPr>
                <w:sz w:val="18"/>
              </w:rPr>
              <w:t>Manquants structurels uniquement</w:t>
            </w:r>
          </w:p>
        </w:tc>
      </w:tr>
    </w:tbl>
    <w:p>
      <w:pPr>
        <w:spacing w:after="80"/>
      </w:pPr>
    </w:p>
    <w:p>
      <w:pPr>
        <w:spacing w:after="80"/>
      </w:pPr>
      <w:r>
        <w:rPr>
          <w:b w:val="0"/>
          <w:i w:val="0"/>
          <w:sz w:val="21"/>
        </w:rPr>
        <w:t>La base présente une qualité technique élevée. Les valeurs manquantes relevées correspondent à des situations métier légitimes et non à des défauts de saisie :</w:t>
      </w:r>
    </w:p>
    <w:p>
      <w:pPr>
        <w:pStyle w:val="ListBullet"/>
        <w:spacing w:after="60"/>
      </w:pPr>
      <w:r>
        <w:rPr>
          <w:sz w:val="21"/>
        </w:rPr>
        <w:t>8 607 commandes sans vendeur identifié : ventes réalisées en ligne sans intervention humaine.</w:t>
      </w:r>
    </w:p>
    <w:p>
      <w:pPr>
        <w:pStyle w:val="ListBullet"/>
        <w:spacing w:after="60"/>
      </w:pPr>
      <w:r>
        <w:rPr>
          <w:sz w:val="21"/>
        </w:rPr>
        <w:t>8 930 commandes sans promotion : achats effectués hors campagne promotionnelle.</w:t>
      </w:r>
    </w:p>
    <w:p>
      <w:pPr>
        <w:pStyle w:val="ListBullet"/>
        <w:spacing w:after="60"/>
      </w:pPr>
      <w:r>
        <w:rPr>
          <w:sz w:val="21"/>
        </w:rPr>
        <w:t>1 613 clients sans entreprise renseignée : clients particuliers.</w:t>
      </w:r>
    </w:p>
    <w:p>
      <w:pPr>
        <w:pStyle w:val="ListBullet"/>
        <w:spacing w:after="60"/>
      </w:pPr>
      <w:r>
        <w:rPr>
          <w:sz w:val="21"/>
        </w:rPr>
        <w:t>931 livraisons sans date d'expédition : correspondent exactement aux 931 commandes annulées.</w:t>
      </w:r>
    </w:p>
    <w:p>
      <w:pPr>
        <w:pStyle w:val="ListBullet"/>
        <w:spacing w:after="60"/>
      </w:pPr>
      <w:r>
        <w:rPr>
          <w:sz w:val="21"/>
        </w:rPr>
        <w:t>257 clients sans date de dernier achat : inscrits n'ayant jamais commandé.</w:t>
      </w:r>
    </w:p>
    <w:p>
      <w:pPr>
        <w:spacing w:after="140"/>
      </w:pPr>
      <w:r>
        <w:rPr>
          <w:b w:val="0"/>
          <w:i w:val="0"/>
          <w:sz w:val="21"/>
        </w:rPr>
        <w:t>Deux traitements ont été appliqués : la suppression des espaces superflus dans les champs texte et la conversion explicite de toutes les colonnes de dates au format date. Aucune ligne n'a été supprimée et aucune valeur n'a été imputée, la base ne le justifiant pas.</w:t>
      </w:r>
    </w:p>
    <w:p>
      <w:pPr>
        <w:pStyle w:val="Heading2"/>
      </w:pPr>
      <w:r>
        <w:t>2.3 Une réserve méthodologique importante</w:t>
      </w:r>
    </w:p>
    <w:p>
      <w:r>
        <w:rPr>
          <w:b/>
          <w:color w:val="C1553D"/>
          <w:sz w:val="21"/>
        </w:rPr>
        <w:t xml:space="preserve">Le calcul de la marge nette dans le tableau de bord existant est erroné. </w:t>
      </w:r>
      <w:r>
        <w:rPr>
          <w:sz w:val="21"/>
        </w:rPr>
        <w:t>L'onglet KPI_Global affiche une marge nette de 33,45 %, obtenue en calculant la moyenne arithmétique de la colonne Marge_% de la table Commandes. Cette méthode attribue le même poids à chaque commande quelle que soit son montant. La marge nette correcte, calculée comme le rapport du bénéfice total au chiffre d'affaires total, s'établit à 28,76 %. L'écart de 4,69 points est significatif et fausse les décisions de tarification, d'investissement et de fixation d'objectifs. L'ensemble du présent rapport retient la marge pondérée.</w:t>
      </w:r>
    </w:p>
    <w:p>
      <w:r>
        <w:br w:type="page"/>
      </w:r>
    </w:p>
    <w:p>
      <w:pPr>
        <w:pStyle w:val="Heading1"/>
      </w:pPr>
      <w:r>
        <w:t>3. Analyse des ventes</w:t>
      </w:r>
    </w:p>
    <w:p>
      <w:pPr>
        <w:pStyle w:val="Heading2"/>
      </w:pPr>
      <w:r>
        <w:t>3.1 Évolution et trajectoire</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020"/>
            <w:shd w:val="clear" w:fill="2C6E8E"/>
          </w:tcPr>
          <w:p>
            <w:r/>
            <w:r>
              <w:rPr>
                <w:b/>
                <w:color w:val="FFFFFF"/>
                <w:sz w:val="18"/>
              </w:rPr>
              <w:t>Année</w:t>
            </w:r>
          </w:p>
        </w:tc>
        <w:tc>
          <w:tcPr>
            <w:tcW w:type="dxa" w:w="1701"/>
            <w:shd w:val="clear" w:fill="2C6E8E"/>
          </w:tcPr>
          <w:p>
            <w:r/>
            <w:r>
              <w:rPr>
                <w:b/>
                <w:color w:val="FFFFFF"/>
                <w:sz w:val="18"/>
              </w:rPr>
              <w:t>CA</w:t>
            </w:r>
          </w:p>
        </w:tc>
        <w:tc>
          <w:tcPr>
            <w:tcW w:type="dxa" w:w="1587"/>
            <w:shd w:val="clear" w:fill="2C6E8E"/>
          </w:tcPr>
          <w:p>
            <w:r/>
            <w:r>
              <w:rPr>
                <w:b/>
                <w:color w:val="FFFFFF"/>
                <w:sz w:val="18"/>
              </w:rPr>
              <w:t>Bénéfice</w:t>
            </w:r>
          </w:p>
        </w:tc>
        <w:tc>
          <w:tcPr>
            <w:tcW w:type="dxa" w:w="1247"/>
            <w:shd w:val="clear" w:fill="2C6E8E"/>
          </w:tcPr>
          <w:p>
            <w:r/>
            <w:r>
              <w:rPr>
                <w:b/>
                <w:color w:val="FFFFFF"/>
                <w:sz w:val="18"/>
              </w:rPr>
              <w:t>Commandes</w:t>
            </w:r>
          </w:p>
        </w:tc>
        <w:tc>
          <w:tcPr>
            <w:tcW w:type="dxa" w:w="1474"/>
            <w:shd w:val="clear" w:fill="2C6E8E"/>
          </w:tcPr>
          <w:p>
            <w:r/>
            <w:r>
              <w:rPr>
                <w:b/>
                <w:color w:val="FFFFFF"/>
                <w:sz w:val="18"/>
              </w:rPr>
              <w:t>Panier moyen</w:t>
            </w:r>
          </w:p>
        </w:tc>
        <w:tc>
          <w:tcPr>
            <w:tcW w:type="dxa" w:w="1020"/>
            <w:shd w:val="clear" w:fill="2C6E8E"/>
          </w:tcPr>
          <w:p>
            <w:r/>
            <w:r>
              <w:rPr>
                <w:b/>
                <w:color w:val="FFFFFF"/>
                <w:sz w:val="18"/>
              </w:rPr>
              <w:t>Marge</w:t>
            </w:r>
          </w:p>
        </w:tc>
        <w:tc>
          <w:tcPr>
            <w:tcW w:type="dxa" w:w="1304"/>
            <w:shd w:val="clear" w:fill="2C6E8E"/>
          </w:tcPr>
          <w:p>
            <w:r/>
            <w:r>
              <w:rPr>
                <w:b/>
                <w:color w:val="FFFFFF"/>
                <w:sz w:val="18"/>
              </w:rPr>
              <w:t>Croissance</w:t>
            </w:r>
          </w:p>
        </w:tc>
      </w:tr>
      <w:tr>
        <w:tc>
          <w:tcPr>
            <w:tcW w:type="dxa" w:w="1020"/>
          </w:tcPr>
          <w:p>
            <w:r/>
            <w:r>
              <w:rPr>
                <w:sz w:val="18"/>
              </w:rPr>
              <w:t>2021</w:t>
            </w:r>
          </w:p>
        </w:tc>
        <w:tc>
          <w:tcPr>
            <w:tcW w:type="dxa" w:w="1701"/>
          </w:tcPr>
          <w:p>
            <w:r/>
            <w:r>
              <w:rPr>
                <w:sz w:val="18"/>
              </w:rPr>
              <w:t>228 634 $</w:t>
            </w:r>
          </w:p>
        </w:tc>
        <w:tc>
          <w:tcPr>
            <w:tcW w:type="dxa" w:w="1587"/>
          </w:tcPr>
          <w:p>
            <w:r/>
            <w:r>
              <w:rPr>
                <w:sz w:val="18"/>
              </w:rPr>
              <w:t>67 165 $</w:t>
            </w:r>
          </w:p>
        </w:tc>
        <w:tc>
          <w:tcPr>
            <w:tcW w:type="dxa" w:w="1247"/>
          </w:tcPr>
          <w:p>
            <w:r/>
            <w:r>
              <w:rPr>
                <w:sz w:val="18"/>
              </w:rPr>
              <w:t>1 678</w:t>
            </w:r>
          </w:p>
        </w:tc>
        <w:tc>
          <w:tcPr>
            <w:tcW w:type="dxa" w:w="1474"/>
          </w:tcPr>
          <w:p>
            <w:r/>
            <w:r>
              <w:rPr>
                <w:sz w:val="18"/>
              </w:rPr>
              <w:t>136,25 $</w:t>
            </w:r>
          </w:p>
        </w:tc>
        <w:tc>
          <w:tcPr>
            <w:tcW w:type="dxa" w:w="1020"/>
          </w:tcPr>
          <w:p>
            <w:r/>
            <w:r>
              <w:rPr>
                <w:sz w:val="18"/>
              </w:rPr>
              <w:t>29,38 %</w:t>
            </w:r>
          </w:p>
        </w:tc>
        <w:tc>
          <w:tcPr>
            <w:tcW w:type="dxa" w:w="1304"/>
          </w:tcPr>
          <w:p>
            <w:r/>
            <w:r>
              <w:rPr>
                <w:sz w:val="18"/>
              </w:rPr>
              <w:t>—</w:t>
            </w:r>
          </w:p>
        </w:tc>
      </w:tr>
      <w:tr>
        <w:tc>
          <w:tcPr>
            <w:tcW w:type="dxa" w:w="1020"/>
          </w:tcPr>
          <w:p>
            <w:r/>
            <w:r>
              <w:rPr>
                <w:sz w:val="18"/>
              </w:rPr>
              <w:t>2022</w:t>
            </w:r>
          </w:p>
        </w:tc>
        <w:tc>
          <w:tcPr>
            <w:tcW w:type="dxa" w:w="1701"/>
          </w:tcPr>
          <w:p>
            <w:r/>
            <w:r>
              <w:rPr>
                <w:sz w:val="18"/>
              </w:rPr>
              <w:t>346 304 $</w:t>
            </w:r>
          </w:p>
        </w:tc>
        <w:tc>
          <w:tcPr>
            <w:tcW w:type="dxa" w:w="1587"/>
          </w:tcPr>
          <w:p>
            <w:r/>
            <w:r>
              <w:rPr>
                <w:sz w:val="18"/>
              </w:rPr>
              <w:t>100 716 $</w:t>
            </w:r>
          </w:p>
        </w:tc>
        <w:tc>
          <w:tcPr>
            <w:tcW w:type="dxa" w:w="1247"/>
          </w:tcPr>
          <w:p>
            <w:r/>
            <w:r>
              <w:rPr>
                <w:sz w:val="18"/>
              </w:rPr>
              <w:t>2 261</w:t>
            </w:r>
          </w:p>
        </w:tc>
        <w:tc>
          <w:tcPr>
            <w:tcW w:type="dxa" w:w="1474"/>
          </w:tcPr>
          <w:p>
            <w:r/>
            <w:r>
              <w:rPr>
                <w:sz w:val="18"/>
              </w:rPr>
              <w:t>153,16 $</w:t>
            </w:r>
          </w:p>
        </w:tc>
        <w:tc>
          <w:tcPr>
            <w:tcW w:type="dxa" w:w="1020"/>
          </w:tcPr>
          <w:p>
            <w:r/>
            <w:r>
              <w:rPr>
                <w:sz w:val="18"/>
              </w:rPr>
              <w:t>29,08 %</w:t>
            </w:r>
          </w:p>
        </w:tc>
        <w:tc>
          <w:tcPr>
            <w:tcW w:type="dxa" w:w="1304"/>
          </w:tcPr>
          <w:p>
            <w:r/>
            <w:r>
              <w:rPr>
                <w:sz w:val="18"/>
              </w:rPr>
              <w:t>+51,5 %</w:t>
            </w:r>
          </w:p>
        </w:tc>
      </w:tr>
      <w:tr>
        <w:tc>
          <w:tcPr>
            <w:tcW w:type="dxa" w:w="1020"/>
          </w:tcPr>
          <w:p>
            <w:r/>
            <w:r>
              <w:rPr>
                <w:sz w:val="18"/>
              </w:rPr>
              <w:t>2023</w:t>
            </w:r>
          </w:p>
        </w:tc>
        <w:tc>
          <w:tcPr>
            <w:tcW w:type="dxa" w:w="1701"/>
          </w:tcPr>
          <w:p>
            <w:r/>
            <w:r>
              <w:rPr>
                <w:sz w:val="18"/>
              </w:rPr>
              <w:t>492 486 $</w:t>
            </w:r>
          </w:p>
        </w:tc>
        <w:tc>
          <w:tcPr>
            <w:tcW w:type="dxa" w:w="1587"/>
          </w:tcPr>
          <w:p>
            <w:r/>
            <w:r>
              <w:rPr>
                <w:sz w:val="18"/>
              </w:rPr>
              <w:t>140 609 $</w:t>
            </w:r>
          </w:p>
        </w:tc>
        <w:tc>
          <w:tcPr>
            <w:tcW w:type="dxa" w:w="1247"/>
          </w:tcPr>
          <w:p>
            <w:r/>
            <w:r>
              <w:rPr>
                <w:sz w:val="18"/>
              </w:rPr>
              <w:t>2 828</w:t>
            </w:r>
          </w:p>
        </w:tc>
        <w:tc>
          <w:tcPr>
            <w:tcW w:type="dxa" w:w="1474"/>
          </w:tcPr>
          <w:p>
            <w:r/>
            <w:r>
              <w:rPr>
                <w:sz w:val="18"/>
              </w:rPr>
              <w:t>174,15 $</w:t>
            </w:r>
          </w:p>
        </w:tc>
        <w:tc>
          <w:tcPr>
            <w:tcW w:type="dxa" w:w="1020"/>
          </w:tcPr>
          <w:p>
            <w:r/>
            <w:r>
              <w:rPr>
                <w:sz w:val="18"/>
              </w:rPr>
              <w:t>28,55 %</w:t>
            </w:r>
          </w:p>
        </w:tc>
        <w:tc>
          <w:tcPr>
            <w:tcW w:type="dxa" w:w="1304"/>
          </w:tcPr>
          <w:p>
            <w:r/>
            <w:r>
              <w:rPr>
                <w:sz w:val="18"/>
              </w:rPr>
              <w:t>+42,2 %</w:t>
            </w:r>
          </w:p>
        </w:tc>
      </w:tr>
      <w:tr>
        <w:tc>
          <w:tcPr>
            <w:tcW w:type="dxa" w:w="1020"/>
          </w:tcPr>
          <w:p>
            <w:r/>
            <w:r>
              <w:rPr>
                <w:sz w:val="18"/>
              </w:rPr>
              <w:t>2024</w:t>
            </w:r>
          </w:p>
        </w:tc>
        <w:tc>
          <w:tcPr>
            <w:tcW w:type="dxa" w:w="1701"/>
          </w:tcPr>
          <w:p>
            <w:r/>
            <w:r>
              <w:rPr>
                <w:sz w:val="18"/>
              </w:rPr>
              <w:t>609 231 $</w:t>
            </w:r>
          </w:p>
        </w:tc>
        <w:tc>
          <w:tcPr>
            <w:tcW w:type="dxa" w:w="1587"/>
          </w:tcPr>
          <w:p>
            <w:r/>
            <w:r>
              <w:rPr>
                <w:sz w:val="18"/>
              </w:rPr>
              <w:t>174 464 $</w:t>
            </w:r>
          </w:p>
        </w:tc>
        <w:tc>
          <w:tcPr>
            <w:tcW w:type="dxa" w:w="1247"/>
          </w:tcPr>
          <w:p>
            <w:r/>
            <w:r>
              <w:rPr>
                <w:sz w:val="18"/>
              </w:rPr>
              <w:t>3 382</w:t>
            </w:r>
          </w:p>
        </w:tc>
        <w:tc>
          <w:tcPr>
            <w:tcW w:type="dxa" w:w="1474"/>
          </w:tcPr>
          <w:p>
            <w:r/>
            <w:r>
              <w:rPr>
                <w:sz w:val="18"/>
              </w:rPr>
              <w:t>180,14 $</w:t>
            </w:r>
          </w:p>
        </w:tc>
        <w:tc>
          <w:tcPr>
            <w:tcW w:type="dxa" w:w="1020"/>
          </w:tcPr>
          <w:p>
            <w:r/>
            <w:r>
              <w:rPr>
                <w:sz w:val="18"/>
              </w:rPr>
              <w:t>28,64 %</w:t>
            </w:r>
          </w:p>
        </w:tc>
        <w:tc>
          <w:tcPr>
            <w:tcW w:type="dxa" w:w="1304"/>
          </w:tcPr>
          <w:p>
            <w:r/>
            <w:r>
              <w:rPr>
                <w:sz w:val="18"/>
              </w:rPr>
              <w:t>+23,7 %</w:t>
            </w:r>
          </w:p>
        </w:tc>
      </w:tr>
      <w:tr>
        <w:tc>
          <w:tcPr>
            <w:tcW w:type="dxa" w:w="1020"/>
          </w:tcPr>
          <w:p>
            <w:r/>
            <w:r>
              <w:rPr>
                <w:sz w:val="18"/>
              </w:rPr>
              <w:t>2025</w:t>
            </w:r>
          </w:p>
        </w:tc>
        <w:tc>
          <w:tcPr>
            <w:tcW w:type="dxa" w:w="1701"/>
          </w:tcPr>
          <w:p>
            <w:r/>
            <w:r>
              <w:rPr>
                <w:sz w:val="18"/>
              </w:rPr>
              <w:t>709 171 $</w:t>
            </w:r>
          </w:p>
        </w:tc>
        <w:tc>
          <w:tcPr>
            <w:tcW w:type="dxa" w:w="1587"/>
          </w:tcPr>
          <w:p>
            <w:r/>
            <w:r>
              <w:rPr>
                <w:sz w:val="18"/>
              </w:rPr>
              <w:t>203 096 $</w:t>
            </w:r>
          </w:p>
        </w:tc>
        <w:tc>
          <w:tcPr>
            <w:tcW w:type="dxa" w:w="1247"/>
          </w:tcPr>
          <w:p>
            <w:r/>
            <w:r>
              <w:rPr>
                <w:sz w:val="18"/>
              </w:rPr>
              <w:t>3 920</w:t>
            </w:r>
          </w:p>
        </w:tc>
        <w:tc>
          <w:tcPr>
            <w:tcW w:type="dxa" w:w="1474"/>
          </w:tcPr>
          <w:p>
            <w:r/>
            <w:r>
              <w:rPr>
                <w:sz w:val="18"/>
              </w:rPr>
              <w:t>180,91 $</w:t>
            </w:r>
          </w:p>
        </w:tc>
        <w:tc>
          <w:tcPr>
            <w:tcW w:type="dxa" w:w="1020"/>
          </w:tcPr>
          <w:p>
            <w:r/>
            <w:r>
              <w:rPr>
                <w:sz w:val="18"/>
              </w:rPr>
              <w:t>28,64 %</w:t>
            </w:r>
          </w:p>
        </w:tc>
        <w:tc>
          <w:tcPr>
            <w:tcW w:type="dxa" w:w="1304"/>
          </w:tcPr>
          <w:p>
            <w:r/>
            <w:r>
              <w:rPr>
                <w:sz w:val="18"/>
              </w:rPr>
              <w:t>+16,4 %</w:t>
            </w:r>
          </w:p>
        </w:tc>
      </w:tr>
    </w:tbl>
    <w:p>
      <w:pPr>
        <w:spacing w:after="80"/>
      </w:pPr>
    </w:p>
    <w:p>
      <w:pPr>
        <w:jc w:val="center"/>
      </w:pPr>
      <w:r>
        <w:drawing>
          <wp:inline xmlns:a="http://schemas.openxmlformats.org/drawingml/2006/main" xmlns:pic="http://schemas.openxmlformats.org/drawingml/2006/picture">
            <wp:extent cx="5400000" cy="3037500"/>
            <wp:docPr id="1" name="Picture 1"/>
            <wp:cNvGraphicFramePr>
              <a:graphicFrameLocks noChangeAspect="1"/>
            </wp:cNvGraphicFramePr>
            <a:graphic>
              <a:graphicData uri="http://schemas.openxmlformats.org/drawingml/2006/picture">
                <pic:pic>
                  <pic:nvPicPr>
                    <pic:cNvPr id="0" name="01_evolution_ca_marge.png"/>
                    <pic:cNvPicPr/>
                  </pic:nvPicPr>
                  <pic:blipFill>
                    <a:blip r:embed="rId9"/>
                    <a:stretch>
                      <a:fillRect/>
                    </a:stretch>
                  </pic:blipFill>
                  <pic:spPr>
                    <a:xfrm>
                      <a:off x="0" y="0"/>
                      <a:ext cx="5400000" cy="3037500"/>
                    </a:xfrm>
                    <a:prstGeom prst="rect"/>
                  </pic:spPr>
                </pic:pic>
              </a:graphicData>
            </a:graphic>
          </wp:inline>
        </w:drawing>
      </w:r>
    </w:p>
    <w:p>
      <w:pPr>
        <w:spacing w:after="200"/>
        <w:jc w:val="center"/>
      </w:pPr>
      <w:r>
        <w:rPr>
          <w:i/>
          <w:color w:val="666666"/>
          <w:sz w:val="17"/>
        </w:rPr>
        <w:t>Figure 1 — Chiffre d'affaires et marge nette annuels</w:t>
      </w:r>
    </w:p>
    <w:p>
      <w:pPr>
        <w:spacing w:after="140"/>
      </w:pPr>
      <w:r>
        <w:rPr>
          <w:b w:val="0"/>
          <w:i w:val="0"/>
          <w:sz w:val="21"/>
        </w:rPr>
        <w:t>Le chiffre d'affaires progresse de manière continue, mais le rythme faiblit nettement : +51,5 % en 2022, +42,2 % en 2023, +23,7 % en 2024 et +16,4 % en 2025. Le panier moyen suit la même logique : il progresse fortement jusqu'en 2023 (de 136 $ à 174 $) puis stagne autour de 180 $ sur les deux dernières années. La marge nette reste remarquablement stable entre 28,5 % et 29,4 %, ce qui indique une bonne maîtrise des coûts d'achat malgré la montée en volume.</w:t>
      </w:r>
    </w:p>
    <w:p>
      <w:pPr>
        <w:jc w:val="center"/>
      </w:pPr>
      <w:r>
        <w:drawing>
          <wp:inline xmlns:a="http://schemas.openxmlformats.org/drawingml/2006/main" xmlns:pic="http://schemas.openxmlformats.org/drawingml/2006/picture">
            <wp:extent cx="5040000" cy="2520000"/>
            <wp:docPr id="2" name="Picture 2"/>
            <wp:cNvGraphicFramePr>
              <a:graphicFrameLocks noChangeAspect="1"/>
            </wp:cNvGraphicFramePr>
            <a:graphic>
              <a:graphicData uri="http://schemas.openxmlformats.org/drawingml/2006/picture">
                <pic:pic>
                  <pic:nvPicPr>
                    <pic:cNvPr id="0" name="03_saisonnalite_mois.png"/>
                    <pic:cNvPicPr/>
                  </pic:nvPicPr>
                  <pic:blipFill>
                    <a:blip r:embed="rId10"/>
                    <a:stretch>
                      <a:fillRect/>
                    </a:stretch>
                  </pic:blipFill>
                  <pic:spPr>
                    <a:xfrm>
                      <a:off x="0" y="0"/>
                      <a:ext cx="5040000" cy="2520000"/>
                    </a:xfrm>
                    <a:prstGeom prst="rect"/>
                  </pic:spPr>
                </pic:pic>
              </a:graphicData>
            </a:graphic>
          </wp:inline>
        </w:drawing>
      </w:r>
    </w:p>
    <w:p>
      <w:pPr>
        <w:spacing w:after="200"/>
        <w:jc w:val="center"/>
      </w:pPr>
      <w:r>
        <w:rPr>
          <w:i/>
          <w:color w:val="666666"/>
          <w:sz w:val="17"/>
        </w:rPr>
        <w:t>Figure 2 — Saisonnalité des ventes (cumul 2021-2025)</w:t>
      </w:r>
    </w:p>
    <w:p>
      <w:pPr>
        <w:spacing w:after="140"/>
      </w:pPr>
      <w:r>
        <w:rPr>
          <w:b w:val="0"/>
          <w:i w:val="0"/>
          <w:sz w:val="21"/>
        </w:rPr>
        <w:t>La saisonnalité est marquée en fin d'année : décembre constitue le pic annuel, suivi de novembre. Cette concentration doit guider la planification des approvisionnements et des campagnes.</w:t>
      </w:r>
    </w:p>
    <w:p>
      <w:pPr>
        <w:pStyle w:val="Heading2"/>
      </w:pPr>
      <w:r>
        <w:t>3.2 Répartition par canal de vente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381"/>
            <w:shd w:val="clear" w:fill="2C6E8E"/>
          </w:tcPr>
          <w:p>
            <w:r/>
            <w:r>
              <w:rPr>
                <w:b/>
                <w:color w:val="FFFFFF"/>
                <w:sz w:val="18"/>
              </w:rPr>
              <w:t>Canal</w:t>
            </w:r>
          </w:p>
        </w:tc>
        <w:tc>
          <w:tcPr>
            <w:tcW w:type="dxa" w:w="1814"/>
            <w:shd w:val="clear" w:fill="2C6E8E"/>
          </w:tcPr>
          <w:p>
            <w:r/>
            <w:r>
              <w:rPr>
                <w:b/>
                <w:color w:val="FFFFFF"/>
                <w:sz w:val="18"/>
              </w:rPr>
              <w:t>CA</w:t>
            </w:r>
          </w:p>
        </w:tc>
        <w:tc>
          <w:tcPr>
            <w:tcW w:type="dxa" w:w="1361"/>
            <w:shd w:val="clear" w:fill="2C6E8E"/>
          </w:tcPr>
          <w:p>
            <w:r/>
            <w:r>
              <w:rPr>
                <w:b/>
                <w:color w:val="FFFFFF"/>
                <w:sz w:val="18"/>
              </w:rPr>
              <w:t>Part du CA</w:t>
            </w:r>
          </w:p>
        </w:tc>
        <w:tc>
          <w:tcPr>
            <w:tcW w:type="dxa" w:w="1361"/>
            <w:shd w:val="clear" w:fill="2C6E8E"/>
          </w:tcPr>
          <w:p>
            <w:r/>
            <w:r>
              <w:rPr>
                <w:b/>
                <w:color w:val="FFFFFF"/>
                <w:sz w:val="18"/>
              </w:rPr>
              <w:t>Commandes</w:t>
            </w:r>
          </w:p>
        </w:tc>
        <w:tc>
          <w:tcPr>
            <w:tcW w:type="dxa" w:w="1701"/>
            <w:shd w:val="clear" w:fill="2C6E8E"/>
          </w:tcPr>
          <w:p>
            <w:r/>
            <w:r>
              <w:rPr>
                <w:b/>
                <w:color w:val="FFFFFF"/>
                <w:sz w:val="18"/>
              </w:rPr>
              <w:t>Panier moyen</w:t>
            </w:r>
          </w:p>
        </w:tc>
      </w:tr>
      <w:tr>
        <w:tc>
          <w:tcPr>
            <w:tcW w:type="dxa" w:w="2381"/>
          </w:tcPr>
          <w:p>
            <w:r/>
            <w:r>
              <w:rPr>
                <w:sz w:val="18"/>
              </w:rPr>
              <w:t>Boutique Physique</w:t>
            </w:r>
          </w:p>
        </w:tc>
        <w:tc>
          <w:tcPr>
            <w:tcW w:type="dxa" w:w="1814"/>
          </w:tcPr>
          <w:p>
            <w:r/>
            <w:r>
              <w:rPr>
                <w:sz w:val="18"/>
              </w:rPr>
              <w:t>914 175 $</w:t>
            </w:r>
          </w:p>
        </w:tc>
        <w:tc>
          <w:tcPr>
            <w:tcW w:type="dxa" w:w="1361"/>
          </w:tcPr>
          <w:p>
            <w:r/>
            <w:r>
              <w:rPr>
                <w:sz w:val="18"/>
              </w:rPr>
              <w:t>38,3 %</w:t>
            </w:r>
          </w:p>
        </w:tc>
        <w:tc>
          <w:tcPr>
            <w:tcW w:type="dxa" w:w="1361"/>
          </w:tcPr>
          <w:p>
            <w:r/>
            <w:r>
              <w:rPr>
                <w:sz w:val="18"/>
              </w:rPr>
              <w:t>5 518</w:t>
            </w:r>
          </w:p>
        </w:tc>
        <w:tc>
          <w:tcPr>
            <w:tcW w:type="dxa" w:w="1701"/>
          </w:tcPr>
          <w:p>
            <w:r/>
            <w:r>
              <w:rPr>
                <w:sz w:val="18"/>
              </w:rPr>
              <w:t>165,67 $</w:t>
            </w:r>
          </w:p>
        </w:tc>
      </w:tr>
      <w:tr>
        <w:tc>
          <w:tcPr>
            <w:tcW w:type="dxa" w:w="2381"/>
          </w:tcPr>
          <w:p>
            <w:r/>
            <w:r>
              <w:rPr>
                <w:sz w:val="18"/>
              </w:rPr>
              <w:t>Facebook</w:t>
            </w:r>
          </w:p>
        </w:tc>
        <w:tc>
          <w:tcPr>
            <w:tcW w:type="dxa" w:w="1814"/>
          </w:tcPr>
          <w:p>
            <w:r/>
            <w:r>
              <w:rPr>
                <w:sz w:val="18"/>
              </w:rPr>
              <w:t>361 577 $</w:t>
            </w:r>
          </w:p>
        </w:tc>
        <w:tc>
          <w:tcPr>
            <w:tcW w:type="dxa" w:w="1361"/>
          </w:tcPr>
          <w:p>
            <w:r/>
            <w:r>
              <w:rPr>
                <w:sz w:val="18"/>
              </w:rPr>
              <w:t>15,2 %</w:t>
            </w:r>
          </w:p>
        </w:tc>
        <w:tc>
          <w:tcPr>
            <w:tcW w:type="dxa" w:w="1361"/>
          </w:tcPr>
          <w:p>
            <w:r/>
            <w:r>
              <w:rPr>
                <w:sz w:val="18"/>
              </w:rPr>
              <w:t>2 154</w:t>
            </w:r>
          </w:p>
        </w:tc>
        <w:tc>
          <w:tcPr>
            <w:tcW w:type="dxa" w:w="1701"/>
          </w:tcPr>
          <w:p>
            <w:r/>
            <w:r>
              <w:rPr>
                <w:sz w:val="18"/>
              </w:rPr>
              <w:t>167,86 $</w:t>
            </w:r>
          </w:p>
        </w:tc>
      </w:tr>
      <w:tr>
        <w:tc>
          <w:tcPr>
            <w:tcW w:type="dxa" w:w="2381"/>
          </w:tcPr>
          <w:p>
            <w:r/>
            <w:r>
              <w:rPr>
                <w:sz w:val="18"/>
              </w:rPr>
              <w:t>Site E-commerce</w:t>
            </w:r>
          </w:p>
        </w:tc>
        <w:tc>
          <w:tcPr>
            <w:tcW w:type="dxa" w:w="1814"/>
          </w:tcPr>
          <w:p>
            <w:r/>
            <w:r>
              <w:rPr>
                <w:sz w:val="18"/>
              </w:rPr>
              <w:t>334 986 $</w:t>
            </w:r>
          </w:p>
        </w:tc>
        <w:tc>
          <w:tcPr>
            <w:tcW w:type="dxa" w:w="1361"/>
          </w:tcPr>
          <w:p>
            <w:r/>
            <w:r>
              <w:rPr>
                <w:sz w:val="18"/>
              </w:rPr>
              <w:t>14,0 %</w:t>
            </w:r>
          </w:p>
        </w:tc>
        <w:tc>
          <w:tcPr>
            <w:tcW w:type="dxa" w:w="1361"/>
          </w:tcPr>
          <w:p>
            <w:r/>
            <w:r>
              <w:rPr>
                <w:sz w:val="18"/>
              </w:rPr>
              <w:t>1 987</w:t>
            </w:r>
          </w:p>
        </w:tc>
        <w:tc>
          <w:tcPr>
            <w:tcW w:type="dxa" w:w="1701"/>
          </w:tcPr>
          <w:p>
            <w:r/>
            <w:r>
              <w:rPr>
                <w:sz w:val="18"/>
              </w:rPr>
              <w:t>168,59 $</w:t>
            </w:r>
          </w:p>
        </w:tc>
      </w:tr>
      <w:tr>
        <w:tc>
          <w:tcPr>
            <w:tcW w:type="dxa" w:w="2381"/>
          </w:tcPr>
          <w:p>
            <w:r/>
            <w:r>
              <w:rPr>
                <w:sz w:val="18"/>
              </w:rPr>
              <w:t>WhatsApp Business</w:t>
            </w:r>
          </w:p>
        </w:tc>
        <w:tc>
          <w:tcPr>
            <w:tcW w:type="dxa" w:w="1814"/>
          </w:tcPr>
          <w:p>
            <w:r/>
            <w:r>
              <w:rPr>
                <w:sz w:val="18"/>
              </w:rPr>
              <w:t>334 908 $</w:t>
            </w:r>
          </w:p>
        </w:tc>
        <w:tc>
          <w:tcPr>
            <w:tcW w:type="dxa" w:w="1361"/>
          </w:tcPr>
          <w:p>
            <w:r/>
            <w:r>
              <w:rPr>
                <w:sz w:val="18"/>
              </w:rPr>
              <w:t>14,0 %</w:t>
            </w:r>
          </w:p>
        </w:tc>
        <w:tc>
          <w:tcPr>
            <w:tcW w:type="dxa" w:w="1361"/>
          </w:tcPr>
          <w:p>
            <w:r/>
            <w:r>
              <w:rPr>
                <w:sz w:val="18"/>
              </w:rPr>
              <w:t>1 895</w:t>
            </w:r>
          </w:p>
        </w:tc>
        <w:tc>
          <w:tcPr>
            <w:tcW w:type="dxa" w:w="1701"/>
          </w:tcPr>
          <w:p>
            <w:r/>
            <w:r>
              <w:rPr>
                <w:sz w:val="18"/>
              </w:rPr>
              <w:t>176,73 $</w:t>
            </w:r>
          </w:p>
        </w:tc>
      </w:tr>
      <w:tr>
        <w:tc>
          <w:tcPr>
            <w:tcW w:type="dxa" w:w="2381"/>
          </w:tcPr>
          <w:p>
            <w:r/>
            <w:r>
              <w:rPr>
                <w:sz w:val="18"/>
              </w:rPr>
              <w:t>Instagram</w:t>
            </w:r>
          </w:p>
        </w:tc>
        <w:tc>
          <w:tcPr>
            <w:tcW w:type="dxa" w:w="1814"/>
          </w:tcPr>
          <w:p>
            <w:r/>
            <w:r>
              <w:rPr>
                <w:sz w:val="18"/>
              </w:rPr>
              <w:t>320 657 $</w:t>
            </w:r>
          </w:p>
        </w:tc>
        <w:tc>
          <w:tcPr>
            <w:tcW w:type="dxa" w:w="1361"/>
          </w:tcPr>
          <w:p>
            <w:r/>
            <w:r>
              <w:rPr>
                <w:sz w:val="18"/>
              </w:rPr>
              <w:t>13,4 %</w:t>
            </w:r>
          </w:p>
        </w:tc>
        <w:tc>
          <w:tcPr>
            <w:tcW w:type="dxa" w:w="1361"/>
          </w:tcPr>
          <w:p>
            <w:r/>
            <w:r>
              <w:rPr>
                <w:sz w:val="18"/>
              </w:rPr>
              <w:t>1 791</w:t>
            </w:r>
          </w:p>
        </w:tc>
        <w:tc>
          <w:tcPr>
            <w:tcW w:type="dxa" w:w="1701"/>
          </w:tcPr>
          <w:p>
            <w:r/>
            <w:r>
              <w:rPr>
                <w:sz w:val="18"/>
              </w:rPr>
              <w:t>179,04 $</w:t>
            </w:r>
          </w:p>
        </w:tc>
      </w:tr>
      <w:tr>
        <w:tc>
          <w:tcPr>
            <w:tcW w:type="dxa" w:w="2381"/>
          </w:tcPr>
          <w:p>
            <w:r/>
            <w:r>
              <w:rPr>
                <w:sz w:val="18"/>
              </w:rPr>
              <w:t>Commercial Terrain</w:t>
            </w:r>
          </w:p>
        </w:tc>
        <w:tc>
          <w:tcPr>
            <w:tcW w:type="dxa" w:w="1814"/>
          </w:tcPr>
          <w:p>
            <w:r/>
            <w:r>
              <w:rPr>
                <w:sz w:val="18"/>
              </w:rPr>
              <w:t>119 524 $</w:t>
            </w:r>
          </w:p>
        </w:tc>
        <w:tc>
          <w:tcPr>
            <w:tcW w:type="dxa" w:w="1361"/>
          </w:tcPr>
          <w:p>
            <w:r/>
            <w:r>
              <w:rPr>
                <w:sz w:val="18"/>
              </w:rPr>
              <w:t>5,0 %</w:t>
            </w:r>
          </w:p>
        </w:tc>
        <w:tc>
          <w:tcPr>
            <w:tcW w:type="dxa" w:w="1361"/>
          </w:tcPr>
          <w:p>
            <w:r/>
            <w:r>
              <w:rPr>
                <w:sz w:val="18"/>
              </w:rPr>
              <w:t>724</w:t>
            </w:r>
          </w:p>
        </w:tc>
        <w:tc>
          <w:tcPr>
            <w:tcW w:type="dxa" w:w="1701"/>
          </w:tcPr>
          <w:p>
            <w:r/>
            <w:r>
              <w:rPr>
                <w:sz w:val="18"/>
              </w:rPr>
              <w:t>165,09 $</w:t>
            </w:r>
          </w:p>
        </w:tc>
      </w:tr>
    </w:tbl>
    <w:p>
      <w:pPr>
        <w:spacing w:after="80"/>
      </w:pPr>
    </w:p>
    <w:p>
      <w:pPr>
        <w:jc w:val="center"/>
      </w:pPr>
      <w:r>
        <w:drawing>
          <wp:inline xmlns:a="http://schemas.openxmlformats.org/drawingml/2006/main" xmlns:pic="http://schemas.openxmlformats.org/drawingml/2006/picture">
            <wp:extent cx="4860000" cy="3124286"/>
            <wp:docPr id="3" name="Picture 3"/>
            <wp:cNvGraphicFramePr>
              <a:graphicFrameLocks noChangeAspect="1"/>
            </wp:cNvGraphicFramePr>
            <a:graphic>
              <a:graphicData uri="http://schemas.openxmlformats.org/drawingml/2006/picture">
                <pic:pic>
                  <pic:nvPicPr>
                    <pic:cNvPr id="0" name="04_ca_par_canal.png"/>
                    <pic:cNvPicPr/>
                  </pic:nvPicPr>
                  <pic:blipFill>
                    <a:blip r:embed="rId11"/>
                    <a:stretch>
                      <a:fillRect/>
                    </a:stretch>
                  </pic:blipFill>
                  <pic:spPr>
                    <a:xfrm>
                      <a:off x="0" y="0"/>
                      <a:ext cx="4860000" cy="3124286"/>
                    </a:xfrm>
                    <a:prstGeom prst="rect"/>
                  </pic:spPr>
                </pic:pic>
              </a:graphicData>
            </a:graphic>
          </wp:inline>
        </w:drawing>
      </w:r>
    </w:p>
    <w:p>
      <w:pPr>
        <w:spacing w:after="200"/>
        <w:jc w:val="center"/>
      </w:pPr>
      <w:r>
        <w:rPr>
          <w:i/>
          <w:color w:val="666666"/>
          <w:sz w:val="17"/>
        </w:rPr>
        <w:t>Figure 3 — Chiffre d'affaires par canal de vente</w:t>
      </w:r>
    </w:p>
    <w:p>
      <w:pPr>
        <w:spacing w:after="140"/>
      </w:pPr>
      <w:r>
        <w:rPr>
          <w:b w:val="0"/>
          <w:i w:val="0"/>
          <w:sz w:val="21"/>
        </w:rPr>
        <w:t>La boutique physique reste le premier canal avec 38,3 % du chiffre d'affaires. Les canaux digitaux (Facebook, site e-commerce, WhatsApp, Instagram) cumulent 56,7 %, ce qui traduit une transition numérique avancée. Instagram et WhatsApp affichent les paniers moyens les plus élevés (179 $ et 177 $), au-dessus de la boutique physique (166 $) : les canaux sociaux attirent une clientèle à plus fort pouvoir d'achat et méritent un investissement renforcé.</w:t>
      </w:r>
    </w:p>
    <w:p>
      <w:pPr>
        <w:pStyle w:val="Heading2"/>
      </w:pPr>
      <w:r>
        <w:t>3.3 Performance du réseau de boutiques</w:t>
      </w:r>
    </w:p>
    <w:p>
      <w:pPr>
        <w:jc w:val="center"/>
      </w:pPr>
      <w:r>
        <w:drawing>
          <wp:inline xmlns:a="http://schemas.openxmlformats.org/drawingml/2006/main" xmlns:pic="http://schemas.openxmlformats.org/drawingml/2006/picture">
            <wp:extent cx="5220000" cy="3262500"/>
            <wp:docPr id="4" name="Picture 4"/>
            <wp:cNvGraphicFramePr>
              <a:graphicFrameLocks noChangeAspect="1"/>
            </wp:cNvGraphicFramePr>
            <a:graphic>
              <a:graphicData uri="http://schemas.openxmlformats.org/drawingml/2006/picture">
                <pic:pic>
                  <pic:nvPicPr>
                    <pic:cNvPr id="0" name="05_ca_par_boutique.png"/>
                    <pic:cNvPicPr/>
                  </pic:nvPicPr>
                  <pic:blipFill>
                    <a:blip r:embed="rId12"/>
                    <a:stretch>
                      <a:fillRect/>
                    </a:stretch>
                  </pic:blipFill>
                  <pic:spPr>
                    <a:xfrm>
                      <a:off x="0" y="0"/>
                      <a:ext cx="5220000" cy="3262500"/>
                    </a:xfrm>
                    <a:prstGeom prst="rect"/>
                  </pic:spPr>
                </pic:pic>
              </a:graphicData>
            </a:graphic>
          </wp:inline>
        </w:drawing>
      </w:r>
    </w:p>
    <w:p>
      <w:pPr>
        <w:spacing w:after="200"/>
        <w:jc w:val="center"/>
      </w:pPr>
      <w:r>
        <w:rPr>
          <w:i/>
          <w:color w:val="666666"/>
          <w:sz w:val="17"/>
        </w:rPr>
        <w:t>Figure 4 — Chiffre d'affaires par point de vente</w:t>
      </w:r>
    </w:p>
    <w:p>
      <w:pPr>
        <w:spacing w:after="140"/>
      </w:pPr>
      <w:r>
        <w:rPr>
          <w:b w:val="0"/>
          <w:i w:val="0"/>
          <w:sz w:val="21"/>
        </w:rPr>
        <w:t>La structure e-commerce génère 1 352 127 $, soit 56,7 % du total, très loin devant la première boutique physique (Kinshasa Limete, 145 896 $). Parmi les onze boutiques physiques, l'écart entre la plus performante (Kinshasa Limete) et la moins performante (Kolwezi Manika, 48 289 $) est de 3,0 fois. Les boutiques de Kolwezi et Mbuji-Mayi méritent un diagnostic spécifique.</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fill="2C6E8E"/>
          </w:tcPr>
          <w:p>
            <w:r/>
            <w:r>
              <w:rPr>
                <w:b/>
                <w:color w:val="FFFFFF"/>
                <w:sz w:val="18"/>
              </w:rPr>
              <w:t>Province</w:t>
            </w:r>
          </w:p>
        </w:tc>
        <w:tc>
          <w:tcPr>
            <w:tcW w:type="dxa" w:w="2268"/>
            <w:shd w:val="clear" w:fill="2C6E8E"/>
          </w:tcPr>
          <w:p>
            <w:r/>
            <w:r>
              <w:rPr>
                <w:b/>
                <w:color w:val="FFFFFF"/>
                <w:sz w:val="18"/>
              </w:rPr>
              <w:t>CA</w:t>
            </w:r>
          </w:p>
        </w:tc>
        <w:tc>
          <w:tcPr>
            <w:tcW w:type="dxa" w:w="1701"/>
            <w:shd w:val="clear" w:fill="2C6E8E"/>
          </w:tcPr>
          <w:p>
            <w:r/>
            <w:r>
              <w:rPr>
                <w:b/>
                <w:color w:val="FFFFFF"/>
                <w:sz w:val="18"/>
              </w:rPr>
              <w:t>Part</w:t>
            </w:r>
          </w:p>
        </w:tc>
      </w:tr>
      <w:tr>
        <w:tc>
          <w:tcPr>
            <w:tcW w:type="dxa" w:w="2835"/>
          </w:tcPr>
          <w:p>
            <w:r/>
            <w:r>
              <w:rPr>
                <w:sz w:val="18"/>
              </w:rPr>
              <w:t>Kinshasa</w:t>
            </w:r>
          </w:p>
        </w:tc>
        <w:tc>
          <w:tcPr>
            <w:tcW w:type="dxa" w:w="2268"/>
          </w:tcPr>
          <w:p>
            <w:r/>
            <w:r>
              <w:rPr>
                <w:sz w:val="18"/>
              </w:rPr>
              <w:t>1 897 960 $</w:t>
            </w:r>
          </w:p>
        </w:tc>
        <w:tc>
          <w:tcPr>
            <w:tcW w:type="dxa" w:w="1701"/>
          </w:tcPr>
          <w:p>
            <w:r/>
            <w:r>
              <w:rPr>
                <w:sz w:val="18"/>
              </w:rPr>
              <w:t>79,6 %</w:t>
            </w:r>
          </w:p>
        </w:tc>
      </w:tr>
      <w:tr>
        <w:tc>
          <w:tcPr>
            <w:tcW w:type="dxa" w:w="2835"/>
          </w:tcPr>
          <w:p>
            <w:r/>
            <w:r>
              <w:rPr>
                <w:sz w:val="18"/>
              </w:rPr>
              <w:t>Nord-Kivu</w:t>
            </w:r>
          </w:p>
        </w:tc>
        <w:tc>
          <w:tcPr>
            <w:tcW w:type="dxa" w:w="2268"/>
          </w:tcPr>
          <w:p>
            <w:r/>
            <w:r>
              <w:rPr>
                <w:sz w:val="18"/>
              </w:rPr>
              <w:t>100 927 $</w:t>
            </w:r>
          </w:p>
        </w:tc>
        <w:tc>
          <w:tcPr>
            <w:tcW w:type="dxa" w:w="1701"/>
          </w:tcPr>
          <w:p>
            <w:r/>
            <w:r>
              <w:rPr>
                <w:sz w:val="18"/>
              </w:rPr>
              <w:t>4,2 %</w:t>
            </w:r>
          </w:p>
        </w:tc>
      </w:tr>
      <w:tr>
        <w:tc>
          <w:tcPr>
            <w:tcW w:type="dxa" w:w="2835"/>
          </w:tcPr>
          <w:p>
            <w:r/>
            <w:r>
              <w:rPr>
                <w:sz w:val="18"/>
              </w:rPr>
              <w:t>Kongo-Central</w:t>
            </w:r>
          </w:p>
        </w:tc>
        <w:tc>
          <w:tcPr>
            <w:tcW w:type="dxa" w:w="2268"/>
          </w:tcPr>
          <w:p>
            <w:r/>
            <w:r>
              <w:rPr>
                <w:sz w:val="18"/>
              </w:rPr>
              <w:t>93 722 $</w:t>
            </w:r>
          </w:p>
        </w:tc>
        <w:tc>
          <w:tcPr>
            <w:tcW w:type="dxa" w:w="1701"/>
          </w:tcPr>
          <w:p>
            <w:r/>
            <w:r>
              <w:rPr>
                <w:sz w:val="18"/>
              </w:rPr>
              <w:t>3,9 %</w:t>
            </w:r>
          </w:p>
        </w:tc>
      </w:tr>
      <w:tr>
        <w:tc>
          <w:tcPr>
            <w:tcW w:type="dxa" w:w="2835"/>
          </w:tcPr>
          <w:p>
            <w:r/>
            <w:r>
              <w:rPr>
                <w:sz w:val="18"/>
              </w:rPr>
              <w:t>Sud-Kivu</w:t>
            </w:r>
          </w:p>
        </w:tc>
        <w:tc>
          <w:tcPr>
            <w:tcW w:type="dxa" w:w="2268"/>
          </w:tcPr>
          <w:p>
            <w:r/>
            <w:r>
              <w:rPr>
                <w:sz w:val="18"/>
              </w:rPr>
              <w:t>93 550 $</w:t>
            </w:r>
          </w:p>
        </w:tc>
        <w:tc>
          <w:tcPr>
            <w:tcW w:type="dxa" w:w="1701"/>
          </w:tcPr>
          <w:p>
            <w:r/>
            <w:r>
              <w:rPr>
                <w:sz w:val="18"/>
              </w:rPr>
              <w:t>3,9 %</w:t>
            </w:r>
          </w:p>
        </w:tc>
      </w:tr>
      <w:tr>
        <w:tc>
          <w:tcPr>
            <w:tcW w:type="dxa" w:w="2835"/>
          </w:tcPr>
          <w:p>
            <w:r/>
            <w:r>
              <w:rPr>
                <w:sz w:val="18"/>
              </w:rPr>
              <w:t>Haut-Katanga</w:t>
            </w:r>
          </w:p>
        </w:tc>
        <w:tc>
          <w:tcPr>
            <w:tcW w:type="dxa" w:w="2268"/>
          </w:tcPr>
          <w:p>
            <w:r/>
            <w:r>
              <w:rPr>
                <w:sz w:val="18"/>
              </w:rPr>
              <w:t>87 571 $</w:t>
            </w:r>
          </w:p>
        </w:tc>
        <w:tc>
          <w:tcPr>
            <w:tcW w:type="dxa" w:w="1701"/>
          </w:tcPr>
          <w:p>
            <w:r/>
            <w:r>
              <w:rPr>
                <w:sz w:val="18"/>
              </w:rPr>
              <w:t>3,7 %</w:t>
            </w:r>
          </w:p>
        </w:tc>
      </w:tr>
      <w:tr>
        <w:tc>
          <w:tcPr>
            <w:tcW w:type="dxa" w:w="2835"/>
          </w:tcPr>
          <w:p>
            <w:r/>
            <w:r>
              <w:rPr>
                <w:sz w:val="18"/>
              </w:rPr>
              <w:t>Kasaï-Oriental</w:t>
            </w:r>
          </w:p>
        </w:tc>
        <w:tc>
          <w:tcPr>
            <w:tcW w:type="dxa" w:w="2268"/>
          </w:tcPr>
          <w:p>
            <w:r/>
            <w:r>
              <w:rPr>
                <w:sz w:val="18"/>
              </w:rPr>
              <w:t>63 806 $</w:t>
            </w:r>
          </w:p>
        </w:tc>
        <w:tc>
          <w:tcPr>
            <w:tcW w:type="dxa" w:w="1701"/>
          </w:tcPr>
          <w:p>
            <w:r/>
            <w:r>
              <w:rPr>
                <w:sz w:val="18"/>
              </w:rPr>
              <w:t>2,7 %</w:t>
            </w:r>
          </w:p>
        </w:tc>
      </w:tr>
      <w:tr>
        <w:tc>
          <w:tcPr>
            <w:tcW w:type="dxa" w:w="2835"/>
          </w:tcPr>
          <w:p>
            <w:r/>
            <w:r>
              <w:rPr>
                <w:sz w:val="18"/>
              </w:rPr>
              <w:t>Lualaba</w:t>
            </w:r>
          </w:p>
        </w:tc>
        <w:tc>
          <w:tcPr>
            <w:tcW w:type="dxa" w:w="2268"/>
          </w:tcPr>
          <w:p>
            <w:r/>
            <w:r>
              <w:rPr>
                <w:sz w:val="18"/>
              </w:rPr>
              <w:t>48 289 $</w:t>
            </w:r>
          </w:p>
        </w:tc>
        <w:tc>
          <w:tcPr>
            <w:tcW w:type="dxa" w:w="1701"/>
          </w:tcPr>
          <w:p>
            <w:r/>
            <w:r>
              <w:rPr>
                <w:sz w:val="18"/>
              </w:rPr>
              <w:t>2,0 %</w:t>
            </w:r>
          </w:p>
        </w:tc>
      </w:tr>
    </w:tbl>
    <w:p>
      <w:pPr>
        <w:spacing w:after="80"/>
      </w:pPr>
    </w:p>
    <w:p>
      <w:pPr>
        <w:spacing w:after="140"/>
      </w:pPr>
      <w:r>
        <w:rPr>
          <w:b w:val="0"/>
          <w:i w:val="0"/>
          <w:sz w:val="21"/>
        </w:rPr>
        <w:t>La province de Kinshasa concentre 79,6 % du chiffre d'affaires. Les six autres provinces se partagent 20,4 %. Cette concentration géographique constitue un facteur de risque en cas de perturbation locale.</w:t>
      </w:r>
    </w:p>
    <w:p>
      <w:pPr>
        <w:pStyle w:val="Heading2"/>
      </w:pPr>
      <w:r>
        <w:t>3.4 Performance par catégorie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835"/>
            <w:shd w:val="clear" w:fill="2C6E8E"/>
          </w:tcPr>
          <w:p>
            <w:r/>
            <w:r>
              <w:rPr>
                <w:b/>
                <w:color w:val="FFFFFF"/>
                <w:sz w:val="18"/>
              </w:rPr>
              <w:t>Catégorie</w:t>
            </w:r>
          </w:p>
        </w:tc>
        <w:tc>
          <w:tcPr>
            <w:tcW w:type="dxa" w:w="1701"/>
            <w:shd w:val="clear" w:fill="2C6E8E"/>
          </w:tcPr>
          <w:p>
            <w:r/>
            <w:r>
              <w:rPr>
                <w:b/>
                <w:color w:val="FFFFFF"/>
                <w:sz w:val="18"/>
              </w:rPr>
              <w:t>CA</w:t>
            </w:r>
          </w:p>
        </w:tc>
        <w:tc>
          <w:tcPr>
            <w:tcW w:type="dxa" w:w="1587"/>
            <w:shd w:val="clear" w:fill="2C6E8E"/>
          </w:tcPr>
          <w:p>
            <w:r/>
            <w:r>
              <w:rPr>
                <w:b/>
                <w:color w:val="FFFFFF"/>
                <w:sz w:val="18"/>
              </w:rPr>
              <w:t>Bénéfice</w:t>
            </w:r>
          </w:p>
        </w:tc>
        <w:tc>
          <w:tcPr>
            <w:tcW w:type="dxa" w:w="1247"/>
            <w:shd w:val="clear" w:fill="2C6E8E"/>
          </w:tcPr>
          <w:p>
            <w:r/>
            <w:r>
              <w:rPr>
                <w:b/>
                <w:color w:val="FFFFFF"/>
                <w:sz w:val="18"/>
              </w:rPr>
              <w:t>Quantité</w:t>
            </w:r>
          </w:p>
        </w:tc>
        <w:tc>
          <w:tcPr>
            <w:tcW w:type="dxa" w:w="1134"/>
            <w:shd w:val="clear" w:fill="2C6E8E"/>
          </w:tcPr>
          <w:p>
            <w:r/>
            <w:r>
              <w:rPr>
                <w:b/>
                <w:color w:val="FFFFFF"/>
                <w:sz w:val="18"/>
              </w:rPr>
              <w:t>Marge</w:t>
            </w:r>
          </w:p>
        </w:tc>
      </w:tr>
      <w:tr>
        <w:tc>
          <w:tcPr>
            <w:tcW w:type="dxa" w:w="2835"/>
          </w:tcPr>
          <w:p>
            <w:r/>
            <w:r>
              <w:rPr>
                <w:sz w:val="18"/>
              </w:rPr>
              <w:t>Vêtements Femme</w:t>
            </w:r>
          </w:p>
        </w:tc>
        <w:tc>
          <w:tcPr>
            <w:tcW w:type="dxa" w:w="1701"/>
          </w:tcPr>
          <w:p>
            <w:r/>
            <w:r>
              <w:rPr>
                <w:sz w:val="18"/>
              </w:rPr>
              <w:t>582 094 $</w:t>
            </w:r>
          </w:p>
        </w:tc>
        <w:tc>
          <w:tcPr>
            <w:tcW w:type="dxa" w:w="1587"/>
          </w:tcPr>
          <w:p>
            <w:r/>
            <w:r>
              <w:rPr>
                <w:sz w:val="18"/>
              </w:rPr>
              <w:t>173 233 $</w:t>
            </w:r>
          </w:p>
        </w:tc>
        <w:tc>
          <w:tcPr>
            <w:tcW w:type="dxa" w:w="1247"/>
          </w:tcPr>
          <w:p>
            <w:r/>
            <w:r>
              <w:rPr>
                <w:sz w:val="18"/>
              </w:rPr>
              <w:t>15 243</w:t>
            </w:r>
          </w:p>
        </w:tc>
        <w:tc>
          <w:tcPr>
            <w:tcW w:type="dxa" w:w="1134"/>
          </w:tcPr>
          <w:p>
            <w:r/>
            <w:r>
              <w:rPr>
                <w:sz w:val="18"/>
              </w:rPr>
              <w:t>29,8 %</w:t>
            </w:r>
          </w:p>
        </w:tc>
      </w:tr>
      <w:tr>
        <w:tc>
          <w:tcPr>
            <w:tcW w:type="dxa" w:w="2835"/>
          </w:tcPr>
          <w:p>
            <w:r/>
            <w:r>
              <w:rPr>
                <w:sz w:val="18"/>
              </w:rPr>
              <w:t>Vêtements Homme</w:t>
            </w:r>
          </w:p>
        </w:tc>
        <w:tc>
          <w:tcPr>
            <w:tcW w:type="dxa" w:w="1701"/>
          </w:tcPr>
          <w:p>
            <w:r/>
            <w:r>
              <w:rPr>
                <w:sz w:val="18"/>
              </w:rPr>
              <w:t>517 635 $</w:t>
            </w:r>
          </w:p>
        </w:tc>
        <w:tc>
          <w:tcPr>
            <w:tcW w:type="dxa" w:w="1587"/>
          </w:tcPr>
          <w:p>
            <w:r/>
            <w:r>
              <w:rPr>
                <w:sz w:val="18"/>
              </w:rPr>
              <w:t>138 570 $</w:t>
            </w:r>
          </w:p>
        </w:tc>
        <w:tc>
          <w:tcPr>
            <w:tcW w:type="dxa" w:w="1247"/>
          </w:tcPr>
          <w:p>
            <w:r/>
            <w:r>
              <w:rPr>
                <w:sz w:val="18"/>
              </w:rPr>
              <w:t>10 959</w:t>
            </w:r>
          </w:p>
        </w:tc>
        <w:tc>
          <w:tcPr>
            <w:tcW w:type="dxa" w:w="1134"/>
          </w:tcPr>
          <w:p>
            <w:r/>
            <w:r>
              <w:rPr>
                <w:sz w:val="18"/>
              </w:rPr>
              <w:t>26,8 %</w:t>
            </w:r>
          </w:p>
        </w:tc>
      </w:tr>
      <w:tr>
        <w:tc>
          <w:tcPr>
            <w:tcW w:type="dxa" w:w="2835"/>
          </w:tcPr>
          <w:p>
            <w:r/>
            <w:r>
              <w:rPr>
                <w:sz w:val="18"/>
              </w:rPr>
              <w:t>Chaussures Homme</w:t>
            </w:r>
          </w:p>
        </w:tc>
        <w:tc>
          <w:tcPr>
            <w:tcW w:type="dxa" w:w="1701"/>
          </w:tcPr>
          <w:p>
            <w:r/>
            <w:r>
              <w:rPr>
                <w:sz w:val="18"/>
              </w:rPr>
              <w:t>265 486 $</w:t>
            </w:r>
          </w:p>
        </w:tc>
        <w:tc>
          <w:tcPr>
            <w:tcW w:type="dxa" w:w="1587"/>
          </w:tcPr>
          <w:p>
            <w:r/>
            <w:r>
              <w:rPr>
                <w:sz w:val="18"/>
              </w:rPr>
              <w:t>71 168 $</w:t>
            </w:r>
          </w:p>
        </w:tc>
        <w:tc>
          <w:tcPr>
            <w:tcW w:type="dxa" w:w="1247"/>
          </w:tcPr>
          <w:p>
            <w:r/>
            <w:r>
              <w:rPr>
                <w:sz w:val="18"/>
              </w:rPr>
              <w:t>6 868</w:t>
            </w:r>
          </w:p>
        </w:tc>
        <w:tc>
          <w:tcPr>
            <w:tcW w:type="dxa" w:w="1134"/>
          </w:tcPr>
          <w:p>
            <w:r/>
            <w:r>
              <w:rPr>
                <w:sz w:val="18"/>
              </w:rPr>
              <w:t>26,8 %</w:t>
            </w:r>
          </w:p>
        </w:tc>
      </w:tr>
      <w:tr>
        <w:tc>
          <w:tcPr>
            <w:tcW w:type="dxa" w:w="2835"/>
          </w:tcPr>
          <w:p>
            <w:r/>
            <w:r>
              <w:rPr>
                <w:sz w:val="18"/>
              </w:rPr>
              <w:t>Prêt-à-Porter Traditionnel</w:t>
            </w:r>
          </w:p>
        </w:tc>
        <w:tc>
          <w:tcPr>
            <w:tcW w:type="dxa" w:w="1701"/>
          </w:tcPr>
          <w:p>
            <w:r/>
            <w:r>
              <w:rPr>
                <w:sz w:val="18"/>
              </w:rPr>
              <w:t>231 633 $</w:t>
            </w:r>
          </w:p>
        </w:tc>
        <w:tc>
          <w:tcPr>
            <w:tcW w:type="dxa" w:w="1587"/>
          </w:tcPr>
          <w:p>
            <w:r/>
            <w:r>
              <w:rPr>
                <w:sz w:val="18"/>
              </w:rPr>
              <w:t>70 871 $</w:t>
            </w:r>
          </w:p>
        </w:tc>
        <w:tc>
          <w:tcPr>
            <w:tcW w:type="dxa" w:w="1247"/>
          </w:tcPr>
          <w:p>
            <w:r/>
            <w:r>
              <w:rPr>
                <w:sz w:val="18"/>
              </w:rPr>
              <w:t>3 587</w:t>
            </w:r>
          </w:p>
        </w:tc>
        <w:tc>
          <w:tcPr>
            <w:tcW w:type="dxa" w:w="1134"/>
          </w:tcPr>
          <w:p>
            <w:r/>
            <w:r>
              <w:rPr>
                <w:sz w:val="18"/>
              </w:rPr>
              <w:t>30,6 %</w:t>
            </w:r>
          </w:p>
        </w:tc>
      </w:tr>
      <w:tr>
        <w:tc>
          <w:tcPr>
            <w:tcW w:type="dxa" w:w="2835"/>
          </w:tcPr>
          <w:p>
            <w:r/>
            <w:r>
              <w:rPr>
                <w:sz w:val="18"/>
              </w:rPr>
              <w:t>Sacs &amp; Maroquinerie</w:t>
            </w:r>
          </w:p>
        </w:tc>
        <w:tc>
          <w:tcPr>
            <w:tcW w:type="dxa" w:w="1701"/>
          </w:tcPr>
          <w:p>
            <w:r/>
            <w:r>
              <w:rPr>
                <w:sz w:val="18"/>
              </w:rPr>
              <w:t>192 869 $</w:t>
            </w:r>
          </w:p>
        </w:tc>
        <w:tc>
          <w:tcPr>
            <w:tcW w:type="dxa" w:w="1587"/>
          </w:tcPr>
          <w:p>
            <w:r/>
            <w:r>
              <w:rPr>
                <w:sz w:val="18"/>
              </w:rPr>
              <w:t>54 049 $</w:t>
            </w:r>
          </w:p>
        </w:tc>
        <w:tc>
          <w:tcPr>
            <w:tcW w:type="dxa" w:w="1247"/>
          </w:tcPr>
          <w:p>
            <w:r/>
            <w:r>
              <w:rPr>
                <w:sz w:val="18"/>
              </w:rPr>
              <w:t>5 432</w:t>
            </w:r>
          </w:p>
        </w:tc>
        <w:tc>
          <w:tcPr>
            <w:tcW w:type="dxa" w:w="1134"/>
          </w:tcPr>
          <w:p>
            <w:r/>
            <w:r>
              <w:rPr>
                <w:sz w:val="18"/>
              </w:rPr>
              <w:t>28,0 %</w:t>
            </w:r>
          </w:p>
        </w:tc>
      </w:tr>
      <w:tr>
        <w:tc>
          <w:tcPr>
            <w:tcW w:type="dxa" w:w="2835"/>
          </w:tcPr>
          <w:p>
            <w:r/>
            <w:r>
              <w:rPr>
                <w:sz w:val="18"/>
              </w:rPr>
              <w:t>Chaussures Femme</w:t>
            </w:r>
          </w:p>
        </w:tc>
        <w:tc>
          <w:tcPr>
            <w:tcW w:type="dxa" w:w="1701"/>
          </w:tcPr>
          <w:p>
            <w:r/>
            <w:r>
              <w:rPr>
                <w:sz w:val="18"/>
              </w:rPr>
              <w:t>178 003 $</w:t>
            </w:r>
          </w:p>
        </w:tc>
        <w:tc>
          <w:tcPr>
            <w:tcW w:type="dxa" w:w="1587"/>
          </w:tcPr>
          <w:p>
            <w:r/>
            <w:r>
              <w:rPr>
                <w:sz w:val="18"/>
              </w:rPr>
              <w:t>50 167 $</w:t>
            </w:r>
          </w:p>
        </w:tc>
        <w:tc>
          <w:tcPr>
            <w:tcW w:type="dxa" w:w="1247"/>
          </w:tcPr>
          <w:p>
            <w:r/>
            <w:r>
              <w:rPr>
                <w:sz w:val="18"/>
              </w:rPr>
              <w:t>7 091</w:t>
            </w:r>
          </w:p>
        </w:tc>
        <w:tc>
          <w:tcPr>
            <w:tcW w:type="dxa" w:w="1134"/>
          </w:tcPr>
          <w:p>
            <w:r/>
            <w:r>
              <w:rPr>
                <w:sz w:val="18"/>
              </w:rPr>
              <w:t>28,2 %</w:t>
            </w:r>
          </w:p>
        </w:tc>
      </w:tr>
      <w:tr>
        <w:tc>
          <w:tcPr>
            <w:tcW w:type="dxa" w:w="2835"/>
          </w:tcPr>
          <w:p>
            <w:r/>
            <w:r>
              <w:rPr>
                <w:sz w:val="18"/>
              </w:rPr>
              <w:t>Parfums &amp; Cosmétiques</w:t>
            </w:r>
          </w:p>
        </w:tc>
        <w:tc>
          <w:tcPr>
            <w:tcW w:type="dxa" w:w="1701"/>
          </w:tcPr>
          <w:p>
            <w:r/>
            <w:r>
              <w:rPr>
                <w:sz w:val="18"/>
              </w:rPr>
              <w:t>110 595 $</w:t>
            </w:r>
          </w:p>
        </w:tc>
        <w:tc>
          <w:tcPr>
            <w:tcW w:type="dxa" w:w="1587"/>
          </w:tcPr>
          <w:p>
            <w:r/>
            <w:r>
              <w:rPr>
                <w:sz w:val="18"/>
              </w:rPr>
              <w:t>32 574 $</w:t>
            </w:r>
          </w:p>
        </w:tc>
        <w:tc>
          <w:tcPr>
            <w:tcW w:type="dxa" w:w="1247"/>
          </w:tcPr>
          <w:p>
            <w:r/>
            <w:r>
              <w:rPr>
                <w:sz w:val="18"/>
              </w:rPr>
              <w:t>4 689</w:t>
            </w:r>
          </w:p>
        </w:tc>
        <w:tc>
          <w:tcPr>
            <w:tcW w:type="dxa" w:w="1134"/>
          </w:tcPr>
          <w:p>
            <w:r/>
            <w:r>
              <w:rPr>
                <w:sz w:val="18"/>
              </w:rPr>
              <w:t>29,5 %</w:t>
            </w:r>
          </w:p>
        </w:tc>
      </w:tr>
      <w:tr>
        <w:tc>
          <w:tcPr>
            <w:tcW w:type="dxa" w:w="2835"/>
          </w:tcPr>
          <w:p>
            <w:r/>
            <w:r>
              <w:rPr>
                <w:sz w:val="18"/>
              </w:rPr>
              <w:t>Accessoires de Mode</w:t>
            </w:r>
          </w:p>
        </w:tc>
        <w:tc>
          <w:tcPr>
            <w:tcW w:type="dxa" w:w="1701"/>
          </w:tcPr>
          <w:p>
            <w:r/>
            <w:r>
              <w:rPr>
                <w:sz w:val="18"/>
              </w:rPr>
              <w:t>109 001 $</w:t>
            </w:r>
          </w:p>
        </w:tc>
        <w:tc>
          <w:tcPr>
            <w:tcW w:type="dxa" w:w="1587"/>
          </w:tcPr>
          <w:p>
            <w:r/>
            <w:r>
              <w:rPr>
                <w:sz w:val="18"/>
              </w:rPr>
              <w:t>39 086 $</w:t>
            </w:r>
          </w:p>
        </w:tc>
        <w:tc>
          <w:tcPr>
            <w:tcW w:type="dxa" w:w="1247"/>
          </w:tcPr>
          <w:p>
            <w:r/>
            <w:r>
              <w:rPr>
                <w:sz w:val="18"/>
              </w:rPr>
              <w:t>7 279</w:t>
            </w:r>
          </w:p>
        </w:tc>
        <w:tc>
          <w:tcPr>
            <w:tcW w:type="dxa" w:w="1134"/>
          </w:tcPr>
          <w:p>
            <w:r/>
            <w:r>
              <w:rPr>
                <w:sz w:val="18"/>
              </w:rPr>
              <w:t>35,9 %</w:t>
            </w:r>
          </w:p>
        </w:tc>
      </w:tr>
      <w:tr>
        <w:tc>
          <w:tcPr>
            <w:tcW w:type="dxa" w:w="2835"/>
          </w:tcPr>
          <w:p>
            <w:r/>
            <w:r>
              <w:rPr>
                <w:sz w:val="18"/>
              </w:rPr>
              <w:t>Vêtements Enfant</w:t>
            </w:r>
          </w:p>
        </w:tc>
        <w:tc>
          <w:tcPr>
            <w:tcW w:type="dxa" w:w="1701"/>
          </w:tcPr>
          <w:p>
            <w:r/>
            <w:r>
              <w:rPr>
                <w:sz w:val="18"/>
              </w:rPr>
              <w:t>101 023 $</w:t>
            </w:r>
          </w:p>
        </w:tc>
        <w:tc>
          <w:tcPr>
            <w:tcW w:type="dxa" w:w="1587"/>
          </w:tcPr>
          <w:p>
            <w:r/>
            <w:r>
              <w:rPr>
                <w:sz w:val="18"/>
              </w:rPr>
              <w:t>31 303 $</w:t>
            </w:r>
          </w:p>
        </w:tc>
        <w:tc>
          <w:tcPr>
            <w:tcW w:type="dxa" w:w="1247"/>
          </w:tcPr>
          <w:p>
            <w:r/>
            <w:r>
              <w:rPr>
                <w:sz w:val="18"/>
              </w:rPr>
              <w:t>7 230</w:t>
            </w:r>
          </w:p>
        </w:tc>
        <w:tc>
          <w:tcPr>
            <w:tcW w:type="dxa" w:w="1134"/>
          </w:tcPr>
          <w:p>
            <w:r/>
            <w:r>
              <w:rPr>
                <w:sz w:val="18"/>
              </w:rPr>
              <w:t>31,0 %</w:t>
            </w:r>
          </w:p>
        </w:tc>
      </w:tr>
      <w:tr>
        <w:tc>
          <w:tcPr>
            <w:tcW w:type="dxa" w:w="2835"/>
          </w:tcPr>
          <w:p>
            <w:r/>
            <w:r>
              <w:rPr>
                <w:sz w:val="18"/>
              </w:rPr>
              <w:t>Uniformes Scolaires</w:t>
            </w:r>
          </w:p>
        </w:tc>
        <w:tc>
          <w:tcPr>
            <w:tcW w:type="dxa" w:w="1701"/>
          </w:tcPr>
          <w:p>
            <w:r/>
            <w:r>
              <w:rPr>
                <w:sz w:val="18"/>
              </w:rPr>
              <w:t>55 651 $</w:t>
            </w:r>
          </w:p>
        </w:tc>
        <w:tc>
          <w:tcPr>
            <w:tcW w:type="dxa" w:w="1587"/>
          </w:tcPr>
          <w:p>
            <w:r/>
            <w:r>
              <w:rPr>
                <w:sz w:val="18"/>
              </w:rPr>
              <w:t>13 095 $</w:t>
            </w:r>
          </w:p>
        </w:tc>
        <w:tc>
          <w:tcPr>
            <w:tcW w:type="dxa" w:w="1247"/>
          </w:tcPr>
          <w:p>
            <w:r/>
            <w:r>
              <w:rPr>
                <w:sz w:val="18"/>
              </w:rPr>
              <w:t>3 257</w:t>
            </w:r>
          </w:p>
        </w:tc>
        <w:tc>
          <w:tcPr>
            <w:tcW w:type="dxa" w:w="1134"/>
          </w:tcPr>
          <w:p>
            <w:r/>
            <w:r>
              <w:rPr>
                <w:sz w:val="18"/>
              </w:rPr>
              <w:t>23,5 %</w:t>
            </w:r>
          </w:p>
        </w:tc>
      </w:tr>
      <w:tr>
        <w:tc>
          <w:tcPr>
            <w:tcW w:type="dxa" w:w="2835"/>
          </w:tcPr>
          <w:p>
            <w:r/>
            <w:r>
              <w:rPr>
                <w:sz w:val="18"/>
              </w:rPr>
              <w:t>Chaussures Enfant</w:t>
            </w:r>
          </w:p>
        </w:tc>
        <w:tc>
          <w:tcPr>
            <w:tcW w:type="dxa" w:w="1701"/>
          </w:tcPr>
          <w:p>
            <w:r/>
            <w:r>
              <w:rPr>
                <w:sz w:val="18"/>
              </w:rPr>
              <w:t>41 836 $</w:t>
            </w:r>
          </w:p>
        </w:tc>
        <w:tc>
          <w:tcPr>
            <w:tcW w:type="dxa" w:w="1587"/>
          </w:tcPr>
          <w:p>
            <w:r/>
            <w:r>
              <w:rPr>
                <w:sz w:val="18"/>
              </w:rPr>
              <w:t>11 934 $</w:t>
            </w:r>
          </w:p>
        </w:tc>
        <w:tc>
          <w:tcPr>
            <w:tcW w:type="dxa" w:w="1247"/>
          </w:tcPr>
          <w:p>
            <w:r/>
            <w:r>
              <w:rPr>
                <w:sz w:val="18"/>
              </w:rPr>
              <w:t>2 493</w:t>
            </w:r>
          </w:p>
        </w:tc>
        <w:tc>
          <w:tcPr>
            <w:tcW w:type="dxa" w:w="1134"/>
          </w:tcPr>
          <w:p>
            <w:r/>
            <w:r>
              <w:rPr>
                <w:sz w:val="18"/>
              </w:rPr>
              <w:t>28,5 %</w:t>
            </w:r>
          </w:p>
        </w:tc>
      </w:tr>
    </w:tbl>
    <w:p>
      <w:pPr>
        <w:spacing w:after="80"/>
      </w:pPr>
    </w:p>
    <w:p>
      <w:pPr>
        <w:jc w:val="center"/>
      </w:pPr>
      <w:r>
        <w:drawing>
          <wp:inline xmlns:a="http://schemas.openxmlformats.org/drawingml/2006/main" xmlns:pic="http://schemas.openxmlformats.org/drawingml/2006/picture">
            <wp:extent cx="5220000" cy="3262500"/>
            <wp:docPr id="5" name="Picture 5"/>
            <wp:cNvGraphicFramePr>
              <a:graphicFrameLocks noChangeAspect="1"/>
            </wp:cNvGraphicFramePr>
            <a:graphic>
              <a:graphicData uri="http://schemas.openxmlformats.org/drawingml/2006/picture">
                <pic:pic>
                  <pic:nvPicPr>
                    <pic:cNvPr id="0" name="06_ca_par_categorie.png"/>
                    <pic:cNvPicPr/>
                  </pic:nvPicPr>
                  <pic:blipFill>
                    <a:blip r:embed="rId13"/>
                    <a:stretch>
                      <a:fillRect/>
                    </a:stretch>
                  </pic:blipFill>
                  <pic:spPr>
                    <a:xfrm>
                      <a:off x="0" y="0"/>
                      <a:ext cx="5220000" cy="3262500"/>
                    </a:xfrm>
                    <a:prstGeom prst="rect"/>
                  </pic:spPr>
                </pic:pic>
              </a:graphicData>
            </a:graphic>
          </wp:inline>
        </w:drawing>
      </w:r>
    </w:p>
    <w:p>
      <w:pPr>
        <w:spacing w:after="200"/>
        <w:jc w:val="center"/>
      </w:pPr>
      <w:r>
        <w:rPr>
          <w:i/>
          <w:color w:val="666666"/>
          <w:sz w:val="17"/>
        </w:rPr>
        <w:t>Figure 5 — Chiffre d'affaires par catégorie de produits</w:t>
      </w:r>
    </w:p>
    <w:p>
      <w:pPr>
        <w:spacing w:after="140"/>
      </w:pPr>
      <w:r>
        <w:rPr>
          <w:b w:val="0"/>
          <w:i w:val="0"/>
          <w:sz w:val="21"/>
        </w:rPr>
        <w:t>Les vêtements femme et homme représentent à eux seuls 46,1 % du chiffre d'affaires. Deux enseignements ressortent de l'analyse croisée volume/marge : les accessoires de mode affichent la meilleure marge (35,9 %) pour un chiffre d'affaires modeste (109 001 $), ce qui en fait un axe de développement prioritaire ; à l'inverse, les uniformes scolaires cumulent le plus faible chiffre d'affaires (55 651 $) et la plus faible marge (23,5 %), ce qui pose la question de leur maintien au catalogue.</w:t>
      </w:r>
    </w:p>
    <w:p>
      <w:pPr>
        <w:pStyle w:val="Heading2"/>
      </w:pPr>
      <w:r>
        <w:t>3.5 Concentration du portefeuille produits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134"/>
            <w:shd w:val="clear" w:fill="2C6E8E"/>
          </w:tcPr>
          <w:p>
            <w:r/>
            <w:r>
              <w:rPr>
                <w:b/>
                <w:color w:val="FFFFFF"/>
                <w:sz w:val="18"/>
              </w:rPr>
              <w:t>Classe</w:t>
            </w:r>
          </w:p>
        </w:tc>
        <w:tc>
          <w:tcPr>
            <w:tcW w:type="dxa" w:w="1474"/>
            <w:shd w:val="clear" w:fill="2C6E8E"/>
          </w:tcPr>
          <w:p>
            <w:r/>
            <w:r>
              <w:rPr>
                <w:b/>
                <w:color w:val="FFFFFF"/>
                <w:sz w:val="18"/>
              </w:rPr>
              <w:t>Nb produits</w:t>
            </w:r>
          </w:p>
        </w:tc>
        <w:tc>
          <w:tcPr>
            <w:tcW w:type="dxa" w:w="1984"/>
            <w:shd w:val="clear" w:fill="2C6E8E"/>
          </w:tcPr>
          <w:p>
            <w:r/>
            <w:r>
              <w:rPr>
                <w:b/>
                <w:color w:val="FFFFFF"/>
                <w:sz w:val="18"/>
              </w:rPr>
              <w:t>Part des références</w:t>
            </w:r>
          </w:p>
        </w:tc>
        <w:tc>
          <w:tcPr>
            <w:tcW w:type="dxa" w:w="1814"/>
            <w:shd w:val="clear" w:fill="2C6E8E"/>
          </w:tcPr>
          <w:p>
            <w:r/>
            <w:r>
              <w:rPr>
                <w:b/>
                <w:color w:val="FFFFFF"/>
                <w:sz w:val="18"/>
              </w:rPr>
              <w:t>CA</w:t>
            </w:r>
          </w:p>
        </w:tc>
        <w:tc>
          <w:tcPr>
            <w:tcW w:type="dxa" w:w="1587"/>
            <w:shd w:val="clear" w:fill="2C6E8E"/>
          </w:tcPr>
          <w:p>
            <w:r/>
            <w:r>
              <w:rPr>
                <w:b/>
                <w:color w:val="FFFFFF"/>
                <w:sz w:val="18"/>
              </w:rPr>
              <w:t>Part du CA</w:t>
            </w:r>
          </w:p>
        </w:tc>
      </w:tr>
      <w:tr>
        <w:tc>
          <w:tcPr>
            <w:tcW w:type="dxa" w:w="1134"/>
          </w:tcPr>
          <w:p>
            <w:r/>
            <w:r>
              <w:rPr>
                <w:sz w:val="18"/>
              </w:rPr>
              <w:t>A</w:t>
            </w:r>
          </w:p>
        </w:tc>
        <w:tc>
          <w:tcPr>
            <w:tcW w:type="dxa" w:w="1474"/>
          </w:tcPr>
          <w:p>
            <w:r/>
            <w:r>
              <w:rPr>
                <w:sz w:val="18"/>
              </w:rPr>
              <w:t>254</w:t>
            </w:r>
          </w:p>
        </w:tc>
        <w:tc>
          <w:tcPr>
            <w:tcW w:type="dxa" w:w="1984"/>
          </w:tcPr>
          <w:p>
            <w:r/>
            <w:r>
              <w:rPr>
                <w:sz w:val="18"/>
              </w:rPr>
              <w:t>36,4 %</w:t>
            </w:r>
          </w:p>
        </w:tc>
        <w:tc>
          <w:tcPr>
            <w:tcW w:type="dxa" w:w="1814"/>
          </w:tcPr>
          <w:p>
            <w:r/>
            <w:r>
              <w:rPr>
                <w:sz w:val="18"/>
              </w:rPr>
              <w:t>1 907 130 $</w:t>
            </w:r>
          </w:p>
        </w:tc>
        <w:tc>
          <w:tcPr>
            <w:tcW w:type="dxa" w:w="1587"/>
          </w:tcPr>
          <w:p>
            <w:r/>
            <w:r>
              <w:rPr>
                <w:sz w:val="18"/>
              </w:rPr>
              <w:t>79,9 %</w:t>
            </w:r>
          </w:p>
        </w:tc>
      </w:tr>
      <w:tr>
        <w:tc>
          <w:tcPr>
            <w:tcW w:type="dxa" w:w="1134"/>
          </w:tcPr>
          <w:p>
            <w:r/>
            <w:r>
              <w:rPr>
                <w:sz w:val="18"/>
              </w:rPr>
              <w:t>B</w:t>
            </w:r>
          </w:p>
        </w:tc>
        <w:tc>
          <w:tcPr>
            <w:tcW w:type="dxa" w:w="1474"/>
          </w:tcPr>
          <w:p>
            <w:r/>
            <w:r>
              <w:rPr>
                <w:sz w:val="18"/>
              </w:rPr>
              <w:t>204</w:t>
            </w:r>
          </w:p>
        </w:tc>
        <w:tc>
          <w:tcPr>
            <w:tcW w:type="dxa" w:w="1984"/>
          </w:tcPr>
          <w:p>
            <w:r/>
            <w:r>
              <w:rPr>
                <w:sz w:val="18"/>
              </w:rPr>
              <w:t>29,3 %</w:t>
            </w:r>
          </w:p>
        </w:tc>
        <w:tc>
          <w:tcPr>
            <w:tcW w:type="dxa" w:w="1814"/>
          </w:tcPr>
          <w:p>
            <w:r/>
            <w:r>
              <w:rPr>
                <w:sz w:val="18"/>
              </w:rPr>
              <w:t>358 873 $</w:t>
            </w:r>
          </w:p>
        </w:tc>
        <w:tc>
          <w:tcPr>
            <w:tcW w:type="dxa" w:w="1587"/>
          </w:tcPr>
          <w:p>
            <w:r/>
            <w:r>
              <w:rPr>
                <w:sz w:val="18"/>
              </w:rPr>
              <w:t>15,0 %</w:t>
            </w:r>
          </w:p>
        </w:tc>
      </w:tr>
      <w:tr>
        <w:tc>
          <w:tcPr>
            <w:tcW w:type="dxa" w:w="1134"/>
          </w:tcPr>
          <w:p>
            <w:r/>
            <w:r>
              <w:rPr>
                <w:sz w:val="18"/>
              </w:rPr>
              <w:t>C</w:t>
            </w:r>
          </w:p>
        </w:tc>
        <w:tc>
          <w:tcPr>
            <w:tcW w:type="dxa" w:w="1474"/>
          </w:tcPr>
          <w:p>
            <w:r/>
            <w:r>
              <w:rPr>
                <w:sz w:val="18"/>
              </w:rPr>
              <w:t>239</w:t>
            </w:r>
          </w:p>
        </w:tc>
        <w:tc>
          <w:tcPr>
            <w:tcW w:type="dxa" w:w="1984"/>
          </w:tcPr>
          <w:p>
            <w:r/>
            <w:r>
              <w:rPr>
                <w:sz w:val="18"/>
              </w:rPr>
              <w:t>34,3 %</w:t>
            </w:r>
          </w:p>
        </w:tc>
        <w:tc>
          <w:tcPr>
            <w:tcW w:type="dxa" w:w="1814"/>
          </w:tcPr>
          <w:p>
            <w:r/>
            <w:r>
              <w:rPr>
                <w:sz w:val="18"/>
              </w:rPr>
              <w:t>119 824 $</w:t>
            </w:r>
          </w:p>
        </w:tc>
        <w:tc>
          <w:tcPr>
            <w:tcW w:type="dxa" w:w="1587"/>
          </w:tcPr>
          <w:p>
            <w:r/>
            <w:r>
              <w:rPr>
                <w:sz w:val="18"/>
              </w:rPr>
              <w:t>5,0 %</w:t>
            </w:r>
          </w:p>
        </w:tc>
      </w:tr>
    </w:tbl>
    <w:p>
      <w:pPr>
        <w:spacing w:after="80"/>
      </w:pPr>
    </w:p>
    <w:p>
      <w:pPr>
        <w:jc w:val="center"/>
      </w:pPr>
      <w:r>
        <w:drawing>
          <wp:inline xmlns:a="http://schemas.openxmlformats.org/drawingml/2006/main" xmlns:pic="http://schemas.openxmlformats.org/drawingml/2006/picture">
            <wp:extent cx="4860000" cy="3124286"/>
            <wp:docPr id="6" name="Picture 6"/>
            <wp:cNvGraphicFramePr>
              <a:graphicFrameLocks noChangeAspect="1"/>
            </wp:cNvGraphicFramePr>
            <a:graphic>
              <a:graphicData uri="http://schemas.openxmlformats.org/drawingml/2006/picture">
                <pic:pic>
                  <pic:nvPicPr>
                    <pic:cNvPr id="0" name="07_pareto_produits.png"/>
                    <pic:cNvPicPr/>
                  </pic:nvPicPr>
                  <pic:blipFill>
                    <a:blip r:embed="rId14"/>
                    <a:stretch>
                      <a:fillRect/>
                    </a:stretch>
                  </pic:blipFill>
                  <pic:spPr>
                    <a:xfrm>
                      <a:off x="0" y="0"/>
                      <a:ext cx="4860000" cy="3124286"/>
                    </a:xfrm>
                    <a:prstGeom prst="rect"/>
                  </pic:spPr>
                </pic:pic>
              </a:graphicData>
            </a:graphic>
          </wp:inline>
        </w:drawing>
      </w:r>
    </w:p>
    <w:p>
      <w:pPr>
        <w:spacing w:after="200"/>
        <w:jc w:val="center"/>
      </w:pPr>
      <w:r>
        <w:rPr>
          <w:i/>
          <w:color w:val="666666"/>
          <w:sz w:val="17"/>
        </w:rPr>
        <w:t>Figure 6 — Courbe de Pareto de la concentration du chiffre d'affaires</w:t>
      </w:r>
    </w:p>
    <w:p>
      <w:pPr>
        <w:spacing w:after="140"/>
      </w:pPr>
      <w:r>
        <w:rPr>
          <w:b w:val="0"/>
          <w:i w:val="0"/>
          <w:sz w:val="21"/>
        </w:rPr>
        <w:t>La loi de Pareto se vérifie : 254 références (36,4 % du catalogue) génèrent 79,9 % du chiffre d'affaires. À l'opposé, 239 références de classe C (34,3 % du catalogue) ne produisent que 5,0 % du chiffre d'affaires, tout en mobilisant du stock, de l'espace de vente et de la logistique. Ce constat est directement exploitable pour le plan de déstockage recommandé en section 8.</w:t>
      </w:r>
    </w:p>
    <w:p>
      <w:r>
        <w:br w:type="page"/>
      </w:r>
    </w:p>
    <w:p>
      <w:pPr>
        <w:pStyle w:val="Heading1"/>
      </w:pPr>
      <w:r>
        <w:t>4. Analyse du portefeuille clients</w:t>
      </w:r>
    </w:p>
    <w:p>
      <w:pPr>
        <w:pStyle w:val="Heading2"/>
      </w:pPr>
      <w:r>
        <w:t>4.1 Segmentation RFM</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041"/>
            <w:shd w:val="clear" w:fill="2C6E8E"/>
          </w:tcPr>
          <w:p>
            <w:r/>
            <w:r>
              <w:rPr>
                <w:b/>
                <w:color w:val="FFFFFF"/>
                <w:sz w:val="18"/>
              </w:rPr>
              <w:t>Segment</w:t>
            </w:r>
          </w:p>
        </w:tc>
        <w:tc>
          <w:tcPr>
            <w:tcW w:type="dxa" w:w="1020"/>
            <w:shd w:val="clear" w:fill="2C6E8E"/>
          </w:tcPr>
          <w:p>
            <w:r/>
            <w:r>
              <w:rPr>
                <w:b/>
                <w:color w:val="FFFFFF"/>
                <w:sz w:val="18"/>
              </w:rPr>
              <w:t>Clients</w:t>
            </w:r>
          </w:p>
        </w:tc>
        <w:tc>
          <w:tcPr>
            <w:tcW w:type="dxa" w:w="1361"/>
            <w:shd w:val="clear" w:fill="2C6E8E"/>
          </w:tcPr>
          <w:p>
            <w:r/>
            <w:r>
              <w:rPr>
                <w:b/>
                <w:color w:val="FFFFFF"/>
                <w:sz w:val="18"/>
              </w:rPr>
              <w:t>Part clients</w:t>
            </w:r>
          </w:p>
        </w:tc>
        <w:tc>
          <w:tcPr>
            <w:tcW w:type="dxa" w:w="1701"/>
            <w:shd w:val="clear" w:fill="2C6E8E"/>
          </w:tcPr>
          <w:p>
            <w:r/>
            <w:r>
              <w:rPr>
                <w:b/>
                <w:color w:val="FFFFFF"/>
                <w:sz w:val="18"/>
              </w:rPr>
              <w:t>CA cumulé</w:t>
            </w:r>
          </w:p>
        </w:tc>
        <w:tc>
          <w:tcPr>
            <w:tcW w:type="dxa" w:w="1247"/>
            <w:shd w:val="clear" w:fill="2C6E8E"/>
          </w:tcPr>
          <w:p>
            <w:r/>
            <w:r>
              <w:rPr>
                <w:b/>
                <w:color w:val="FFFFFF"/>
                <w:sz w:val="18"/>
              </w:rPr>
              <w:t>Part du CA</w:t>
            </w:r>
          </w:p>
        </w:tc>
        <w:tc>
          <w:tcPr>
            <w:tcW w:type="dxa" w:w="1587"/>
            <w:shd w:val="clear" w:fill="2C6E8E"/>
          </w:tcPr>
          <w:p>
            <w:r/>
            <w:r>
              <w:rPr>
                <w:b/>
                <w:color w:val="FFFFFF"/>
                <w:sz w:val="18"/>
              </w:rPr>
              <w:t>Valeur vie moy.</w:t>
            </w:r>
          </w:p>
        </w:tc>
      </w:tr>
      <w:tr>
        <w:tc>
          <w:tcPr>
            <w:tcW w:type="dxa" w:w="2041"/>
          </w:tcPr>
          <w:p>
            <w:r/>
            <w:r>
              <w:rPr>
                <w:sz w:val="18"/>
              </w:rPr>
              <w:t>Champions</w:t>
            </w:r>
          </w:p>
        </w:tc>
        <w:tc>
          <w:tcPr>
            <w:tcW w:type="dxa" w:w="1020"/>
          </w:tcPr>
          <w:p>
            <w:r/>
            <w:r>
              <w:rPr>
                <w:sz w:val="18"/>
              </w:rPr>
              <w:t>341</w:t>
            </w:r>
          </w:p>
        </w:tc>
        <w:tc>
          <w:tcPr>
            <w:tcW w:type="dxa" w:w="1361"/>
          </w:tcPr>
          <w:p>
            <w:r/>
            <w:r>
              <w:rPr>
                <w:sz w:val="18"/>
              </w:rPr>
              <w:t>17,1 %</w:t>
            </w:r>
          </w:p>
        </w:tc>
        <w:tc>
          <w:tcPr>
            <w:tcW w:type="dxa" w:w="1701"/>
          </w:tcPr>
          <w:p>
            <w:r/>
            <w:r>
              <w:rPr>
                <w:sz w:val="18"/>
              </w:rPr>
              <w:t>1 174 513 $</w:t>
            </w:r>
          </w:p>
        </w:tc>
        <w:tc>
          <w:tcPr>
            <w:tcW w:type="dxa" w:w="1247"/>
          </w:tcPr>
          <w:p>
            <w:r/>
            <w:r>
              <w:rPr>
                <w:sz w:val="18"/>
              </w:rPr>
              <w:t>49,2 %</w:t>
            </w:r>
          </w:p>
        </w:tc>
        <w:tc>
          <w:tcPr>
            <w:tcW w:type="dxa" w:w="1587"/>
          </w:tcPr>
          <w:p>
            <w:r/>
            <w:r>
              <w:rPr>
                <w:sz w:val="18"/>
              </w:rPr>
              <w:t>3 444 $</w:t>
            </w:r>
          </w:p>
        </w:tc>
      </w:tr>
      <w:tr>
        <w:tc>
          <w:tcPr>
            <w:tcW w:type="dxa" w:w="2041"/>
          </w:tcPr>
          <w:p>
            <w:r/>
            <w:r>
              <w:rPr>
                <w:sz w:val="18"/>
              </w:rPr>
              <w:t>Clients Fidèles</w:t>
            </w:r>
          </w:p>
        </w:tc>
        <w:tc>
          <w:tcPr>
            <w:tcW w:type="dxa" w:w="1020"/>
          </w:tcPr>
          <w:p>
            <w:r/>
            <w:r>
              <w:rPr>
                <w:sz w:val="18"/>
              </w:rPr>
              <w:t>350</w:t>
            </w:r>
          </w:p>
        </w:tc>
        <w:tc>
          <w:tcPr>
            <w:tcW w:type="dxa" w:w="1361"/>
          </w:tcPr>
          <w:p>
            <w:r/>
            <w:r>
              <w:rPr>
                <w:sz w:val="18"/>
              </w:rPr>
              <w:t>17,5 %</w:t>
            </w:r>
          </w:p>
        </w:tc>
        <w:tc>
          <w:tcPr>
            <w:tcW w:type="dxa" w:w="1701"/>
          </w:tcPr>
          <w:p>
            <w:r/>
            <w:r>
              <w:rPr>
                <w:sz w:val="18"/>
              </w:rPr>
              <w:t>669 693 $</w:t>
            </w:r>
          </w:p>
        </w:tc>
        <w:tc>
          <w:tcPr>
            <w:tcW w:type="dxa" w:w="1247"/>
          </w:tcPr>
          <w:p>
            <w:r/>
            <w:r>
              <w:rPr>
                <w:sz w:val="18"/>
              </w:rPr>
              <w:t>28,1 %</w:t>
            </w:r>
          </w:p>
        </w:tc>
        <w:tc>
          <w:tcPr>
            <w:tcW w:type="dxa" w:w="1587"/>
          </w:tcPr>
          <w:p>
            <w:r/>
            <w:r>
              <w:rPr>
                <w:sz w:val="18"/>
              </w:rPr>
              <w:t>1 913 $</w:t>
            </w:r>
          </w:p>
        </w:tc>
      </w:tr>
      <w:tr>
        <w:tc>
          <w:tcPr>
            <w:tcW w:type="dxa" w:w="2041"/>
          </w:tcPr>
          <w:p>
            <w:r/>
            <w:r>
              <w:rPr>
                <w:sz w:val="18"/>
              </w:rPr>
              <w:t>Clients Réguliers</w:t>
            </w:r>
          </w:p>
        </w:tc>
        <w:tc>
          <w:tcPr>
            <w:tcW w:type="dxa" w:w="1020"/>
          </w:tcPr>
          <w:p>
            <w:r/>
            <w:r>
              <w:rPr>
                <w:sz w:val="18"/>
              </w:rPr>
              <w:t>356</w:t>
            </w:r>
          </w:p>
        </w:tc>
        <w:tc>
          <w:tcPr>
            <w:tcW w:type="dxa" w:w="1361"/>
          </w:tcPr>
          <w:p>
            <w:r/>
            <w:r>
              <w:rPr>
                <w:sz w:val="18"/>
              </w:rPr>
              <w:t>17,8 %</w:t>
            </w:r>
          </w:p>
        </w:tc>
        <w:tc>
          <w:tcPr>
            <w:tcW w:type="dxa" w:w="1701"/>
          </w:tcPr>
          <w:p>
            <w:r/>
            <w:r>
              <w:rPr>
                <w:sz w:val="18"/>
              </w:rPr>
              <w:t>231 976 $</w:t>
            </w:r>
          </w:p>
        </w:tc>
        <w:tc>
          <w:tcPr>
            <w:tcW w:type="dxa" w:w="1247"/>
          </w:tcPr>
          <w:p>
            <w:r/>
            <w:r>
              <w:rPr>
                <w:sz w:val="18"/>
              </w:rPr>
              <w:t>9,7 %</w:t>
            </w:r>
          </w:p>
        </w:tc>
        <w:tc>
          <w:tcPr>
            <w:tcW w:type="dxa" w:w="1587"/>
          </w:tcPr>
          <w:p>
            <w:r/>
            <w:r>
              <w:rPr>
                <w:sz w:val="18"/>
              </w:rPr>
              <w:t>652 $</w:t>
            </w:r>
          </w:p>
        </w:tc>
      </w:tr>
      <w:tr>
        <w:tc>
          <w:tcPr>
            <w:tcW w:type="dxa" w:w="2041"/>
          </w:tcPr>
          <w:p>
            <w:r/>
            <w:r>
              <w:rPr>
                <w:sz w:val="18"/>
              </w:rPr>
              <w:t>Clients Perdus</w:t>
            </w:r>
          </w:p>
        </w:tc>
        <w:tc>
          <w:tcPr>
            <w:tcW w:type="dxa" w:w="1020"/>
          </w:tcPr>
          <w:p>
            <w:r/>
            <w:r>
              <w:rPr>
                <w:sz w:val="18"/>
              </w:rPr>
              <w:t>387</w:t>
            </w:r>
          </w:p>
        </w:tc>
        <w:tc>
          <w:tcPr>
            <w:tcW w:type="dxa" w:w="1361"/>
          </w:tcPr>
          <w:p>
            <w:r/>
            <w:r>
              <w:rPr>
                <w:sz w:val="18"/>
              </w:rPr>
              <w:t>19,4 %</w:t>
            </w:r>
          </w:p>
        </w:tc>
        <w:tc>
          <w:tcPr>
            <w:tcW w:type="dxa" w:w="1701"/>
          </w:tcPr>
          <w:p>
            <w:r/>
            <w:r>
              <w:rPr>
                <w:sz w:val="18"/>
              </w:rPr>
              <w:t>127 882 $</w:t>
            </w:r>
          </w:p>
        </w:tc>
        <w:tc>
          <w:tcPr>
            <w:tcW w:type="dxa" w:w="1247"/>
          </w:tcPr>
          <w:p>
            <w:r/>
            <w:r>
              <w:rPr>
                <w:sz w:val="18"/>
              </w:rPr>
              <w:t>5,4 %</w:t>
            </w:r>
          </w:p>
        </w:tc>
        <w:tc>
          <w:tcPr>
            <w:tcW w:type="dxa" w:w="1587"/>
          </w:tcPr>
          <w:p>
            <w:r/>
            <w:r>
              <w:rPr>
                <w:sz w:val="18"/>
              </w:rPr>
              <w:t>330 $</w:t>
            </w:r>
          </w:p>
        </w:tc>
      </w:tr>
      <w:tr>
        <w:tc>
          <w:tcPr>
            <w:tcW w:type="dxa" w:w="2041"/>
          </w:tcPr>
          <w:p>
            <w:r/>
            <w:r>
              <w:rPr>
                <w:sz w:val="18"/>
              </w:rPr>
              <w:t>Clients à Risque</w:t>
            </w:r>
          </w:p>
        </w:tc>
        <w:tc>
          <w:tcPr>
            <w:tcW w:type="dxa" w:w="1020"/>
          </w:tcPr>
          <w:p>
            <w:r/>
            <w:r>
              <w:rPr>
                <w:sz w:val="18"/>
              </w:rPr>
              <w:t>139</w:t>
            </w:r>
          </w:p>
        </w:tc>
        <w:tc>
          <w:tcPr>
            <w:tcW w:type="dxa" w:w="1361"/>
          </w:tcPr>
          <w:p>
            <w:r/>
            <w:r>
              <w:rPr>
                <w:sz w:val="18"/>
              </w:rPr>
              <w:t>7,0 %</w:t>
            </w:r>
          </w:p>
        </w:tc>
        <w:tc>
          <w:tcPr>
            <w:tcW w:type="dxa" w:w="1701"/>
          </w:tcPr>
          <w:p>
            <w:r/>
            <w:r>
              <w:rPr>
                <w:sz w:val="18"/>
              </w:rPr>
              <w:t>114 794 $</w:t>
            </w:r>
          </w:p>
        </w:tc>
        <w:tc>
          <w:tcPr>
            <w:tcW w:type="dxa" w:w="1247"/>
          </w:tcPr>
          <w:p>
            <w:r/>
            <w:r>
              <w:rPr>
                <w:sz w:val="18"/>
              </w:rPr>
              <w:t>4,8 %</w:t>
            </w:r>
          </w:p>
        </w:tc>
        <w:tc>
          <w:tcPr>
            <w:tcW w:type="dxa" w:w="1587"/>
          </w:tcPr>
          <w:p>
            <w:r/>
            <w:r>
              <w:rPr>
                <w:sz w:val="18"/>
              </w:rPr>
              <w:t>826 $</w:t>
            </w:r>
          </w:p>
        </w:tc>
      </w:tr>
      <w:tr>
        <w:tc>
          <w:tcPr>
            <w:tcW w:type="dxa" w:w="2041"/>
          </w:tcPr>
          <w:p>
            <w:r/>
            <w:r>
              <w:rPr>
                <w:sz w:val="18"/>
              </w:rPr>
              <w:t>Nouveaux Clients</w:t>
            </w:r>
          </w:p>
        </w:tc>
        <w:tc>
          <w:tcPr>
            <w:tcW w:type="dxa" w:w="1020"/>
          </w:tcPr>
          <w:p>
            <w:r/>
            <w:r>
              <w:rPr>
                <w:sz w:val="18"/>
              </w:rPr>
              <w:t>170</w:t>
            </w:r>
          </w:p>
        </w:tc>
        <w:tc>
          <w:tcPr>
            <w:tcW w:type="dxa" w:w="1361"/>
          </w:tcPr>
          <w:p>
            <w:r/>
            <w:r>
              <w:rPr>
                <w:sz w:val="18"/>
              </w:rPr>
              <w:t>8,5 %</w:t>
            </w:r>
          </w:p>
        </w:tc>
        <w:tc>
          <w:tcPr>
            <w:tcW w:type="dxa" w:w="1701"/>
          </w:tcPr>
          <w:p>
            <w:r/>
            <w:r>
              <w:rPr>
                <w:sz w:val="18"/>
              </w:rPr>
              <w:t>66 969 $</w:t>
            </w:r>
          </w:p>
        </w:tc>
        <w:tc>
          <w:tcPr>
            <w:tcW w:type="dxa" w:w="1247"/>
          </w:tcPr>
          <w:p>
            <w:r/>
            <w:r>
              <w:rPr>
                <w:sz w:val="18"/>
              </w:rPr>
              <w:t>2,8 %</w:t>
            </w:r>
          </w:p>
        </w:tc>
        <w:tc>
          <w:tcPr>
            <w:tcW w:type="dxa" w:w="1587"/>
          </w:tcPr>
          <w:p>
            <w:r/>
            <w:r>
              <w:rPr>
                <w:sz w:val="18"/>
              </w:rPr>
              <w:t>394 $</w:t>
            </w:r>
          </w:p>
        </w:tc>
      </w:tr>
      <w:tr>
        <w:tc>
          <w:tcPr>
            <w:tcW w:type="dxa" w:w="2041"/>
          </w:tcPr>
          <w:p>
            <w:r/>
            <w:r>
              <w:rPr>
                <w:sz w:val="18"/>
              </w:rPr>
              <w:t>Sans Achat</w:t>
            </w:r>
          </w:p>
        </w:tc>
        <w:tc>
          <w:tcPr>
            <w:tcW w:type="dxa" w:w="1020"/>
          </w:tcPr>
          <w:p>
            <w:r/>
            <w:r>
              <w:rPr>
                <w:sz w:val="18"/>
              </w:rPr>
              <w:t>257</w:t>
            </w:r>
          </w:p>
        </w:tc>
        <w:tc>
          <w:tcPr>
            <w:tcW w:type="dxa" w:w="1361"/>
          </w:tcPr>
          <w:p>
            <w:r/>
            <w:r>
              <w:rPr>
                <w:sz w:val="18"/>
              </w:rPr>
              <w:t>12,8 %</w:t>
            </w:r>
          </w:p>
        </w:tc>
        <w:tc>
          <w:tcPr>
            <w:tcW w:type="dxa" w:w="1701"/>
          </w:tcPr>
          <w:p>
            <w:r/>
            <w:r>
              <w:rPr>
                <w:sz w:val="18"/>
              </w:rPr>
              <w:t>0 $</w:t>
            </w:r>
          </w:p>
        </w:tc>
        <w:tc>
          <w:tcPr>
            <w:tcW w:type="dxa" w:w="1247"/>
          </w:tcPr>
          <w:p>
            <w:r/>
            <w:r>
              <w:rPr>
                <w:sz w:val="18"/>
              </w:rPr>
              <w:t>0,0 %</w:t>
            </w:r>
          </w:p>
        </w:tc>
        <w:tc>
          <w:tcPr>
            <w:tcW w:type="dxa" w:w="1587"/>
          </w:tcPr>
          <w:p>
            <w:r/>
            <w:r>
              <w:rPr>
                <w:sz w:val="18"/>
              </w:rPr>
              <w:t>0 $</w:t>
            </w:r>
          </w:p>
        </w:tc>
      </w:tr>
    </w:tbl>
    <w:p>
      <w:pPr>
        <w:spacing w:after="80"/>
      </w:pPr>
    </w:p>
    <w:p>
      <w:pPr>
        <w:jc w:val="center"/>
      </w:pPr>
      <w:r>
        <w:drawing>
          <wp:inline xmlns:a="http://schemas.openxmlformats.org/drawingml/2006/main" xmlns:pic="http://schemas.openxmlformats.org/drawingml/2006/picture">
            <wp:extent cx="5220000" cy="3262500"/>
            <wp:docPr id="7" name="Picture 7"/>
            <wp:cNvGraphicFramePr>
              <a:graphicFrameLocks noChangeAspect="1"/>
            </wp:cNvGraphicFramePr>
            <a:graphic>
              <a:graphicData uri="http://schemas.openxmlformats.org/drawingml/2006/picture">
                <pic:pic>
                  <pic:nvPicPr>
                    <pic:cNvPr id="0" name="08_segmentation_rfm.png"/>
                    <pic:cNvPicPr/>
                  </pic:nvPicPr>
                  <pic:blipFill>
                    <a:blip r:embed="rId15"/>
                    <a:stretch>
                      <a:fillRect/>
                    </a:stretch>
                  </pic:blipFill>
                  <pic:spPr>
                    <a:xfrm>
                      <a:off x="0" y="0"/>
                      <a:ext cx="5220000" cy="3262500"/>
                    </a:xfrm>
                    <a:prstGeom prst="rect"/>
                  </pic:spPr>
                </pic:pic>
              </a:graphicData>
            </a:graphic>
          </wp:inline>
        </w:drawing>
      </w:r>
    </w:p>
    <w:p>
      <w:pPr>
        <w:spacing w:after="200"/>
        <w:jc w:val="center"/>
      </w:pPr>
      <w:r>
        <w:rPr>
          <w:i/>
          <w:color w:val="666666"/>
          <w:sz w:val="17"/>
        </w:rPr>
        <w:t>Figure 7 — Poids relatif de chaque segment RFM</w:t>
      </w:r>
    </w:p>
    <w:p>
      <w:pPr>
        <w:spacing w:after="140"/>
      </w:pPr>
      <w:r>
        <w:rPr>
          <w:b w:val="0"/>
          <w:i w:val="0"/>
          <w:sz w:val="21"/>
        </w:rPr>
        <w:t>Le déséquilibre est frappant. Les 341 clients Champions représentent 17,1 % de la base mais génèrent 49,2 % du chiffre d'affaires, avec une valeur vie moyenne de 3 444 $. En ajoutant les clients fidèles, 34,6 % de la base produit 77,3 % du chiffre d'affaires. À l'inverse, 257 clients inscrits (12,9 %) n'ont jamais passé commande, et 387 clients sont classés comme perdus.</w:t>
      </w:r>
    </w:p>
    <w:p>
      <w:pPr>
        <w:spacing w:after="140"/>
      </w:pPr>
      <w:r>
        <w:rPr>
          <w:b w:val="0"/>
          <w:i w:val="0"/>
          <w:sz w:val="21"/>
        </w:rPr>
        <w:t>La valeur vie client confirme cet écart : elle s'élève à 6 200 $ pour un client VIP contre 843 $ pour un client standard, soit un rapport de 7,4. La priorité de fidélisation doit porter sur ce noyau.</w:t>
      </w:r>
    </w:p>
    <w:p>
      <w:pPr>
        <w:pStyle w:val="Heading2"/>
      </w:pPr>
      <w:r>
        <w:t>4.2 Concentration et attrition</w:t>
      </w:r>
    </w:p>
    <w:tbl>
      <w:tblPr>
        <w:tblStyle w:val="TableGrid"/>
        <w:tblW w:type="auto" w:w="0"/>
        <w:jc w:val="center"/>
        <w:tblLook w:firstColumn="1" w:firstRow="1" w:lastColumn="0" w:lastRow="0" w:noHBand="0" w:noVBand="1" w:val="04A0"/>
      </w:tblPr>
      <w:tblGrid>
        <w:gridCol w:w="4873"/>
        <w:gridCol w:w="4873"/>
      </w:tblGrid>
      <w:tr>
        <w:tc>
          <w:tcPr>
            <w:tcW w:type="dxa" w:w="5953"/>
            <w:shd w:val="clear" w:fill="2C6E8E"/>
          </w:tcPr>
          <w:p>
            <w:r/>
            <w:r>
              <w:rPr>
                <w:b/>
                <w:color w:val="FFFFFF"/>
                <w:sz w:val="18"/>
              </w:rPr>
              <w:t>Indicateur</w:t>
            </w:r>
          </w:p>
        </w:tc>
        <w:tc>
          <w:tcPr>
            <w:tcW w:type="dxa" w:w="2835"/>
            <w:shd w:val="clear" w:fill="2C6E8E"/>
          </w:tcPr>
          <w:p>
            <w:r/>
            <w:r>
              <w:rPr>
                <w:b/>
                <w:color w:val="FFFFFF"/>
                <w:sz w:val="18"/>
              </w:rPr>
              <w:t>Valeur</w:t>
            </w:r>
          </w:p>
        </w:tc>
      </w:tr>
      <w:tr>
        <w:tc>
          <w:tcPr>
            <w:tcW w:type="dxa" w:w="5953"/>
          </w:tcPr>
          <w:p>
            <w:r/>
            <w:r>
              <w:rPr>
                <w:sz w:val="18"/>
              </w:rPr>
              <w:t>Part du CA réalisée par les 10 % meilleurs clients</w:t>
            </w:r>
          </w:p>
        </w:tc>
        <w:tc>
          <w:tcPr>
            <w:tcW w:type="dxa" w:w="2835"/>
          </w:tcPr>
          <w:p>
            <w:r/>
            <w:r>
              <w:rPr>
                <w:sz w:val="18"/>
              </w:rPr>
              <w:t>43,4 %</w:t>
            </w:r>
          </w:p>
        </w:tc>
      </w:tr>
      <w:tr>
        <w:tc>
          <w:tcPr>
            <w:tcW w:type="dxa" w:w="5953"/>
          </w:tcPr>
          <w:p>
            <w:r/>
            <w:r>
              <w:rPr>
                <w:sz w:val="18"/>
              </w:rPr>
              <w:t>Part du CA réalisée par les 20 % meilleurs clients</w:t>
            </w:r>
          </w:p>
        </w:tc>
        <w:tc>
          <w:tcPr>
            <w:tcW w:type="dxa" w:w="2835"/>
          </w:tcPr>
          <w:p>
            <w:r/>
            <w:r>
              <w:rPr>
                <w:sz w:val="18"/>
              </w:rPr>
              <w:t>62,1 %</w:t>
            </w:r>
          </w:p>
        </w:tc>
      </w:tr>
      <w:tr>
        <w:tc>
          <w:tcPr>
            <w:tcW w:type="dxa" w:w="5953"/>
          </w:tcPr>
          <w:p>
            <w:r/>
            <w:r>
              <w:rPr>
                <w:sz w:val="18"/>
              </w:rPr>
              <w:t>Clients actifs</w:t>
            </w:r>
          </w:p>
        </w:tc>
        <w:tc>
          <w:tcPr>
            <w:tcW w:type="dxa" w:w="2835"/>
          </w:tcPr>
          <w:p>
            <w:r/>
            <w:r>
              <w:rPr>
                <w:sz w:val="18"/>
              </w:rPr>
              <w:t>1112 (55,6 %)</w:t>
            </w:r>
          </w:p>
        </w:tc>
      </w:tr>
      <w:tr>
        <w:tc>
          <w:tcPr>
            <w:tcW w:type="dxa" w:w="5953"/>
          </w:tcPr>
          <w:p>
            <w:r/>
            <w:r>
              <w:rPr>
                <w:sz w:val="18"/>
              </w:rPr>
              <w:t>Clients perdus</w:t>
            </w:r>
          </w:p>
        </w:tc>
        <w:tc>
          <w:tcPr>
            <w:tcW w:type="dxa" w:w="2835"/>
          </w:tcPr>
          <w:p>
            <w:r/>
            <w:r>
              <w:rPr>
                <w:sz w:val="18"/>
              </w:rPr>
              <w:t>327 (16,4 %)</w:t>
            </w:r>
          </w:p>
        </w:tc>
      </w:tr>
      <w:tr>
        <w:tc>
          <w:tcPr>
            <w:tcW w:type="dxa" w:w="5953"/>
          </w:tcPr>
          <w:p>
            <w:r/>
            <w:r>
              <w:rPr>
                <w:sz w:val="18"/>
              </w:rPr>
              <w:t>Clients inactifs</w:t>
            </w:r>
          </w:p>
        </w:tc>
        <w:tc>
          <w:tcPr>
            <w:tcW w:type="dxa" w:w="2835"/>
          </w:tcPr>
          <w:p>
            <w:r/>
            <w:r>
              <w:rPr>
                <w:sz w:val="18"/>
              </w:rPr>
              <w:t>304 (15,2 %)</w:t>
            </w:r>
          </w:p>
        </w:tc>
      </w:tr>
      <w:tr>
        <w:tc>
          <w:tcPr>
            <w:tcW w:type="dxa" w:w="5953"/>
          </w:tcPr>
          <w:p>
            <w:r/>
            <w:r>
              <w:rPr>
                <w:sz w:val="18"/>
              </w:rPr>
              <w:t>Clients jamais actifs</w:t>
            </w:r>
          </w:p>
        </w:tc>
        <w:tc>
          <w:tcPr>
            <w:tcW w:type="dxa" w:w="2835"/>
          </w:tcPr>
          <w:p>
            <w:r/>
            <w:r>
              <w:rPr>
                <w:sz w:val="18"/>
              </w:rPr>
              <w:t>257 (12,9 %)</w:t>
            </w:r>
          </w:p>
        </w:tc>
      </w:tr>
    </w:tbl>
    <w:p>
      <w:pPr>
        <w:spacing w:after="80"/>
      </w:pPr>
    </w:p>
    <w:p>
      <w:pPr>
        <w:spacing w:after="140"/>
      </w:pPr>
      <w:r>
        <w:rPr>
          <w:b w:val="0"/>
          <w:i w:val="0"/>
          <w:sz w:val="21"/>
        </w:rPr>
        <w:t>Seuls 55,6 % des clients sont actifs. L'attrition cumulée (perdus et inactifs) atteint 631 clients, soit 31,5 % de la base. S'y ajoutent 257 inscrits n'ayant jamais commandé, ce qui interroge la qualité du processus d'acquisition et du parcours de première commande.</w:t>
      </w:r>
    </w:p>
    <w:p>
      <w:pPr>
        <w:pStyle w:val="Heading2"/>
      </w:pPr>
      <w:r>
        <w:t>4.3 Rétention par cohorte</w:t>
      </w:r>
    </w:p>
    <w:p>
      <w:pPr>
        <w:jc w:val="center"/>
      </w:pPr>
      <w:r>
        <w:drawing>
          <wp:inline xmlns:a="http://schemas.openxmlformats.org/drawingml/2006/main" xmlns:pic="http://schemas.openxmlformats.org/drawingml/2006/picture">
            <wp:extent cx="5220000" cy="2936250"/>
            <wp:docPr id="8" name="Picture 8"/>
            <wp:cNvGraphicFramePr>
              <a:graphicFrameLocks noChangeAspect="1"/>
            </wp:cNvGraphicFramePr>
            <a:graphic>
              <a:graphicData uri="http://schemas.openxmlformats.org/drawingml/2006/picture">
                <pic:pic>
                  <pic:nvPicPr>
                    <pic:cNvPr id="0" name="10_cohortes_retention.png"/>
                    <pic:cNvPicPr/>
                  </pic:nvPicPr>
                  <pic:blipFill>
                    <a:blip r:embed="rId16"/>
                    <a:stretch>
                      <a:fillRect/>
                    </a:stretch>
                  </pic:blipFill>
                  <pic:spPr>
                    <a:xfrm>
                      <a:off x="0" y="0"/>
                      <a:ext cx="5220000" cy="2936250"/>
                    </a:xfrm>
                    <a:prstGeom prst="rect"/>
                  </pic:spPr>
                </pic:pic>
              </a:graphicData>
            </a:graphic>
          </wp:inline>
        </w:drawing>
      </w:r>
    </w:p>
    <w:p>
      <w:pPr>
        <w:spacing w:after="200"/>
        <w:jc w:val="center"/>
      </w:pPr>
      <w:r>
        <w:rPr>
          <w:i/>
          <w:color w:val="666666"/>
          <w:sz w:val="17"/>
        </w:rPr>
        <w:t>Figure 8 — Taux de rétention par cohorte d'inscription</w:t>
      </w:r>
    </w:p>
    <w:p>
      <w:pPr>
        <w:spacing w:after="140"/>
      </w:pPr>
      <w:r>
        <w:rPr>
          <w:b w:val="0"/>
          <w:i w:val="0"/>
          <w:sz w:val="21"/>
        </w:rPr>
        <w:t>L'analyse par cohorte montre le pourcentage de clients de chaque année d'inscription encore actifs les années suivantes. Elle permet d'évaluer si les clients recrutés récemment se comportent mieux ou moins bien que les précédents, et donc si les efforts d'acquisition produisent une clientèle durable.</w:t>
      </w:r>
    </w:p>
    <w:p>
      <w:pPr>
        <w:pStyle w:val="Heading2"/>
      </w:pPr>
      <w:r>
        <w:t>4.4 Profil de la clientèle</w:t>
      </w:r>
    </w:p>
    <w:p>
      <w:pPr>
        <w:jc w:val="center"/>
      </w:pPr>
      <w:r>
        <w:drawing>
          <wp:inline xmlns:a="http://schemas.openxmlformats.org/drawingml/2006/main" xmlns:pic="http://schemas.openxmlformats.org/drawingml/2006/picture">
            <wp:extent cx="5400000" cy="2061818"/>
            <wp:docPr id="9" name="Picture 9"/>
            <wp:cNvGraphicFramePr>
              <a:graphicFrameLocks noChangeAspect="1"/>
            </wp:cNvGraphicFramePr>
            <a:graphic>
              <a:graphicData uri="http://schemas.openxmlformats.org/drawingml/2006/picture">
                <pic:pic>
                  <pic:nvPicPr>
                    <pic:cNvPr id="0" name="09_demographie_clients.png"/>
                    <pic:cNvPicPr/>
                  </pic:nvPicPr>
                  <pic:blipFill>
                    <a:blip r:embed="rId17"/>
                    <a:stretch>
                      <a:fillRect/>
                    </a:stretch>
                  </pic:blipFill>
                  <pic:spPr>
                    <a:xfrm>
                      <a:off x="0" y="0"/>
                      <a:ext cx="5400000" cy="2061818"/>
                    </a:xfrm>
                    <a:prstGeom prst="rect"/>
                  </pic:spPr>
                </pic:pic>
              </a:graphicData>
            </a:graphic>
          </wp:inline>
        </w:drawing>
      </w:r>
    </w:p>
    <w:p>
      <w:pPr>
        <w:spacing w:after="200"/>
        <w:jc w:val="center"/>
      </w:pPr>
      <w:r>
        <w:rPr>
          <w:i/>
          <w:color w:val="666666"/>
          <w:sz w:val="17"/>
        </w:rPr>
        <w:t>Figure 9 — Répartition par âge et canal d'acquisition</w:t>
      </w:r>
    </w:p>
    <w:p>
      <w:pPr>
        <w:spacing w:after="140"/>
      </w:pPr>
      <w:r>
        <w:rPr>
          <w:b w:val="0"/>
          <w:i w:val="0"/>
          <w:sz w:val="21"/>
        </w:rPr>
        <w:t>La clientèle est équilibrée entre les sexes (1 007 femmes, 993 hommes) et répartie de façon homogène entre les tranches d'âge, avec un âge moyen de 42,9 ans et un revenu mensuel moyen de 697 $. Kinshasa concentre 43,5 % des clients. Le bouche-à-oreille reste le premier canal d'acquisition (320 clients), devant la boutique physique (310), ce qui témoigne d'une bonne réputation de l'enseigne.</w:t>
      </w:r>
    </w:p>
    <w:p>
      <w:r>
        <w:br w:type="page"/>
      </w:r>
    </w:p>
    <w:p>
      <w:pPr>
        <w:pStyle w:val="Heading1"/>
      </w:pPr>
      <w:r>
        <w:t>5. Logistique, livraisons et retours</w:t>
      </w:r>
    </w:p>
    <w:p>
      <w:pPr>
        <w:pStyle w:val="Heading2"/>
      </w:pPr>
      <w:r>
        <w:t>5.1 Performance des livraisons</w:t>
      </w:r>
    </w:p>
    <w:tbl>
      <w:tblPr>
        <w:tblStyle w:val="TableGrid"/>
        <w:tblW w:type="auto" w:w="0"/>
        <w:jc w:val="center"/>
        <w:tblLook w:firstColumn="1" w:firstRow="1" w:lastColumn="0" w:lastRow="0" w:noHBand="0" w:noVBand="1" w:val="04A0"/>
      </w:tblPr>
      <w:tblGrid>
        <w:gridCol w:w="4873"/>
        <w:gridCol w:w="4873"/>
      </w:tblGrid>
      <w:tr>
        <w:tc>
          <w:tcPr>
            <w:tcW w:type="dxa" w:w="4535"/>
            <w:shd w:val="clear" w:fill="2C6E8E"/>
          </w:tcPr>
          <w:p>
            <w:r/>
            <w:r>
              <w:rPr>
                <w:b/>
                <w:color w:val="FFFFFF"/>
                <w:sz w:val="18"/>
              </w:rPr>
              <w:t>Indicateur</w:t>
            </w:r>
          </w:p>
        </w:tc>
        <w:tc>
          <w:tcPr>
            <w:tcW w:type="dxa" w:w="2835"/>
            <w:shd w:val="clear" w:fill="2C6E8E"/>
          </w:tcPr>
          <w:p>
            <w:r/>
            <w:r>
              <w:rPr>
                <w:b/>
                <w:color w:val="FFFFFF"/>
                <w:sz w:val="18"/>
              </w:rPr>
              <w:t>Valeur</w:t>
            </w:r>
          </w:p>
        </w:tc>
      </w:tr>
      <w:tr>
        <w:tc>
          <w:tcPr>
            <w:tcW w:type="dxa" w:w="4535"/>
          </w:tcPr>
          <w:p>
            <w:r/>
            <w:r>
              <w:rPr>
                <w:sz w:val="18"/>
              </w:rPr>
              <w:t>Délai de livraison moyen</w:t>
            </w:r>
          </w:p>
        </w:tc>
        <w:tc>
          <w:tcPr>
            <w:tcW w:type="dxa" w:w="2835"/>
          </w:tcPr>
          <w:p>
            <w:r/>
            <w:r>
              <w:rPr>
                <w:sz w:val="18"/>
              </w:rPr>
              <w:t>2,26 jours</w:t>
            </w:r>
          </w:p>
        </w:tc>
      </w:tr>
      <w:tr>
        <w:tc>
          <w:tcPr>
            <w:tcW w:type="dxa" w:w="4535"/>
          </w:tcPr>
          <w:p>
            <w:r/>
            <w:r>
              <w:rPr>
                <w:sz w:val="18"/>
              </w:rPr>
              <w:t>Délai médian</w:t>
            </w:r>
          </w:p>
        </w:tc>
        <w:tc>
          <w:tcPr>
            <w:tcW w:type="dxa" w:w="2835"/>
          </w:tcPr>
          <w:p>
            <w:r/>
            <w:r>
              <w:rPr>
                <w:sz w:val="18"/>
              </w:rPr>
              <w:t>2 jours</w:t>
            </w:r>
          </w:p>
        </w:tc>
      </w:tr>
      <w:tr>
        <w:tc>
          <w:tcPr>
            <w:tcW w:type="dxa" w:w="4535"/>
          </w:tcPr>
          <w:p>
            <w:r/>
            <w:r>
              <w:rPr>
                <w:sz w:val="18"/>
              </w:rPr>
              <w:t>Taux de retard global</w:t>
            </w:r>
          </w:p>
        </w:tc>
        <w:tc>
          <w:tcPr>
            <w:tcW w:type="dxa" w:w="2835"/>
          </w:tcPr>
          <w:p>
            <w:r/>
            <w:r>
              <w:rPr>
                <w:sz w:val="18"/>
              </w:rPr>
              <w:t>8,52 %</w:t>
            </w:r>
          </w:p>
        </w:tc>
      </w:tr>
      <w:tr>
        <w:tc>
          <w:tcPr>
            <w:tcW w:type="dxa" w:w="4535"/>
          </w:tcPr>
          <w:p>
            <w:r/>
            <w:r>
              <w:rPr>
                <w:sz w:val="18"/>
              </w:rPr>
              <w:t>Satisfaction client moyenne</w:t>
            </w:r>
          </w:p>
        </w:tc>
        <w:tc>
          <w:tcPr>
            <w:tcW w:type="dxa" w:w="2835"/>
          </w:tcPr>
          <w:p>
            <w:r/>
            <w:r>
              <w:rPr>
                <w:sz w:val="18"/>
              </w:rPr>
              <w:t>3,88 / 5</w:t>
            </w:r>
          </w:p>
        </w:tc>
      </w:tr>
      <w:tr>
        <w:tc>
          <w:tcPr>
            <w:tcW w:type="dxa" w:w="4535"/>
          </w:tcPr>
          <w:p>
            <w:r/>
            <w:r>
              <w:rPr>
                <w:sz w:val="18"/>
              </w:rPr>
              <w:t>Coût logistique total</w:t>
            </w:r>
          </w:p>
        </w:tc>
        <w:tc>
          <w:tcPr>
            <w:tcW w:type="dxa" w:w="2835"/>
          </w:tcPr>
          <w:p>
            <w:r/>
            <w:r>
              <w:rPr>
                <w:sz w:val="18"/>
              </w:rPr>
              <w:t>59 024 $</w:t>
            </w:r>
          </w:p>
        </w:tc>
      </w:tr>
    </w:tbl>
    <w:p>
      <w:pPr>
        <w:spacing w:after="80"/>
      </w:pP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551"/>
            <w:shd w:val="clear" w:fill="2C6E8E"/>
          </w:tcPr>
          <w:p>
            <w:r/>
            <w:r>
              <w:rPr>
                <w:b/>
                <w:color w:val="FFFFFF"/>
                <w:sz w:val="18"/>
              </w:rPr>
              <w:t>Mode de livraison</w:t>
            </w:r>
          </w:p>
        </w:tc>
        <w:tc>
          <w:tcPr>
            <w:tcW w:type="dxa" w:w="1474"/>
            <w:shd w:val="clear" w:fill="2C6E8E"/>
          </w:tcPr>
          <w:p>
            <w:r/>
            <w:r>
              <w:rPr>
                <w:b/>
                <w:color w:val="FFFFFF"/>
                <w:sz w:val="18"/>
              </w:rPr>
              <w:t>Livraisons</w:t>
            </w:r>
          </w:p>
        </w:tc>
        <w:tc>
          <w:tcPr>
            <w:tcW w:type="dxa" w:w="1474"/>
            <w:shd w:val="clear" w:fill="2C6E8E"/>
          </w:tcPr>
          <w:p>
            <w:r/>
            <w:r>
              <w:rPr>
                <w:b/>
                <w:color w:val="FFFFFF"/>
                <w:sz w:val="18"/>
              </w:rPr>
              <w:t>Délai moyen</w:t>
            </w:r>
          </w:p>
        </w:tc>
        <w:tc>
          <w:tcPr>
            <w:tcW w:type="dxa" w:w="1587"/>
            <w:shd w:val="clear" w:fill="2C6E8E"/>
          </w:tcPr>
          <w:p>
            <w:r/>
            <w:r>
              <w:rPr>
                <w:b/>
                <w:color w:val="FFFFFF"/>
                <w:sz w:val="18"/>
              </w:rPr>
              <w:t>Taux de retard</w:t>
            </w:r>
          </w:p>
        </w:tc>
        <w:tc>
          <w:tcPr>
            <w:tcW w:type="dxa" w:w="1587"/>
            <w:shd w:val="clear" w:fill="2C6E8E"/>
          </w:tcPr>
          <w:p>
            <w:r/>
            <w:r>
              <w:rPr>
                <w:b/>
                <w:color w:val="FFFFFF"/>
                <w:sz w:val="18"/>
              </w:rPr>
              <w:t>Satisfaction</w:t>
            </w:r>
          </w:p>
        </w:tc>
      </w:tr>
      <w:tr>
        <w:tc>
          <w:tcPr>
            <w:tcW w:type="dxa" w:w="2551"/>
          </w:tcPr>
          <w:p>
            <w:r/>
            <w:r>
              <w:rPr>
                <w:sz w:val="18"/>
              </w:rPr>
              <w:t>Livraison à Domicile</w:t>
            </w:r>
          </w:p>
        </w:tc>
        <w:tc>
          <w:tcPr>
            <w:tcW w:type="dxa" w:w="1474"/>
          </w:tcPr>
          <w:p>
            <w:r/>
            <w:r>
              <w:rPr>
                <w:sz w:val="18"/>
              </w:rPr>
              <w:t>7 776</w:t>
            </w:r>
          </w:p>
        </w:tc>
        <w:tc>
          <w:tcPr>
            <w:tcW w:type="dxa" w:w="1474"/>
          </w:tcPr>
          <w:p>
            <w:r/>
            <w:r>
              <w:rPr>
                <w:sz w:val="18"/>
              </w:rPr>
              <w:t>4,07 j</w:t>
            </w:r>
          </w:p>
        </w:tc>
        <w:tc>
          <w:tcPr>
            <w:tcW w:type="dxa" w:w="1587"/>
          </w:tcPr>
          <w:p>
            <w:r/>
            <w:r>
              <w:rPr>
                <w:sz w:val="18"/>
              </w:rPr>
              <w:t>15,3 %</w:t>
            </w:r>
          </w:p>
        </w:tc>
        <w:tc>
          <w:tcPr>
            <w:tcW w:type="dxa" w:w="1587"/>
          </w:tcPr>
          <w:p>
            <w:r/>
            <w:r>
              <w:rPr>
                <w:sz w:val="18"/>
              </w:rPr>
              <w:t>3,80 / 5</w:t>
            </w:r>
          </w:p>
        </w:tc>
      </w:tr>
      <w:tr>
        <w:tc>
          <w:tcPr>
            <w:tcW w:type="dxa" w:w="2551"/>
          </w:tcPr>
          <w:p>
            <w:r/>
            <w:r>
              <w:rPr>
                <w:sz w:val="18"/>
              </w:rPr>
              <w:t>Remise en Main Propre</w:t>
            </w:r>
          </w:p>
        </w:tc>
        <w:tc>
          <w:tcPr>
            <w:tcW w:type="dxa" w:w="1474"/>
          </w:tcPr>
          <w:p>
            <w:r/>
            <w:r>
              <w:rPr>
                <w:sz w:val="18"/>
              </w:rPr>
              <w:t>720</w:t>
            </w:r>
          </w:p>
        </w:tc>
        <w:tc>
          <w:tcPr>
            <w:tcW w:type="dxa" w:w="1474"/>
          </w:tcPr>
          <w:p>
            <w:r/>
            <w:r>
              <w:rPr>
                <w:sz w:val="18"/>
              </w:rPr>
              <w:t>0,00 j</w:t>
            </w:r>
          </w:p>
        </w:tc>
        <w:tc>
          <w:tcPr>
            <w:tcW w:type="dxa" w:w="1587"/>
          </w:tcPr>
          <w:p>
            <w:r/>
            <w:r>
              <w:rPr>
                <w:sz w:val="18"/>
              </w:rPr>
              <w:t>0,0 %</w:t>
            </w:r>
          </w:p>
        </w:tc>
        <w:tc>
          <w:tcPr>
            <w:tcW w:type="dxa" w:w="1587"/>
          </w:tcPr>
          <w:p>
            <w:r/>
            <w:r>
              <w:rPr>
                <w:sz w:val="18"/>
              </w:rPr>
              <w:t>4,01 / 5</w:t>
            </w:r>
          </w:p>
        </w:tc>
      </w:tr>
      <w:tr>
        <w:tc>
          <w:tcPr>
            <w:tcW w:type="dxa" w:w="2551"/>
          </w:tcPr>
          <w:p>
            <w:r/>
            <w:r>
              <w:rPr>
                <w:sz w:val="18"/>
              </w:rPr>
              <w:t>Retrait en Boutique</w:t>
            </w:r>
          </w:p>
        </w:tc>
        <w:tc>
          <w:tcPr>
            <w:tcW w:type="dxa" w:w="1474"/>
          </w:tcPr>
          <w:p>
            <w:r/>
            <w:r>
              <w:rPr>
                <w:sz w:val="18"/>
              </w:rPr>
              <w:t>5 501</w:t>
            </w:r>
          </w:p>
        </w:tc>
        <w:tc>
          <w:tcPr>
            <w:tcW w:type="dxa" w:w="1474"/>
          </w:tcPr>
          <w:p>
            <w:r/>
            <w:r>
              <w:rPr>
                <w:sz w:val="18"/>
              </w:rPr>
              <w:t>0,00 j</w:t>
            </w:r>
          </w:p>
        </w:tc>
        <w:tc>
          <w:tcPr>
            <w:tcW w:type="dxa" w:w="1587"/>
          </w:tcPr>
          <w:p>
            <w:r/>
            <w:r>
              <w:rPr>
                <w:sz w:val="18"/>
              </w:rPr>
              <w:t>0,0 %</w:t>
            </w:r>
          </w:p>
        </w:tc>
        <w:tc>
          <w:tcPr>
            <w:tcW w:type="dxa" w:w="1587"/>
          </w:tcPr>
          <w:p>
            <w:r/>
            <w:r>
              <w:rPr>
                <w:sz w:val="18"/>
              </w:rPr>
              <w:t>3,99 / 5</w:t>
            </w:r>
          </w:p>
        </w:tc>
      </w:tr>
    </w:tbl>
    <w:p>
      <w:pPr>
        <w:spacing w:after="80"/>
      </w:pPr>
    </w:p>
    <w:p>
      <w:pPr>
        <w:spacing w:after="140"/>
      </w:pPr>
      <w:r>
        <w:rPr>
          <w:b w:val="0"/>
          <w:i w:val="0"/>
          <w:sz w:val="21"/>
        </w:rPr>
        <w:t>La performance globale est satisfaisante (2,26 jours de délai moyen), mais elle masque un écart important entre modes de livraison. Le retrait en boutique et la remise en main propre sont instantanés et sans retard. La livraison à domicile, qui représente 7 776 livraisons, affiche en revanche un délai de 4,07 jours et un taux de retard de 15,3 %.</w:t>
      </w:r>
    </w:p>
    <w:p>
      <w:pPr>
        <w:pStyle w:val="Heading2"/>
      </w:pPr>
      <w:r>
        <w:t>5.2 Impact du retard sur la satisfaction</w:t>
      </w:r>
    </w:p>
    <w:p>
      <w:pPr>
        <w:spacing w:after="140"/>
      </w:pPr>
      <w:r>
        <w:rPr>
          <w:b w:val="0"/>
          <w:i w:val="0"/>
          <w:sz w:val="21"/>
        </w:rPr>
        <w:t>L'effet du retard sur la satisfaction est mesurable et important : une livraison à l'heure obtient une note moyenne de 3,97 / 5, contre 2,91 / 5 en cas de retard, soit une chute de 26,8 %. Améliorer la ponctualité constitue donc le levier le plus direct sur la satisfaction client.</w:t>
      </w:r>
    </w:p>
    <w:p>
      <w:pPr>
        <w:jc w:val="center"/>
      </w:pPr>
      <w:r>
        <w:drawing>
          <wp:inline xmlns:a="http://schemas.openxmlformats.org/drawingml/2006/main" xmlns:pic="http://schemas.openxmlformats.org/drawingml/2006/picture">
            <wp:extent cx="4860000" cy="2733750"/>
            <wp:docPr id="10" name="Picture 10"/>
            <wp:cNvGraphicFramePr>
              <a:graphicFrameLocks noChangeAspect="1"/>
            </wp:cNvGraphicFramePr>
            <a:graphic>
              <a:graphicData uri="http://schemas.openxmlformats.org/drawingml/2006/picture">
                <pic:pic>
                  <pic:nvPicPr>
                    <pic:cNvPr id="0" name="11_retard_transporteurs.png"/>
                    <pic:cNvPicPr/>
                  </pic:nvPicPr>
                  <pic:blipFill>
                    <a:blip r:embed="rId18"/>
                    <a:stretch>
                      <a:fillRect/>
                    </a:stretch>
                  </pic:blipFill>
                  <pic:spPr>
                    <a:xfrm>
                      <a:off x="0" y="0"/>
                      <a:ext cx="4860000" cy="2733750"/>
                    </a:xfrm>
                    <a:prstGeom prst="rect"/>
                  </pic:spPr>
                </pic:pic>
              </a:graphicData>
            </a:graphic>
          </wp:inline>
        </w:drawing>
      </w:r>
    </w:p>
    <w:p>
      <w:pPr>
        <w:spacing w:after="200"/>
        <w:jc w:val="center"/>
      </w:pPr>
      <w:r>
        <w:rPr>
          <w:i/>
          <w:color w:val="666666"/>
          <w:sz w:val="17"/>
        </w:rPr>
        <w:t>Figure 10 — Taux de retard par transporteur</w:t>
      </w:r>
    </w:p>
    <w:p>
      <w:pPr>
        <w:spacing w:after="140"/>
      </w:pPr>
      <w:r>
        <w:rPr>
          <w:b w:val="0"/>
          <w:i w:val="0"/>
          <w:sz w:val="21"/>
        </w:rPr>
        <w:t>Les trois transporteurs externes affichent des taux de retard très proches (14,9 % à 15,7 %) et des délais quasi identiques (4,03 à 4,11 jours). Cette homogénéité indique que le problème ne provient pas du choix du prestataire mais du processus interne de préparation et d'expédition. Changer de transporteur ne résoudrait donc rien.</w:t>
      </w:r>
    </w:p>
    <w:p>
      <w:pPr>
        <w:pStyle w:val="Heading2"/>
      </w:pPr>
      <w:r>
        <w:t>5.3 Analyse des retours</w:t>
      </w:r>
    </w:p>
    <w:p>
      <w:pPr>
        <w:spacing w:after="140"/>
      </w:pPr>
      <w:r>
        <w:rPr>
          <w:b w:val="0"/>
          <w:i w:val="0"/>
          <w:sz w:val="21"/>
        </w:rPr>
        <w:t>Le taux de retour s'établit à 13,33 % des commandes, soit 2 000 retours pour un montant remboursé total de 64 831 $.</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402"/>
            <w:shd w:val="clear" w:fill="2C6E8E"/>
          </w:tcPr>
          <w:p>
            <w:r/>
            <w:r>
              <w:rPr>
                <w:b/>
                <w:color w:val="FFFFFF"/>
                <w:sz w:val="18"/>
              </w:rPr>
              <w:t>Motif</w:t>
            </w:r>
          </w:p>
        </w:tc>
        <w:tc>
          <w:tcPr>
            <w:tcW w:type="dxa" w:w="1247"/>
            <w:shd w:val="clear" w:fill="2C6E8E"/>
          </w:tcPr>
          <w:p>
            <w:r/>
            <w:r>
              <w:rPr>
                <w:b/>
                <w:color w:val="FFFFFF"/>
                <w:sz w:val="18"/>
              </w:rPr>
              <w:t>Nombre</w:t>
            </w:r>
          </w:p>
        </w:tc>
        <w:tc>
          <w:tcPr>
            <w:tcW w:type="dxa" w:w="1247"/>
            <w:shd w:val="clear" w:fill="2C6E8E"/>
          </w:tcPr>
          <w:p>
            <w:r/>
            <w:r>
              <w:rPr>
                <w:b/>
                <w:color w:val="FFFFFF"/>
                <w:sz w:val="18"/>
              </w:rPr>
              <w:t>Part</w:t>
            </w:r>
          </w:p>
        </w:tc>
        <w:tc>
          <w:tcPr>
            <w:tcW w:type="dxa" w:w="2041"/>
            <w:shd w:val="clear" w:fill="2C6E8E"/>
          </w:tcPr>
          <w:p>
            <w:r/>
            <w:r>
              <w:rPr>
                <w:b/>
                <w:color w:val="FFFFFF"/>
                <w:sz w:val="18"/>
              </w:rPr>
              <w:t>Montant remboursé</w:t>
            </w:r>
          </w:p>
        </w:tc>
      </w:tr>
      <w:tr>
        <w:tc>
          <w:tcPr>
            <w:tcW w:type="dxa" w:w="3402"/>
          </w:tcPr>
          <w:p>
            <w:r/>
            <w:r>
              <w:rPr>
                <w:sz w:val="18"/>
              </w:rPr>
              <w:t>Problème de Taille</w:t>
            </w:r>
          </w:p>
        </w:tc>
        <w:tc>
          <w:tcPr>
            <w:tcW w:type="dxa" w:w="1247"/>
          </w:tcPr>
          <w:p>
            <w:r/>
            <w:r>
              <w:rPr>
                <w:sz w:val="18"/>
              </w:rPr>
              <w:t>881</w:t>
            </w:r>
          </w:p>
        </w:tc>
        <w:tc>
          <w:tcPr>
            <w:tcW w:type="dxa" w:w="1247"/>
          </w:tcPr>
          <w:p>
            <w:r/>
            <w:r>
              <w:rPr>
                <w:sz w:val="18"/>
              </w:rPr>
              <w:t>44,0 %</w:t>
            </w:r>
          </w:p>
        </w:tc>
        <w:tc>
          <w:tcPr>
            <w:tcW w:type="dxa" w:w="2041"/>
          </w:tcPr>
          <w:p>
            <w:r/>
            <w:r>
              <w:rPr>
                <w:sz w:val="18"/>
              </w:rPr>
              <w:t>30 450 $</w:t>
            </w:r>
          </w:p>
        </w:tc>
      </w:tr>
      <w:tr>
        <w:tc>
          <w:tcPr>
            <w:tcW w:type="dxa" w:w="3402"/>
          </w:tcPr>
          <w:p>
            <w:r/>
            <w:r>
              <w:rPr>
                <w:sz w:val="18"/>
              </w:rPr>
              <w:t>Produit Défectueux</w:t>
            </w:r>
          </w:p>
        </w:tc>
        <w:tc>
          <w:tcPr>
            <w:tcW w:type="dxa" w:w="1247"/>
          </w:tcPr>
          <w:p>
            <w:r/>
            <w:r>
              <w:rPr>
                <w:sz w:val="18"/>
              </w:rPr>
              <w:t>433</w:t>
            </w:r>
          </w:p>
        </w:tc>
        <w:tc>
          <w:tcPr>
            <w:tcW w:type="dxa" w:w="1247"/>
          </w:tcPr>
          <w:p>
            <w:r/>
            <w:r>
              <w:rPr>
                <w:sz w:val="18"/>
              </w:rPr>
              <w:t>21,6 %</w:t>
            </w:r>
          </w:p>
        </w:tc>
        <w:tc>
          <w:tcPr>
            <w:tcW w:type="dxa" w:w="2041"/>
          </w:tcPr>
          <w:p>
            <w:r/>
            <w:r>
              <w:rPr>
                <w:sz w:val="18"/>
              </w:rPr>
              <w:t>12 533 $</w:t>
            </w:r>
          </w:p>
        </w:tc>
      </w:tr>
      <w:tr>
        <w:tc>
          <w:tcPr>
            <w:tcW w:type="dxa" w:w="3402"/>
          </w:tcPr>
          <w:p>
            <w:r/>
            <w:r>
              <w:rPr>
                <w:sz w:val="18"/>
              </w:rPr>
              <w:t>Ne Convient Pas</w:t>
            </w:r>
          </w:p>
        </w:tc>
        <w:tc>
          <w:tcPr>
            <w:tcW w:type="dxa" w:w="1247"/>
          </w:tcPr>
          <w:p>
            <w:r/>
            <w:r>
              <w:rPr>
                <w:sz w:val="18"/>
              </w:rPr>
              <w:t>300</w:t>
            </w:r>
          </w:p>
        </w:tc>
        <w:tc>
          <w:tcPr>
            <w:tcW w:type="dxa" w:w="1247"/>
          </w:tcPr>
          <w:p>
            <w:r/>
            <w:r>
              <w:rPr>
                <w:sz w:val="18"/>
              </w:rPr>
              <w:t>15,0 %</w:t>
            </w:r>
          </w:p>
        </w:tc>
        <w:tc>
          <w:tcPr>
            <w:tcW w:type="dxa" w:w="2041"/>
          </w:tcPr>
          <w:p>
            <w:r/>
            <w:r>
              <w:rPr>
                <w:sz w:val="18"/>
              </w:rPr>
              <w:t>8 848 $</w:t>
            </w:r>
          </w:p>
        </w:tc>
      </w:tr>
      <w:tr>
        <w:tc>
          <w:tcPr>
            <w:tcW w:type="dxa" w:w="3402"/>
          </w:tcPr>
          <w:p>
            <w:r/>
            <w:r>
              <w:rPr>
                <w:sz w:val="18"/>
              </w:rPr>
              <w:t>Produit Endommagé au Transport</w:t>
            </w:r>
          </w:p>
        </w:tc>
        <w:tc>
          <w:tcPr>
            <w:tcW w:type="dxa" w:w="1247"/>
          </w:tcPr>
          <w:p>
            <w:r/>
            <w:r>
              <w:rPr>
                <w:sz w:val="18"/>
              </w:rPr>
              <w:t>209</w:t>
            </w:r>
          </w:p>
        </w:tc>
        <w:tc>
          <w:tcPr>
            <w:tcW w:type="dxa" w:w="1247"/>
          </w:tcPr>
          <w:p>
            <w:r/>
            <w:r>
              <w:rPr>
                <w:sz w:val="18"/>
              </w:rPr>
              <w:t>10,4 %</w:t>
            </w:r>
          </w:p>
        </w:tc>
        <w:tc>
          <w:tcPr>
            <w:tcW w:type="dxa" w:w="2041"/>
          </w:tcPr>
          <w:p>
            <w:r/>
            <w:r>
              <w:rPr>
                <w:sz w:val="18"/>
              </w:rPr>
              <w:t>7 226 $</w:t>
            </w:r>
          </w:p>
        </w:tc>
      </w:tr>
      <w:tr>
        <w:tc>
          <w:tcPr>
            <w:tcW w:type="dxa" w:w="3402"/>
          </w:tcPr>
          <w:p>
            <w:r/>
            <w:r>
              <w:rPr>
                <w:sz w:val="18"/>
              </w:rPr>
              <w:t>Erreur de Commande</w:t>
            </w:r>
          </w:p>
        </w:tc>
        <w:tc>
          <w:tcPr>
            <w:tcW w:type="dxa" w:w="1247"/>
          </w:tcPr>
          <w:p>
            <w:r/>
            <w:r>
              <w:rPr>
                <w:sz w:val="18"/>
              </w:rPr>
              <w:t>177</w:t>
            </w:r>
          </w:p>
        </w:tc>
        <w:tc>
          <w:tcPr>
            <w:tcW w:type="dxa" w:w="1247"/>
          </w:tcPr>
          <w:p>
            <w:r/>
            <w:r>
              <w:rPr>
                <w:sz w:val="18"/>
              </w:rPr>
              <w:t>8,8 %</w:t>
            </w:r>
          </w:p>
        </w:tc>
        <w:tc>
          <w:tcPr>
            <w:tcW w:type="dxa" w:w="2041"/>
          </w:tcPr>
          <w:p>
            <w:r/>
            <w:r>
              <w:rPr>
                <w:sz w:val="18"/>
              </w:rPr>
              <w:t>5 773 $</w:t>
            </w:r>
          </w:p>
        </w:tc>
      </w:tr>
    </w:tbl>
    <w:p>
      <w:pPr>
        <w:spacing w:after="80"/>
      </w:pPr>
    </w:p>
    <w:p>
      <w:pPr>
        <w:jc w:val="center"/>
      </w:pPr>
      <w:r>
        <w:drawing>
          <wp:inline xmlns:a="http://schemas.openxmlformats.org/drawingml/2006/main" xmlns:pic="http://schemas.openxmlformats.org/drawingml/2006/picture">
            <wp:extent cx="4860000" cy="2733750"/>
            <wp:docPr id="11" name="Picture 11"/>
            <wp:cNvGraphicFramePr>
              <a:graphicFrameLocks noChangeAspect="1"/>
            </wp:cNvGraphicFramePr>
            <a:graphic>
              <a:graphicData uri="http://schemas.openxmlformats.org/drawingml/2006/picture">
                <pic:pic>
                  <pic:nvPicPr>
                    <pic:cNvPr id="0" name="12_motifs_retours.png"/>
                    <pic:cNvPicPr/>
                  </pic:nvPicPr>
                  <pic:blipFill>
                    <a:blip r:embed="rId19"/>
                    <a:stretch>
                      <a:fillRect/>
                    </a:stretch>
                  </pic:blipFill>
                  <pic:spPr>
                    <a:xfrm>
                      <a:off x="0" y="0"/>
                      <a:ext cx="4860000" cy="2733750"/>
                    </a:xfrm>
                    <a:prstGeom prst="rect"/>
                  </pic:spPr>
                </pic:pic>
              </a:graphicData>
            </a:graphic>
          </wp:inline>
        </w:drawing>
      </w:r>
    </w:p>
    <w:p>
      <w:pPr>
        <w:spacing w:after="200"/>
        <w:jc w:val="center"/>
      </w:pPr>
      <w:r>
        <w:rPr>
          <w:i/>
          <w:color w:val="666666"/>
          <w:sz w:val="17"/>
        </w:rPr>
        <w:t>Figure 11 — Répartition des motifs de retour</w:t>
      </w:r>
    </w:p>
    <w:p>
      <w:pPr>
        <w:spacing w:after="140"/>
      </w:pPr>
      <w:r>
        <w:rPr>
          <w:b w:val="0"/>
          <w:i w:val="0"/>
          <w:sz w:val="21"/>
        </w:rPr>
        <w:t>Le problème de taille domine largement : 881 retours (44,1 %) pour 30 450 $ remboursés. Il s'agit d'un motif évitable, qui relève de l'information produit et non de la qualité. Les produits défectueux (433 cas, 21,7 %) et les dommages liés au transport (209 cas, 10,5 %) relèvent respectivement du contrôle qualité fournisseur et de l'emballage. Les taux de retour par catégorie sont homogènes (2,2 % à 2,8 % des quantités vendues), ce qui confirme un problème transversal et non lié à une gamme particulière.</w:t>
      </w:r>
    </w:p>
    <w:p>
      <w:r>
        <w:br w:type="page"/>
      </w:r>
    </w:p>
    <w:p>
      <w:pPr>
        <w:pStyle w:val="Heading1"/>
      </w:pPr>
      <w:r>
        <w:t>6. Marketing et politique promotionnelle</w:t>
      </w:r>
    </w:p>
    <w:p>
      <w:pPr>
        <w:pStyle w:val="Heading2"/>
      </w:pPr>
      <w:r>
        <w:t>6.1 Vue d'ensemble</w:t>
      </w:r>
    </w:p>
    <w:tbl>
      <w:tblPr>
        <w:tblStyle w:val="TableGrid"/>
        <w:tblW w:type="auto" w:w="0"/>
        <w:jc w:val="center"/>
        <w:tblLook w:firstColumn="1" w:firstRow="1" w:lastColumn="0" w:lastRow="0" w:noHBand="0" w:noVBand="1" w:val="04A0"/>
      </w:tblPr>
      <w:tblGrid>
        <w:gridCol w:w="4873"/>
        <w:gridCol w:w="4873"/>
      </w:tblGrid>
      <w:tr>
        <w:tc>
          <w:tcPr>
            <w:tcW w:type="dxa" w:w="5102"/>
            <w:shd w:val="clear" w:fill="2C6E8E"/>
          </w:tcPr>
          <w:p>
            <w:r/>
            <w:r>
              <w:rPr>
                <w:b/>
                <w:color w:val="FFFFFF"/>
                <w:sz w:val="18"/>
              </w:rPr>
              <w:t>Indicateur</w:t>
            </w:r>
          </w:p>
        </w:tc>
        <w:tc>
          <w:tcPr>
            <w:tcW w:type="dxa" w:w="2835"/>
            <w:shd w:val="clear" w:fill="2C6E8E"/>
          </w:tcPr>
          <w:p>
            <w:r/>
            <w:r>
              <w:rPr>
                <w:b/>
                <w:color w:val="FFFFFF"/>
                <w:sz w:val="18"/>
              </w:rPr>
              <w:t>Valeur</w:t>
            </w:r>
          </w:p>
        </w:tc>
      </w:tr>
      <w:tr>
        <w:tc>
          <w:tcPr>
            <w:tcW w:type="dxa" w:w="5102"/>
          </w:tcPr>
          <w:p>
            <w:r/>
            <w:r>
              <w:rPr>
                <w:sz w:val="18"/>
              </w:rPr>
              <w:t>Budget marketing cumulé</w:t>
            </w:r>
          </w:p>
        </w:tc>
        <w:tc>
          <w:tcPr>
            <w:tcW w:type="dxa" w:w="2835"/>
          </w:tcPr>
          <w:p>
            <w:r/>
            <w:r>
              <w:rPr>
                <w:sz w:val="18"/>
              </w:rPr>
              <w:t>746 510 $</w:t>
            </w:r>
          </w:p>
        </w:tc>
      </w:tr>
      <w:tr>
        <w:tc>
          <w:tcPr>
            <w:tcW w:type="dxa" w:w="5102"/>
          </w:tcPr>
          <w:p>
            <w:r/>
            <w:r>
              <w:rPr>
                <w:sz w:val="18"/>
              </w:rPr>
              <w:t>Budget rapporté au chiffre d'affaires</w:t>
            </w:r>
          </w:p>
        </w:tc>
        <w:tc>
          <w:tcPr>
            <w:tcW w:type="dxa" w:w="2835"/>
          </w:tcPr>
          <w:p>
            <w:r/>
            <w:r>
              <w:rPr>
                <w:sz w:val="18"/>
              </w:rPr>
              <w:t>31,3 %</w:t>
            </w:r>
          </w:p>
        </w:tc>
      </w:tr>
      <w:tr>
        <w:tc>
          <w:tcPr>
            <w:tcW w:type="dxa" w:w="5102"/>
          </w:tcPr>
          <w:p>
            <w:r/>
            <w:r>
              <w:rPr>
                <w:sz w:val="18"/>
              </w:rPr>
              <w:t>Nombre de campagnes</w:t>
            </w:r>
          </w:p>
        </w:tc>
        <w:tc>
          <w:tcPr>
            <w:tcW w:type="dxa" w:w="2835"/>
          </w:tcPr>
          <w:p>
            <w:r/>
            <w:r>
              <w:rPr>
                <w:sz w:val="18"/>
              </w:rPr>
              <w:t>300</w:t>
            </w:r>
          </w:p>
        </w:tc>
      </w:tr>
      <w:tr>
        <w:tc>
          <w:tcPr>
            <w:tcW w:type="dxa" w:w="5102"/>
          </w:tcPr>
          <w:p>
            <w:r/>
            <w:r>
              <w:rPr>
                <w:sz w:val="18"/>
              </w:rPr>
              <w:t>Campagnes à ROAS inférieur à 1</w:t>
            </w:r>
          </w:p>
        </w:tc>
        <w:tc>
          <w:tcPr>
            <w:tcW w:type="dxa" w:w="2835"/>
          </w:tcPr>
          <w:p>
            <w:r/>
            <w:r>
              <w:rPr>
                <w:sz w:val="18"/>
              </w:rPr>
              <w:t>55 (18,3 %)</w:t>
            </w:r>
          </w:p>
        </w:tc>
      </w:tr>
      <w:tr>
        <w:tc>
          <w:tcPr>
            <w:tcW w:type="dxa" w:w="5102"/>
          </w:tcPr>
          <w:p>
            <w:r/>
            <w:r>
              <w:rPr>
                <w:sz w:val="18"/>
              </w:rPr>
              <w:t>Budget engagé sans retour</w:t>
            </w:r>
          </w:p>
        </w:tc>
        <w:tc>
          <w:tcPr>
            <w:tcW w:type="dxa" w:w="2835"/>
          </w:tcPr>
          <w:p>
            <w:r/>
            <w:r>
              <w:rPr>
                <w:sz w:val="18"/>
              </w:rPr>
              <w:t>192 944 $</w:t>
            </w:r>
          </w:p>
        </w:tc>
      </w:tr>
      <w:tr>
        <w:tc>
          <w:tcPr>
            <w:tcW w:type="dxa" w:w="5102"/>
          </w:tcPr>
          <w:p>
            <w:r/>
            <w:r>
              <w:rPr>
                <w:sz w:val="18"/>
              </w:rPr>
              <w:t>CA généré déclaré par les campagnes</w:t>
            </w:r>
          </w:p>
        </w:tc>
        <w:tc>
          <w:tcPr>
            <w:tcW w:type="dxa" w:w="2835"/>
          </w:tcPr>
          <w:p>
            <w:r/>
            <w:r>
              <w:rPr>
                <w:sz w:val="18"/>
              </w:rPr>
              <w:t>3 254 203 $</w:t>
            </w:r>
          </w:p>
        </w:tc>
      </w:tr>
      <w:tr>
        <w:tc>
          <w:tcPr>
            <w:tcW w:type="dxa" w:w="5102"/>
          </w:tcPr>
          <w:p>
            <w:r/>
            <w:r>
              <w:rPr>
                <w:sz w:val="18"/>
              </w:rPr>
              <w:t>CA réel de l'entreprise</w:t>
            </w:r>
          </w:p>
        </w:tc>
        <w:tc>
          <w:tcPr>
            <w:tcW w:type="dxa" w:w="2835"/>
          </w:tcPr>
          <w:p>
            <w:r/>
            <w:r>
              <w:rPr>
                <w:sz w:val="18"/>
              </w:rPr>
              <w:t>2 385 826 $</w:t>
            </w:r>
          </w:p>
        </w:tc>
      </w:tr>
    </w:tbl>
    <w:p>
      <w:pPr>
        <w:spacing w:after="80"/>
      </w:pPr>
    </w:p>
    <w:p>
      <w:r>
        <w:rPr>
          <w:b/>
          <w:color w:val="C1553D"/>
          <w:sz w:val="21"/>
        </w:rPr>
        <w:t xml:space="preserve">Une incohérence d'attribution à corriger en priorité. </w:t>
      </w:r>
      <w:r>
        <w:rPr>
          <w:sz w:val="21"/>
        </w:rPr>
        <w:t>Les campagnes marketing déclarent avoir généré 3 254 203 $ de chiffre d'affaires, alors que l'entreprise a réalisé 2 385 826 $ au total sur la même période. Le chiffre attribué dépasse donc de 36 % le chiffre réel. Cela signifie qu'une même vente est comptabilisée par plusieurs campagnes simultanément, ou que le modèle d'attribution surestime systématiquement la contribution publicitaire. Aucune décision d'allocation budgétaire ne devrait être prise sur la base de ces chiffres tant que le modèle n'a pas été corrigé.</w:t>
      </w:r>
    </w:p>
    <w:p>
      <w:pPr>
        <w:pStyle w:val="Heading2"/>
      </w:pPr>
      <w:r>
        <w:t>6.2 Performance par canal</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154"/>
            <w:shd w:val="clear" w:fill="2C6E8E"/>
          </w:tcPr>
          <w:p>
            <w:r/>
            <w:r>
              <w:rPr>
                <w:b/>
                <w:color w:val="FFFFFF"/>
                <w:sz w:val="18"/>
              </w:rPr>
              <w:t>Canal</w:t>
            </w:r>
          </w:p>
        </w:tc>
        <w:tc>
          <w:tcPr>
            <w:tcW w:type="dxa" w:w="1134"/>
            <w:shd w:val="clear" w:fill="2C6E8E"/>
          </w:tcPr>
          <w:p>
            <w:r/>
            <w:r>
              <w:rPr>
                <w:b/>
                <w:color w:val="FFFFFF"/>
                <w:sz w:val="18"/>
              </w:rPr>
              <w:t>Campagnes</w:t>
            </w:r>
          </w:p>
        </w:tc>
        <w:tc>
          <w:tcPr>
            <w:tcW w:type="dxa" w:w="1474"/>
            <w:shd w:val="clear" w:fill="2C6E8E"/>
          </w:tcPr>
          <w:p>
            <w:r/>
            <w:r>
              <w:rPr>
                <w:b/>
                <w:color w:val="FFFFFF"/>
                <w:sz w:val="18"/>
              </w:rPr>
              <w:t>Budget</w:t>
            </w:r>
          </w:p>
        </w:tc>
        <w:tc>
          <w:tcPr>
            <w:tcW w:type="dxa" w:w="1247"/>
            <w:shd w:val="clear" w:fill="2C6E8E"/>
          </w:tcPr>
          <w:p>
            <w:r/>
            <w:r>
              <w:rPr>
                <w:b/>
                <w:color w:val="FFFFFF"/>
                <w:sz w:val="18"/>
              </w:rPr>
              <w:t>ROAS réel</w:t>
            </w:r>
          </w:p>
        </w:tc>
        <w:tc>
          <w:tcPr>
            <w:tcW w:type="dxa" w:w="1361"/>
            <w:shd w:val="clear" w:fill="2C6E8E"/>
          </w:tcPr>
          <w:p>
            <w:r/>
            <w:r>
              <w:rPr>
                <w:b/>
                <w:color w:val="FFFFFF"/>
                <w:sz w:val="18"/>
              </w:rPr>
              <w:t>Conversions</w:t>
            </w:r>
          </w:p>
        </w:tc>
        <w:tc>
          <w:tcPr>
            <w:tcW w:type="dxa" w:w="1701"/>
            <w:shd w:val="clear" w:fill="2C6E8E"/>
          </w:tcPr>
          <w:p>
            <w:r/>
            <w:r>
              <w:rPr>
                <w:b/>
                <w:color w:val="FFFFFF"/>
                <w:sz w:val="18"/>
              </w:rPr>
              <w:t>Coût / conversion</w:t>
            </w:r>
          </w:p>
        </w:tc>
      </w:tr>
      <w:tr>
        <w:tc>
          <w:tcPr>
            <w:tcW w:type="dxa" w:w="2154"/>
          </w:tcPr>
          <w:p>
            <w:r/>
            <w:r>
              <w:rPr>
                <w:sz w:val="18"/>
              </w:rPr>
              <w:t>WhatsApp Business</w:t>
            </w:r>
          </w:p>
        </w:tc>
        <w:tc>
          <w:tcPr>
            <w:tcW w:type="dxa" w:w="1134"/>
          </w:tcPr>
          <w:p>
            <w:r/>
            <w:r>
              <w:rPr>
                <w:sz w:val="18"/>
              </w:rPr>
              <w:t>31</w:t>
            </w:r>
          </w:p>
        </w:tc>
        <w:tc>
          <w:tcPr>
            <w:tcW w:type="dxa" w:w="1474"/>
          </w:tcPr>
          <w:p>
            <w:r/>
            <w:r>
              <w:rPr>
                <w:sz w:val="18"/>
              </w:rPr>
              <w:t>61 703 $</w:t>
            </w:r>
          </w:p>
        </w:tc>
        <w:tc>
          <w:tcPr>
            <w:tcW w:type="dxa" w:w="1247"/>
          </w:tcPr>
          <w:p>
            <w:r/>
            <w:r>
              <w:rPr>
                <w:sz w:val="18"/>
              </w:rPr>
              <w:t>9,65</w:t>
            </w:r>
          </w:p>
        </w:tc>
        <w:tc>
          <w:tcPr>
            <w:tcW w:type="dxa" w:w="1361"/>
          </w:tcPr>
          <w:p>
            <w:r/>
            <w:r>
              <w:rPr>
                <w:sz w:val="18"/>
              </w:rPr>
              <w:t>15 356</w:t>
            </w:r>
          </w:p>
        </w:tc>
        <w:tc>
          <w:tcPr>
            <w:tcW w:type="dxa" w:w="1701"/>
          </w:tcPr>
          <w:p>
            <w:r/>
            <w:r>
              <w:rPr>
                <w:sz w:val="18"/>
              </w:rPr>
              <w:t>4,02 $</w:t>
            </w:r>
          </w:p>
        </w:tc>
      </w:tr>
      <w:tr>
        <w:tc>
          <w:tcPr>
            <w:tcW w:type="dxa" w:w="2154"/>
          </w:tcPr>
          <w:p>
            <w:r/>
            <w:r>
              <w:rPr>
                <w:sz w:val="18"/>
              </w:rPr>
              <w:t>Google Ads</w:t>
            </w:r>
          </w:p>
        </w:tc>
        <w:tc>
          <w:tcPr>
            <w:tcW w:type="dxa" w:w="1134"/>
          </w:tcPr>
          <w:p>
            <w:r/>
            <w:r>
              <w:rPr>
                <w:sz w:val="18"/>
              </w:rPr>
              <w:t>36</w:t>
            </w:r>
          </w:p>
        </w:tc>
        <w:tc>
          <w:tcPr>
            <w:tcW w:type="dxa" w:w="1474"/>
          </w:tcPr>
          <w:p>
            <w:r/>
            <w:r>
              <w:rPr>
                <w:sz w:val="18"/>
              </w:rPr>
              <w:t>63 939 $</w:t>
            </w:r>
          </w:p>
        </w:tc>
        <w:tc>
          <w:tcPr>
            <w:tcW w:type="dxa" w:w="1247"/>
          </w:tcPr>
          <w:p>
            <w:r/>
            <w:r>
              <w:rPr>
                <w:sz w:val="18"/>
              </w:rPr>
              <w:t>8,16</w:t>
            </w:r>
          </w:p>
        </w:tc>
        <w:tc>
          <w:tcPr>
            <w:tcW w:type="dxa" w:w="1361"/>
          </w:tcPr>
          <w:p>
            <w:r/>
            <w:r>
              <w:rPr>
                <w:sz w:val="18"/>
              </w:rPr>
              <w:t>14 425</w:t>
            </w:r>
          </w:p>
        </w:tc>
        <w:tc>
          <w:tcPr>
            <w:tcW w:type="dxa" w:w="1701"/>
          </w:tcPr>
          <w:p>
            <w:r/>
            <w:r>
              <w:rPr>
                <w:sz w:val="18"/>
              </w:rPr>
              <w:t>4,43 $</w:t>
            </w:r>
          </w:p>
        </w:tc>
      </w:tr>
      <w:tr>
        <w:tc>
          <w:tcPr>
            <w:tcW w:type="dxa" w:w="2154"/>
          </w:tcPr>
          <w:p>
            <w:r/>
            <w:r>
              <w:rPr>
                <w:sz w:val="18"/>
              </w:rPr>
              <w:t>Instagram</w:t>
            </w:r>
          </w:p>
        </w:tc>
        <w:tc>
          <w:tcPr>
            <w:tcW w:type="dxa" w:w="1134"/>
          </w:tcPr>
          <w:p>
            <w:r/>
            <w:r>
              <w:rPr>
                <w:sz w:val="18"/>
              </w:rPr>
              <w:t>27</w:t>
            </w:r>
          </w:p>
        </w:tc>
        <w:tc>
          <w:tcPr>
            <w:tcW w:type="dxa" w:w="1474"/>
          </w:tcPr>
          <w:p>
            <w:r/>
            <w:r>
              <w:rPr>
                <w:sz w:val="18"/>
              </w:rPr>
              <w:t>50 839 $</w:t>
            </w:r>
          </w:p>
        </w:tc>
        <w:tc>
          <w:tcPr>
            <w:tcW w:type="dxa" w:w="1247"/>
          </w:tcPr>
          <w:p>
            <w:r/>
            <w:r>
              <w:rPr>
                <w:sz w:val="18"/>
              </w:rPr>
              <w:t>7,63</w:t>
            </w:r>
          </w:p>
        </w:tc>
        <w:tc>
          <w:tcPr>
            <w:tcW w:type="dxa" w:w="1361"/>
          </w:tcPr>
          <w:p>
            <w:r/>
            <w:r>
              <w:rPr>
                <w:sz w:val="18"/>
              </w:rPr>
              <w:t>9 024</w:t>
            </w:r>
          </w:p>
        </w:tc>
        <w:tc>
          <w:tcPr>
            <w:tcW w:type="dxa" w:w="1701"/>
          </w:tcPr>
          <w:p>
            <w:r/>
            <w:r>
              <w:rPr>
                <w:sz w:val="18"/>
              </w:rPr>
              <w:t>5,63 $</w:t>
            </w:r>
          </w:p>
        </w:tc>
      </w:tr>
      <w:tr>
        <w:tc>
          <w:tcPr>
            <w:tcW w:type="dxa" w:w="2154"/>
          </w:tcPr>
          <w:p>
            <w:r/>
            <w:r>
              <w:rPr>
                <w:sz w:val="18"/>
              </w:rPr>
              <w:t>Facebook</w:t>
            </w:r>
          </w:p>
        </w:tc>
        <w:tc>
          <w:tcPr>
            <w:tcW w:type="dxa" w:w="1134"/>
          </w:tcPr>
          <w:p>
            <w:r/>
            <w:r>
              <w:rPr>
                <w:sz w:val="18"/>
              </w:rPr>
              <w:t>34</w:t>
            </w:r>
          </w:p>
        </w:tc>
        <w:tc>
          <w:tcPr>
            <w:tcW w:type="dxa" w:w="1474"/>
          </w:tcPr>
          <w:p>
            <w:r/>
            <w:r>
              <w:rPr>
                <w:sz w:val="18"/>
              </w:rPr>
              <w:t>60 803 $</w:t>
            </w:r>
          </w:p>
        </w:tc>
        <w:tc>
          <w:tcPr>
            <w:tcW w:type="dxa" w:w="1247"/>
          </w:tcPr>
          <w:p>
            <w:r/>
            <w:r>
              <w:rPr>
                <w:sz w:val="18"/>
              </w:rPr>
              <w:t>7,01</w:t>
            </w:r>
          </w:p>
        </w:tc>
        <w:tc>
          <w:tcPr>
            <w:tcW w:type="dxa" w:w="1361"/>
          </w:tcPr>
          <w:p>
            <w:r/>
            <w:r>
              <w:rPr>
                <w:sz w:val="18"/>
              </w:rPr>
              <w:t>10 857</w:t>
            </w:r>
          </w:p>
        </w:tc>
        <w:tc>
          <w:tcPr>
            <w:tcW w:type="dxa" w:w="1701"/>
          </w:tcPr>
          <w:p>
            <w:r/>
            <w:r>
              <w:rPr>
                <w:sz w:val="18"/>
              </w:rPr>
              <w:t>5,60 $</w:t>
            </w:r>
          </w:p>
        </w:tc>
      </w:tr>
      <w:tr>
        <w:tc>
          <w:tcPr>
            <w:tcW w:type="dxa" w:w="2154"/>
          </w:tcPr>
          <w:p>
            <w:r/>
            <w:r>
              <w:rPr>
                <w:sz w:val="18"/>
              </w:rPr>
              <w:t>Site Web</w:t>
            </w:r>
          </w:p>
        </w:tc>
        <w:tc>
          <w:tcPr>
            <w:tcW w:type="dxa" w:w="1134"/>
          </w:tcPr>
          <w:p>
            <w:r/>
            <w:r>
              <w:rPr>
                <w:sz w:val="18"/>
              </w:rPr>
              <w:t>42</w:t>
            </w:r>
          </w:p>
        </w:tc>
        <w:tc>
          <w:tcPr>
            <w:tcW w:type="dxa" w:w="1474"/>
          </w:tcPr>
          <w:p>
            <w:r/>
            <w:r>
              <w:rPr>
                <w:sz w:val="18"/>
              </w:rPr>
              <w:t>77 387 $</w:t>
            </w:r>
          </w:p>
        </w:tc>
        <w:tc>
          <w:tcPr>
            <w:tcW w:type="dxa" w:w="1247"/>
          </w:tcPr>
          <w:p>
            <w:r/>
            <w:r>
              <w:rPr>
                <w:sz w:val="18"/>
              </w:rPr>
              <w:t>6,98</w:t>
            </w:r>
          </w:p>
        </w:tc>
        <w:tc>
          <w:tcPr>
            <w:tcW w:type="dxa" w:w="1361"/>
          </w:tcPr>
          <w:p>
            <w:r/>
            <w:r>
              <w:rPr>
                <w:sz w:val="18"/>
              </w:rPr>
              <w:t>14 522</w:t>
            </w:r>
          </w:p>
        </w:tc>
        <w:tc>
          <w:tcPr>
            <w:tcW w:type="dxa" w:w="1701"/>
          </w:tcPr>
          <w:p>
            <w:r/>
            <w:r>
              <w:rPr>
                <w:sz w:val="18"/>
              </w:rPr>
              <w:t>5,33 $</w:t>
            </w:r>
          </w:p>
        </w:tc>
      </w:tr>
      <w:tr>
        <w:tc>
          <w:tcPr>
            <w:tcW w:type="dxa" w:w="2154"/>
          </w:tcPr>
          <w:p>
            <w:r/>
            <w:r>
              <w:rPr>
                <w:sz w:val="18"/>
              </w:rPr>
              <w:t>Affichage</w:t>
            </w:r>
          </w:p>
        </w:tc>
        <w:tc>
          <w:tcPr>
            <w:tcW w:type="dxa" w:w="1134"/>
          </w:tcPr>
          <w:p>
            <w:r/>
            <w:r>
              <w:rPr>
                <w:sz w:val="18"/>
              </w:rPr>
              <w:t>51</w:t>
            </w:r>
          </w:p>
        </w:tc>
        <w:tc>
          <w:tcPr>
            <w:tcW w:type="dxa" w:w="1474"/>
          </w:tcPr>
          <w:p>
            <w:r/>
            <w:r>
              <w:rPr>
                <w:sz w:val="18"/>
              </w:rPr>
              <w:t>176 640 $</w:t>
            </w:r>
          </w:p>
        </w:tc>
        <w:tc>
          <w:tcPr>
            <w:tcW w:type="dxa" w:w="1247"/>
          </w:tcPr>
          <w:p>
            <w:r/>
            <w:r>
              <w:rPr>
                <w:sz w:val="18"/>
              </w:rPr>
              <w:t>1,97</w:t>
            </w:r>
          </w:p>
        </w:tc>
        <w:tc>
          <w:tcPr>
            <w:tcW w:type="dxa" w:w="1361"/>
          </w:tcPr>
          <w:p>
            <w:r/>
            <w:r>
              <w:rPr>
                <w:sz w:val="18"/>
              </w:rPr>
              <w:t>8 694</w:t>
            </w:r>
          </w:p>
        </w:tc>
        <w:tc>
          <w:tcPr>
            <w:tcW w:type="dxa" w:w="1701"/>
          </w:tcPr>
          <w:p>
            <w:r/>
            <w:r>
              <w:rPr>
                <w:sz w:val="18"/>
              </w:rPr>
              <w:t>20,32 $</w:t>
            </w:r>
          </w:p>
        </w:tc>
      </w:tr>
      <w:tr>
        <w:tc>
          <w:tcPr>
            <w:tcW w:type="dxa" w:w="2154"/>
          </w:tcPr>
          <w:p>
            <w:r/>
            <w:r>
              <w:rPr>
                <w:sz w:val="18"/>
              </w:rPr>
              <w:t>SMS</w:t>
            </w:r>
          </w:p>
        </w:tc>
        <w:tc>
          <w:tcPr>
            <w:tcW w:type="dxa" w:w="1134"/>
          </w:tcPr>
          <w:p>
            <w:r/>
            <w:r>
              <w:rPr>
                <w:sz w:val="18"/>
              </w:rPr>
              <w:t>35</w:t>
            </w:r>
          </w:p>
        </w:tc>
        <w:tc>
          <w:tcPr>
            <w:tcW w:type="dxa" w:w="1474"/>
          </w:tcPr>
          <w:p>
            <w:r/>
            <w:r>
              <w:rPr>
                <w:sz w:val="18"/>
              </w:rPr>
              <w:t>97 272 $</w:t>
            </w:r>
          </w:p>
        </w:tc>
        <w:tc>
          <w:tcPr>
            <w:tcW w:type="dxa" w:w="1247"/>
          </w:tcPr>
          <w:p>
            <w:r/>
            <w:r>
              <w:rPr>
                <w:sz w:val="18"/>
              </w:rPr>
              <w:t>1,79</w:t>
            </w:r>
          </w:p>
        </w:tc>
        <w:tc>
          <w:tcPr>
            <w:tcW w:type="dxa" w:w="1361"/>
          </w:tcPr>
          <w:p>
            <w:r/>
            <w:r>
              <w:rPr>
                <w:sz w:val="18"/>
              </w:rPr>
              <w:t>4 519</w:t>
            </w:r>
          </w:p>
        </w:tc>
        <w:tc>
          <w:tcPr>
            <w:tcW w:type="dxa" w:w="1701"/>
          </w:tcPr>
          <w:p>
            <w:r/>
            <w:r>
              <w:rPr>
                <w:sz w:val="18"/>
              </w:rPr>
              <w:t>21,53 $</w:t>
            </w:r>
          </w:p>
        </w:tc>
      </w:tr>
      <w:tr>
        <w:tc>
          <w:tcPr>
            <w:tcW w:type="dxa" w:w="2154"/>
          </w:tcPr>
          <w:p>
            <w:r/>
            <w:r>
              <w:rPr>
                <w:sz w:val="18"/>
              </w:rPr>
              <w:t>Radio</w:t>
            </w:r>
          </w:p>
        </w:tc>
        <w:tc>
          <w:tcPr>
            <w:tcW w:type="dxa" w:w="1134"/>
          </w:tcPr>
          <w:p>
            <w:r/>
            <w:r>
              <w:rPr>
                <w:sz w:val="18"/>
              </w:rPr>
              <w:t>44</w:t>
            </w:r>
          </w:p>
        </w:tc>
        <w:tc>
          <w:tcPr>
            <w:tcW w:type="dxa" w:w="1474"/>
          </w:tcPr>
          <w:p>
            <w:r/>
            <w:r>
              <w:rPr>
                <w:sz w:val="18"/>
              </w:rPr>
              <w:t>157 925 $</w:t>
            </w:r>
          </w:p>
        </w:tc>
        <w:tc>
          <w:tcPr>
            <w:tcW w:type="dxa" w:w="1247"/>
          </w:tcPr>
          <w:p>
            <w:r/>
            <w:r>
              <w:rPr>
                <w:sz w:val="18"/>
              </w:rPr>
              <w:t>1,65</w:t>
            </w:r>
          </w:p>
        </w:tc>
        <w:tc>
          <w:tcPr>
            <w:tcW w:type="dxa" w:w="1361"/>
          </w:tcPr>
          <w:p>
            <w:r/>
            <w:r>
              <w:rPr>
                <w:sz w:val="18"/>
              </w:rPr>
              <w:t>6 680</w:t>
            </w:r>
          </w:p>
        </w:tc>
        <w:tc>
          <w:tcPr>
            <w:tcW w:type="dxa" w:w="1701"/>
          </w:tcPr>
          <w:p>
            <w:r/>
            <w:r>
              <w:rPr>
                <w:sz w:val="18"/>
              </w:rPr>
              <w:t>23,64 $</w:t>
            </w:r>
          </w:p>
        </w:tc>
      </w:tr>
    </w:tbl>
    <w:p>
      <w:pPr>
        <w:spacing w:after="80"/>
      </w:pPr>
    </w:p>
    <w:p>
      <w:pPr>
        <w:jc w:val="center"/>
      </w:pPr>
      <w:r>
        <w:drawing>
          <wp:inline xmlns:a="http://schemas.openxmlformats.org/drawingml/2006/main" xmlns:pic="http://schemas.openxmlformats.org/drawingml/2006/picture">
            <wp:extent cx="4860000" cy="2733750"/>
            <wp:docPr id="12" name="Picture 12"/>
            <wp:cNvGraphicFramePr>
              <a:graphicFrameLocks noChangeAspect="1"/>
            </wp:cNvGraphicFramePr>
            <a:graphic>
              <a:graphicData uri="http://schemas.openxmlformats.org/drawingml/2006/picture">
                <pic:pic>
                  <pic:nvPicPr>
                    <pic:cNvPr id="0" name="13_roas_marketing.png"/>
                    <pic:cNvPicPr/>
                  </pic:nvPicPr>
                  <pic:blipFill>
                    <a:blip r:embed="rId20"/>
                    <a:stretch>
                      <a:fillRect/>
                    </a:stretch>
                  </pic:blipFill>
                  <pic:spPr>
                    <a:xfrm>
                      <a:off x="0" y="0"/>
                      <a:ext cx="4860000" cy="2733750"/>
                    </a:xfrm>
                    <a:prstGeom prst="rect"/>
                  </pic:spPr>
                </pic:pic>
              </a:graphicData>
            </a:graphic>
          </wp:inline>
        </w:drawing>
      </w:r>
    </w:p>
    <w:p>
      <w:pPr>
        <w:spacing w:after="200"/>
        <w:jc w:val="center"/>
      </w:pPr>
      <w:r>
        <w:rPr>
          <w:i/>
          <w:color w:val="666666"/>
          <w:sz w:val="17"/>
        </w:rPr>
        <w:t>Figure 12 — Retour sur investissement publicitaire par canal</w:t>
      </w:r>
    </w:p>
    <w:p>
      <w:pPr>
        <w:spacing w:after="140"/>
      </w:pPr>
      <w:r>
        <w:rPr>
          <w:b w:val="0"/>
          <w:i w:val="0"/>
          <w:sz w:val="21"/>
        </w:rPr>
        <w:t>Sous réserve de la correction du modèle d'attribution, le classement relatif des canaux reste exploitable. WhatsApp Business se détache nettement avec un ROAS de 9,65 et le coût par conversion le plus faible (4,02 $), devant Google Ads (8,16). Ce résultat est cohérent avec le contexte congolais, où WhatsApp est le canal de communication dominant. Instagram et Facebook suivent avec des ROAS de 7,63 et 7,01.</w:t>
      </w:r>
    </w:p>
    <w:p>
      <w:pPr>
        <w:pStyle w:val="Heading2"/>
      </w:pPr>
      <w:r>
        <w:t>6.3 Impact des promotions sur la rentabilité</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268"/>
            <w:shd w:val="clear" w:fill="2C6E8E"/>
          </w:tcPr>
          <w:p>
            <w:r/>
            <w:r>
              <w:rPr>
                <w:b/>
                <w:color w:val="FFFFFF"/>
                <w:sz w:val="18"/>
              </w:rPr>
              <w:t>Type de commande</w:t>
            </w:r>
          </w:p>
        </w:tc>
        <w:tc>
          <w:tcPr>
            <w:tcW w:type="dxa" w:w="1361"/>
            <w:shd w:val="clear" w:fill="2C6E8E"/>
          </w:tcPr>
          <w:p>
            <w:r/>
            <w:r>
              <w:rPr>
                <w:b/>
                <w:color w:val="FFFFFF"/>
                <w:sz w:val="18"/>
              </w:rPr>
              <w:t>Commandes</w:t>
            </w:r>
          </w:p>
        </w:tc>
        <w:tc>
          <w:tcPr>
            <w:tcW w:type="dxa" w:w="1814"/>
            <w:shd w:val="clear" w:fill="2C6E8E"/>
          </w:tcPr>
          <w:p>
            <w:r/>
            <w:r>
              <w:rPr>
                <w:b/>
                <w:color w:val="FFFFFF"/>
                <w:sz w:val="18"/>
              </w:rPr>
              <w:t>CA</w:t>
            </w:r>
          </w:p>
        </w:tc>
        <w:tc>
          <w:tcPr>
            <w:tcW w:type="dxa" w:w="1701"/>
            <w:shd w:val="clear" w:fill="2C6E8E"/>
          </w:tcPr>
          <w:p>
            <w:r/>
            <w:r>
              <w:rPr>
                <w:b/>
                <w:color w:val="FFFFFF"/>
                <w:sz w:val="18"/>
              </w:rPr>
              <w:t>Panier moyen</w:t>
            </w:r>
          </w:p>
        </w:tc>
        <w:tc>
          <w:tcPr>
            <w:tcW w:type="dxa" w:w="1587"/>
            <w:shd w:val="clear" w:fill="2C6E8E"/>
          </w:tcPr>
          <w:p>
            <w:r/>
            <w:r>
              <w:rPr>
                <w:b/>
                <w:color w:val="FFFFFF"/>
                <w:sz w:val="18"/>
              </w:rPr>
              <w:t>Marge moyenne</w:t>
            </w:r>
          </w:p>
        </w:tc>
      </w:tr>
      <w:tr>
        <w:tc>
          <w:tcPr>
            <w:tcW w:type="dxa" w:w="2268"/>
          </w:tcPr>
          <w:p>
            <w:r/>
            <w:r>
              <w:rPr>
                <w:sz w:val="18"/>
              </w:rPr>
              <w:t>Sans promotion</w:t>
            </w:r>
          </w:p>
        </w:tc>
        <w:tc>
          <w:tcPr>
            <w:tcW w:type="dxa" w:w="1361"/>
          </w:tcPr>
          <w:p>
            <w:r/>
            <w:r>
              <w:rPr>
                <w:sz w:val="18"/>
              </w:rPr>
              <w:t>8 393</w:t>
            </w:r>
          </w:p>
        </w:tc>
        <w:tc>
          <w:tcPr>
            <w:tcW w:type="dxa" w:w="1814"/>
          </w:tcPr>
          <w:p>
            <w:r/>
            <w:r>
              <w:rPr>
                <w:sz w:val="18"/>
              </w:rPr>
              <w:t>1 464 594 $</w:t>
            </w:r>
          </w:p>
        </w:tc>
        <w:tc>
          <w:tcPr>
            <w:tcW w:type="dxa" w:w="1701"/>
          </w:tcPr>
          <w:p>
            <w:r/>
            <w:r>
              <w:rPr>
                <w:sz w:val="18"/>
              </w:rPr>
              <w:t>174,50 $</w:t>
            </w:r>
          </w:p>
        </w:tc>
        <w:tc>
          <w:tcPr>
            <w:tcW w:type="dxa" w:w="1587"/>
          </w:tcPr>
          <w:p>
            <w:r/>
            <w:r>
              <w:rPr>
                <w:sz w:val="18"/>
              </w:rPr>
              <w:t>35,0 %</w:t>
            </w:r>
          </w:p>
        </w:tc>
      </w:tr>
      <w:tr>
        <w:tc>
          <w:tcPr>
            <w:tcW w:type="dxa" w:w="2268"/>
          </w:tcPr>
          <w:p>
            <w:r/>
            <w:r>
              <w:rPr>
                <w:sz w:val="18"/>
              </w:rPr>
              <w:t>Avec promotion</w:t>
            </w:r>
          </w:p>
        </w:tc>
        <w:tc>
          <w:tcPr>
            <w:tcW w:type="dxa" w:w="1361"/>
          </w:tcPr>
          <w:p>
            <w:r/>
            <w:r>
              <w:rPr>
                <w:sz w:val="18"/>
              </w:rPr>
              <w:t>5 676</w:t>
            </w:r>
          </w:p>
        </w:tc>
        <w:tc>
          <w:tcPr>
            <w:tcW w:type="dxa" w:w="1814"/>
          </w:tcPr>
          <w:p>
            <w:r/>
            <w:r>
              <w:rPr>
                <w:sz w:val="18"/>
              </w:rPr>
              <w:t>921 232 $</w:t>
            </w:r>
          </w:p>
        </w:tc>
        <w:tc>
          <w:tcPr>
            <w:tcW w:type="dxa" w:w="1701"/>
          </w:tcPr>
          <w:p>
            <w:r/>
            <w:r>
              <w:rPr>
                <w:sz w:val="18"/>
              </w:rPr>
              <w:t>162,30 $</w:t>
            </w:r>
          </w:p>
        </w:tc>
        <w:tc>
          <w:tcPr>
            <w:tcW w:type="dxa" w:w="1587"/>
          </w:tcPr>
          <w:p>
            <w:r/>
            <w:r>
              <w:rPr>
                <w:sz w:val="18"/>
              </w:rPr>
              <w:t>31,1 %</w:t>
            </w:r>
          </w:p>
        </w:tc>
      </w:tr>
    </w:tbl>
    <w:p>
      <w:pPr>
        <w:spacing w:after="80"/>
      </w:pPr>
    </w:p>
    <w:p>
      <w:pPr>
        <w:spacing w:after="140"/>
      </w:pPr>
      <w:r>
        <w:rPr>
          <w:b w:val="0"/>
          <w:i w:val="0"/>
          <w:sz w:val="21"/>
        </w:rPr>
        <w:t>Le résultat est contre-intuitif et important. Les commandes passées sous promotion affichent un panier moyen de 162,30 $ contre 174,50 $ hors promotion, et une marge de 31,1 % contre 35,0 %. Les promotions ne déclenchent donc pas d'achat supplémentaire : elles réduisent simultanément le panier et la marge. Sur les 5 676 commandes concernées, le manque à gagner en marge est estimé à environ 36 000 $. La politique promotionnelle doit être recentrée sur l'écoulement du stock dormant plutôt que sur les produits performants.</w:t>
      </w:r>
    </w:p>
    <w:p>
      <w:r>
        <w:br w:type="page"/>
      </w:r>
    </w:p>
    <w:p>
      <w:pPr>
        <w:pStyle w:val="Heading1"/>
      </w:pPr>
      <w:r>
        <w:t>7. Stocks et approvisionnements</w:t>
      </w:r>
    </w:p>
    <w:p>
      <w:pPr>
        <w:pStyle w:val="Heading2"/>
      </w:pPr>
      <w:r>
        <w:t>7.1 Le constat le plus critique du diagnostic</w:t>
      </w:r>
    </w:p>
    <w:tbl>
      <w:tblPr>
        <w:tblStyle w:val="TableGrid"/>
        <w:tblW w:type="auto" w:w="0"/>
        <w:jc w:val="center"/>
        <w:tblLook w:firstColumn="1" w:firstRow="1" w:lastColumn="0" w:lastRow="0" w:noHBand="0" w:noVBand="1" w:val="04A0"/>
      </w:tblPr>
      <w:tblGrid>
        <w:gridCol w:w="4873"/>
        <w:gridCol w:w="4873"/>
      </w:tblGrid>
      <w:tr>
        <w:tc>
          <w:tcPr>
            <w:tcW w:type="dxa" w:w="5102"/>
            <w:shd w:val="clear" w:fill="2C6E8E"/>
          </w:tcPr>
          <w:p>
            <w:r/>
            <w:r>
              <w:rPr>
                <w:b/>
                <w:color w:val="FFFFFF"/>
                <w:sz w:val="18"/>
              </w:rPr>
              <w:t>Indicateur</w:t>
            </w:r>
          </w:p>
        </w:tc>
        <w:tc>
          <w:tcPr>
            <w:tcW w:type="dxa" w:w="2835"/>
            <w:shd w:val="clear" w:fill="2C6E8E"/>
          </w:tcPr>
          <w:p>
            <w:r/>
            <w:r>
              <w:rPr>
                <w:b/>
                <w:color w:val="FFFFFF"/>
                <w:sz w:val="18"/>
              </w:rPr>
              <w:t>Valeur</w:t>
            </w:r>
          </w:p>
        </w:tc>
      </w:tr>
      <w:tr>
        <w:tc>
          <w:tcPr>
            <w:tcW w:type="dxa" w:w="5102"/>
          </w:tcPr>
          <w:p>
            <w:r/>
            <w:r>
              <w:rPr>
                <w:sz w:val="18"/>
              </w:rPr>
              <w:t>Valeur totale du stock</w:t>
            </w:r>
          </w:p>
        </w:tc>
        <w:tc>
          <w:tcPr>
            <w:tcW w:type="dxa" w:w="2835"/>
          </w:tcPr>
          <w:p>
            <w:r/>
            <w:r>
              <w:rPr>
                <w:sz w:val="18"/>
              </w:rPr>
              <w:t>8 020 239 $</w:t>
            </w:r>
          </w:p>
        </w:tc>
      </w:tr>
      <w:tr>
        <w:tc>
          <w:tcPr>
            <w:tcW w:type="dxa" w:w="5102"/>
          </w:tcPr>
          <w:p>
            <w:r/>
            <w:r>
              <w:rPr>
                <w:sz w:val="18"/>
              </w:rPr>
              <w:t>Coût des ventes annuel moyen</w:t>
            </w:r>
          </w:p>
        </w:tc>
        <w:tc>
          <w:tcPr>
            <w:tcW w:type="dxa" w:w="2835"/>
          </w:tcPr>
          <w:p>
            <w:r/>
            <w:r>
              <w:rPr>
                <w:sz w:val="18"/>
              </w:rPr>
              <w:t>274 139 $</w:t>
            </w:r>
          </w:p>
        </w:tc>
      </w:tr>
      <w:tr>
        <w:tc>
          <w:tcPr>
            <w:tcW w:type="dxa" w:w="5102"/>
          </w:tcPr>
          <w:p>
            <w:r/>
            <w:r>
              <w:rPr>
                <w:sz w:val="18"/>
              </w:rPr>
              <w:t>Couverture de stock</w:t>
            </w:r>
          </w:p>
        </w:tc>
        <w:tc>
          <w:tcPr>
            <w:tcW w:type="dxa" w:w="2835"/>
          </w:tcPr>
          <w:p>
            <w:r/>
            <w:r>
              <w:rPr>
                <w:sz w:val="18"/>
              </w:rPr>
              <w:t>29,3 années</w:t>
            </w:r>
          </w:p>
        </w:tc>
      </w:tr>
      <w:tr>
        <w:tc>
          <w:tcPr>
            <w:tcW w:type="dxa" w:w="5102"/>
          </w:tcPr>
          <w:p>
            <w:r/>
            <w:r>
              <w:rPr>
                <w:sz w:val="18"/>
              </w:rPr>
              <w:t>Lignes en surstock</w:t>
            </w:r>
          </w:p>
        </w:tc>
        <w:tc>
          <w:tcPr>
            <w:tcW w:type="dxa" w:w="2835"/>
          </w:tcPr>
          <w:p>
            <w:r/>
            <w:r>
              <w:rPr>
                <w:sz w:val="18"/>
              </w:rPr>
              <w:t>1392 sur 6 000</w:t>
            </w:r>
          </w:p>
        </w:tc>
      </w:tr>
      <w:tr>
        <w:tc>
          <w:tcPr>
            <w:tcW w:type="dxa" w:w="5102"/>
          </w:tcPr>
          <w:p>
            <w:r/>
            <w:r>
              <w:rPr>
                <w:sz w:val="18"/>
              </w:rPr>
              <w:t>Valeur immobilisée en surstock</w:t>
            </w:r>
          </w:p>
        </w:tc>
        <w:tc>
          <w:tcPr>
            <w:tcW w:type="dxa" w:w="2835"/>
          </w:tcPr>
          <w:p>
            <w:r/>
            <w:r>
              <w:rPr>
                <w:sz w:val="18"/>
              </w:rPr>
              <w:t>4 773 794 $</w:t>
            </w:r>
          </w:p>
        </w:tc>
      </w:tr>
      <w:tr>
        <w:tc>
          <w:tcPr>
            <w:tcW w:type="dxa" w:w="5102"/>
          </w:tcPr>
          <w:p>
            <w:r/>
            <w:r>
              <w:rPr>
                <w:sz w:val="18"/>
              </w:rPr>
              <w:t>Lignes en rupture</w:t>
            </w:r>
          </w:p>
        </w:tc>
        <w:tc>
          <w:tcPr>
            <w:tcW w:type="dxa" w:w="2835"/>
          </w:tcPr>
          <w:p>
            <w:r/>
            <w:r>
              <w:rPr>
                <w:sz w:val="18"/>
              </w:rPr>
              <w:t>87</w:t>
            </w:r>
          </w:p>
        </w:tc>
      </w:tr>
      <w:tr>
        <w:tc>
          <w:tcPr>
            <w:tcW w:type="dxa" w:w="5102"/>
          </w:tcPr>
          <w:p>
            <w:r/>
            <w:r>
              <w:rPr>
                <w:sz w:val="18"/>
              </w:rPr>
              <w:t>Lignes sous le stock minimum</w:t>
            </w:r>
          </w:p>
        </w:tc>
        <w:tc>
          <w:tcPr>
            <w:tcW w:type="dxa" w:w="2835"/>
          </w:tcPr>
          <w:p>
            <w:r/>
            <w:r>
              <w:rPr>
                <w:sz w:val="18"/>
              </w:rPr>
              <w:t>216</w:t>
            </w:r>
          </w:p>
        </w:tc>
      </w:tr>
      <w:tr>
        <w:tc>
          <w:tcPr>
            <w:tcW w:type="dxa" w:w="5102"/>
          </w:tcPr>
          <w:p>
            <w:r/>
            <w:r>
              <w:rPr>
                <w:sz w:val="18"/>
              </w:rPr>
              <w:t>Rotation de stock moyenne</w:t>
            </w:r>
          </w:p>
        </w:tc>
        <w:tc>
          <w:tcPr>
            <w:tcW w:type="dxa" w:w="2835"/>
          </w:tcPr>
          <w:p>
            <w:r/>
            <w:r>
              <w:rPr>
                <w:sz w:val="18"/>
              </w:rPr>
              <w:t>0,16</w:t>
            </w:r>
          </w:p>
        </w:tc>
      </w:tr>
      <w:tr>
        <w:tc>
          <w:tcPr>
            <w:tcW w:type="dxa" w:w="5102"/>
          </w:tcPr>
          <w:p>
            <w:r/>
            <w:r>
              <w:rPr>
                <w:sz w:val="18"/>
              </w:rPr>
              <w:t>Achats fournisseurs cumulés 2021-2025</w:t>
            </w:r>
          </w:p>
        </w:tc>
        <w:tc>
          <w:tcPr>
            <w:tcW w:type="dxa" w:w="2835"/>
          </w:tcPr>
          <w:p>
            <w:r/>
            <w:r>
              <w:rPr>
                <w:sz w:val="18"/>
              </w:rPr>
              <w:t>4 922 934 $</w:t>
            </w:r>
          </w:p>
        </w:tc>
      </w:tr>
      <w:tr>
        <w:tc>
          <w:tcPr>
            <w:tcW w:type="dxa" w:w="5102"/>
          </w:tcPr>
          <w:p>
            <w:r/>
            <w:r>
              <w:rPr>
                <w:sz w:val="18"/>
              </w:rPr>
              <w:t>Ratio achats / coût des ventes</w:t>
            </w:r>
          </w:p>
        </w:tc>
        <w:tc>
          <w:tcPr>
            <w:tcW w:type="dxa" w:w="2835"/>
          </w:tcPr>
          <w:p>
            <w:r/>
            <w:r>
              <w:rPr>
                <w:sz w:val="18"/>
              </w:rPr>
              <w:t>3,6 fois</w:t>
            </w:r>
          </w:p>
        </w:tc>
      </w:tr>
    </w:tbl>
    <w:p>
      <w:pPr>
        <w:spacing w:after="80"/>
      </w:pPr>
    </w:p>
    <w:p>
      <w:pPr>
        <w:spacing w:after="140"/>
      </w:pPr>
      <w:r>
        <w:rPr>
          <w:b w:val="0"/>
          <w:i w:val="0"/>
          <w:sz w:val="21"/>
        </w:rPr>
        <w:t>Le stock est valorisé à 8 020 239 $ alors que le coût des ventes annuel moyen s'établit à 274 139 $. L'entreprise détient donc l'équivalent de 29 années de ventes en stock. Ce chiffre est à rapprocher du montant des achats fournisseurs sur la période, 4 922 934 $, soit 3,6 fois le coût des marchandises effectivement vendues. L'entreprise achète massivement plus qu'elle ne vend.</w:t>
      </w:r>
    </w:p>
    <w:p>
      <w:pPr>
        <w:spacing w:after="140"/>
      </w:pPr>
      <w:r>
        <w:rPr>
          <w:b w:val="0"/>
          <w:i w:val="0"/>
          <w:sz w:val="21"/>
        </w:rPr>
        <w:t>La rotation de stock moyenne de 0,16 confirme ce diagnostic : chaque référence n'est renouvelée qu'une fois tous les six ans environ. 1 392 lignes de stock sur 6 000 sont classées en surstock, représentant à elles seules 4 773 794 $ de trésorerie immobilisée. Il s'agit du principal levier financier identifié dans ce diagnostic.</w:t>
      </w:r>
    </w:p>
    <w:p>
      <w:pPr>
        <w:spacing w:after="140"/>
      </w:pPr>
      <w:r>
        <w:rPr>
          <w:b w:val="0"/>
          <w:i w:val="0"/>
          <w:sz w:val="21"/>
        </w:rPr>
        <w:t>Il faut noter en parallèle 87 situations de rupture et 216 lignes sous le stock minimum : le problème n'est donc pas seulement un excès global, mais aussi une mauvaise allocation entre les références.</w:t>
      </w:r>
    </w:p>
    <w:p>
      <w:pPr>
        <w:pStyle w:val="Heading2"/>
      </w:pPr>
      <w:r>
        <w:t>7.2 Écarts d'inventaire</w:t>
      </w:r>
    </w:p>
    <w:tbl>
      <w:tblPr>
        <w:tblStyle w:val="TableGrid"/>
        <w:tblW w:type="auto" w:w="0"/>
        <w:jc w:val="center"/>
        <w:tblLook w:firstColumn="1" w:firstRow="1" w:lastColumn="0" w:lastRow="0" w:noHBand="0" w:noVBand="1" w:val="04A0"/>
      </w:tblPr>
      <w:tblGrid>
        <w:gridCol w:w="4873"/>
        <w:gridCol w:w="4873"/>
      </w:tblGrid>
      <w:tr>
        <w:tc>
          <w:tcPr>
            <w:tcW w:type="dxa" w:w="5102"/>
            <w:shd w:val="clear" w:fill="2C6E8E"/>
          </w:tcPr>
          <w:p>
            <w:r/>
            <w:r>
              <w:rPr>
                <w:b/>
                <w:color w:val="FFFFFF"/>
                <w:sz w:val="18"/>
              </w:rPr>
              <w:t>Indicateur</w:t>
            </w:r>
          </w:p>
        </w:tc>
        <w:tc>
          <w:tcPr>
            <w:tcW w:type="dxa" w:w="2835"/>
            <w:shd w:val="clear" w:fill="2C6E8E"/>
          </w:tcPr>
          <w:p>
            <w:r/>
            <w:r>
              <w:rPr>
                <w:b/>
                <w:color w:val="FFFFFF"/>
                <w:sz w:val="18"/>
              </w:rPr>
              <w:t>Valeur</w:t>
            </w:r>
          </w:p>
        </w:tc>
      </w:tr>
      <w:tr>
        <w:tc>
          <w:tcPr>
            <w:tcW w:type="dxa" w:w="5102"/>
          </w:tcPr>
          <w:p>
            <w:r/>
            <w:r>
              <w:rPr>
                <w:sz w:val="18"/>
              </w:rPr>
              <w:t>Inventaires réalisés</w:t>
            </w:r>
          </w:p>
        </w:tc>
        <w:tc>
          <w:tcPr>
            <w:tcW w:type="dxa" w:w="2835"/>
          </w:tcPr>
          <w:p>
            <w:r/>
            <w:r>
              <w:rPr>
                <w:sz w:val="18"/>
              </w:rPr>
              <w:t>500</w:t>
            </w:r>
          </w:p>
        </w:tc>
      </w:tr>
      <w:tr>
        <w:tc>
          <w:tcPr>
            <w:tcW w:type="dxa" w:w="5102"/>
          </w:tcPr>
          <w:p>
            <w:r/>
            <w:r>
              <w:rPr>
                <w:sz w:val="18"/>
              </w:rPr>
              <w:t>Part des comptages présentant un écart</w:t>
            </w:r>
          </w:p>
        </w:tc>
        <w:tc>
          <w:tcPr>
            <w:tcW w:type="dxa" w:w="2835"/>
          </w:tcPr>
          <w:p>
            <w:r/>
            <w:r>
              <w:rPr>
                <w:sz w:val="18"/>
              </w:rPr>
              <w:t>87,8 %</w:t>
            </w:r>
          </w:p>
        </w:tc>
      </w:tr>
      <w:tr>
        <w:tc>
          <w:tcPr>
            <w:tcW w:type="dxa" w:w="5102"/>
          </w:tcPr>
          <w:p>
            <w:r/>
            <w:r>
              <w:rPr>
                <w:sz w:val="18"/>
              </w:rPr>
              <w:t>Écarts négatifs (stock manquant)</w:t>
            </w:r>
          </w:p>
        </w:tc>
        <w:tc>
          <w:tcPr>
            <w:tcW w:type="dxa" w:w="2835"/>
          </w:tcPr>
          <w:p>
            <w:r/>
            <w:r>
              <w:rPr>
                <w:sz w:val="18"/>
              </w:rPr>
              <w:t>272</w:t>
            </w:r>
          </w:p>
        </w:tc>
      </w:tr>
      <w:tr>
        <w:tc>
          <w:tcPr>
            <w:tcW w:type="dxa" w:w="5102"/>
          </w:tcPr>
          <w:p>
            <w:r/>
            <w:r>
              <w:rPr>
                <w:sz w:val="18"/>
              </w:rPr>
              <w:t>Perte brute liée aux manquants</w:t>
            </w:r>
          </w:p>
        </w:tc>
        <w:tc>
          <w:tcPr>
            <w:tcW w:type="dxa" w:w="2835"/>
          </w:tcPr>
          <w:p>
            <w:r/>
            <w:r>
              <w:rPr>
                <w:sz w:val="18"/>
              </w:rPr>
              <w:t>-13 644 $</w:t>
            </w:r>
          </w:p>
        </w:tc>
      </w:tr>
      <w:tr>
        <w:tc>
          <w:tcPr>
            <w:tcW w:type="dxa" w:w="5102"/>
          </w:tcPr>
          <w:p>
            <w:r/>
            <w:r>
              <w:rPr>
                <w:sz w:val="18"/>
              </w:rPr>
              <w:t>Écart net de valorisation</w:t>
            </w:r>
          </w:p>
        </w:tc>
        <w:tc>
          <w:tcPr>
            <w:tcW w:type="dxa" w:w="2835"/>
          </w:tcPr>
          <w:p>
            <w:r/>
            <w:r>
              <w:rPr>
                <w:sz w:val="18"/>
              </w:rPr>
              <w:t>-5 799 $</w:t>
            </w:r>
          </w:p>
        </w:tc>
      </w:tr>
    </w:tbl>
    <w:p>
      <w:pPr>
        <w:spacing w:after="80"/>
      </w:pPr>
    </w:p>
    <w:p>
      <w:pPr>
        <w:spacing w:after="140"/>
      </w:pPr>
      <w:r>
        <w:rPr>
          <w:b w:val="0"/>
          <w:i w:val="0"/>
          <w:sz w:val="21"/>
        </w:rPr>
        <w:t>87,8 % des comptages d'inventaire révèlent un écart entre le stock théorique et le stock physique. Ce niveau traduit une défaillance du système de suivi des mouvements de stock. La perte brute sur les seuls écarts négatifs atteint 13 644 $. Au-delà du montant, c'est la fiabilité de l'information de stock qui est en cause : elle rend tout pilotage des approvisionnements approximatif.</w:t>
      </w:r>
    </w:p>
    <w:p>
      <w:pPr>
        <w:pStyle w:val="Heading2"/>
      </w:pPr>
      <w:r>
        <w:t>7.3 Performance des fournisseurs</w:t>
      </w:r>
    </w:p>
    <w:p>
      <w:pPr>
        <w:spacing w:after="140"/>
      </w:pPr>
      <w:r>
        <w:rPr>
          <w:b w:val="0"/>
          <w:i w:val="0"/>
          <w:sz w:val="21"/>
        </w:rPr>
        <w:t>Les 60 fournisseurs affichent un score de fiabilité moyen de 0,86 sur une échelle de 0 à 1, ce qui est satisfaisant. Le retard moyen de livraison est de 1,66 jours, mais 34,2 % des commandes fournisseurs arrivent en retard. Ce point mérite un suivi, sans constituer une urgence au regard du niveau de stock actuel.</w:t>
      </w:r>
    </w:p>
    <w:p>
      <w:r>
        <w:br w:type="page"/>
      </w:r>
    </w:p>
    <w:p>
      <w:pPr>
        <w:pStyle w:val="Heading1"/>
      </w:pPr>
      <w:r>
        <w:t>8. Pilotage commercial et projection</w:t>
      </w:r>
    </w:p>
    <w:p>
      <w:pPr>
        <w:pStyle w:val="Heading2"/>
      </w:pPr>
      <w:r>
        <w:t>8.1 Un système d'objectifs déconnecté du réel</w:t>
      </w:r>
    </w:p>
    <w:tbl>
      <w:tblPr>
        <w:tblStyle w:val="TableGrid"/>
        <w:tblW w:type="auto" w:w="0"/>
        <w:jc w:val="center"/>
        <w:tblLook w:firstColumn="1" w:firstRow="1" w:lastColumn="0" w:lastRow="0" w:noHBand="0" w:noVBand="1" w:val="04A0"/>
      </w:tblPr>
      <w:tblGrid>
        <w:gridCol w:w="4873"/>
        <w:gridCol w:w="4873"/>
      </w:tblGrid>
      <w:tr>
        <w:tc>
          <w:tcPr>
            <w:tcW w:type="dxa" w:w="5102"/>
            <w:shd w:val="clear" w:fill="2C6E8E"/>
          </w:tcPr>
          <w:p>
            <w:r/>
            <w:r>
              <w:rPr>
                <w:b/>
                <w:color w:val="FFFFFF"/>
                <w:sz w:val="18"/>
              </w:rPr>
              <w:t>Indicateur</w:t>
            </w:r>
          </w:p>
        </w:tc>
        <w:tc>
          <w:tcPr>
            <w:tcW w:type="dxa" w:w="2835"/>
            <w:shd w:val="clear" w:fill="2C6E8E"/>
          </w:tcPr>
          <w:p>
            <w:r/>
            <w:r>
              <w:rPr>
                <w:b/>
                <w:color w:val="FFFFFF"/>
                <w:sz w:val="18"/>
              </w:rPr>
              <w:t>Valeur</w:t>
            </w:r>
          </w:p>
        </w:tc>
      </w:tr>
      <w:tr>
        <w:tc>
          <w:tcPr>
            <w:tcW w:type="dxa" w:w="5102"/>
          </w:tcPr>
          <w:p>
            <w:r/>
            <w:r>
              <w:rPr>
                <w:sz w:val="18"/>
              </w:rPr>
              <w:t>Nombre d'objectifs fixés (2021-2025)</w:t>
            </w:r>
          </w:p>
        </w:tc>
        <w:tc>
          <w:tcPr>
            <w:tcW w:type="dxa" w:w="2835"/>
          </w:tcPr>
          <w:p>
            <w:r/>
            <w:r>
              <w:rPr>
                <w:sz w:val="18"/>
              </w:rPr>
              <w:t>500</w:t>
            </w:r>
          </w:p>
        </w:tc>
      </w:tr>
      <w:tr>
        <w:tc>
          <w:tcPr>
            <w:tcW w:type="dxa" w:w="5102"/>
          </w:tcPr>
          <w:p>
            <w:r/>
            <w:r>
              <w:rPr>
                <w:sz w:val="18"/>
              </w:rPr>
              <w:t>Taux de réalisation moyen</w:t>
            </w:r>
          </w:p>
        </w:tc>
        <w:tc>
          <w:tcPr>
            <w:tcW w:type="dxa" w:w="2835"/>
          </w:tcPr>
          <w:p>
            <w:r/>
            <w:r>
              <w:rPr>
                <w:sz w:val="18"/>
              </w:rPr>
              <w:t>14,2 %</w:t>
            </w:r>
          </w:p>
        </w:tc>
      </w:tr>
      <w:tr>
        <w:tc>
          <w:tcPr>
            <w:tcW w:type="dxa" w:w="5102"/>
          </w:tcPr>
          <w:p>
            <w:r/>
            <w:r>
              <w:rPr>
                <w:sz w:val="18"/>
              </w:rPr>
              <w:t>Objectifs atteints</w:t>
            </w:r>
          </w:p>
        </w:tc>
        <w:tc>
          <w:tcPr>
            <w:tcW w:type="dxa" w:w="2835"/>
          </w:tcPr>
          <w:p>
            <w:r/>
            <w:r>
              <w:rPr>
                <w:sz w:val="18"/>
              </w:rPr>
              <w:t>0 (0 %)</w:t>
            </w:r>
          </w:p>
        </w:tc>
      </w:tr>
      <w:tr>
        <w:tc>
          <w:tcPr>
            <w:tcW w:type="dxa" w:w="5102"/>
          </w:tcPr>
          <w:p>
            <w:r/>
            <w:r>
              <w:rPr>
                <w:sz w:val="18"/>
              </w:rPr>
              <w:t>Objectif annuel moyen par boutique</w:t>
            </w:r>
          </w:p>
        </w:tc>
        <w:tc>
          <w:tcPr>
            <w:tcW w:type="dxa" w:w="2835"/>
          </w:tcPr>
          <w:p>
            <w:r/>
            <w:r>
              <w:rPr>
                <w:sz w:val="18"/>
              </w:rPr>
              <w:t>376 766 $</w:t>
            </w:r>
          </w:p>
        </w:tc>
      </w:tr>
      <w:tr>
        <w:tc>
          <w:tcPr>
            <w:tcW w:type="dxa" w:w="5102"/>
          </w:tcPr>
          <w:p>
            <w:r/>
            <w:r>
              <w:rPr>
                <w:sz w:val="18"/>
              </w:rPr>
              <w:t>Réalisé annuel moyen par boutique</w:t>
            </w:r>
          </w:p>
        </w:tc>
        <w:tc>
          <w:tcPr>
            <w:tcW w:type="dxa" w:w="2835"/>
          </w:tcPr>
          <w:p>
            <w:r/>
            <w:r>
              <w:rPr>
                <w:sz w:val="18"/>
              </w:rPr>
              <w:t>45 016 $</w:t>
            </w:r>
          </w:p>
        </w:tc>
      </w:tr>
      <w:tr>
        <w:tc>
          <w:tcPr>
            <w:tcW w:type="dxa" w:w="5102"/>
          </w:tcPr>
          <w:p>
            <w:r/>
            <w:r>
              <w:rPr>
                <w:sz w:val="18"/>
              </w:rPr>
              <w:t>Écart</w:t>
            </w:r>
          </w:p>
        </w:tc>
        <w:tc>
          <w:tcPr>
            <w:tcW w:type="dxa" w:w="2835"/>
          </w:tcPr>
          <w:p>
            <w:r/>
            <w:r>
              <w:rPr>
                <w:sz w:val="18"/>
              </w:rPr>
              <w:t>facteur 8,4</w:t>
            </w:r>
          </w:p>
        </w:tc>
      </w:tr>
      <w:tr>
        <w:tc>
          <w:tcPr>
            <w:tcW w:type="dxa" w:w="5102"/>
          </w:tcPr>
          <w:p>
            <w:r/>
            <w:r>
              <w:rPr>
                <w:sz w:val="18"/>
              </w:rPr>
              <w:t>Objectif total fixé pour 2025</w:t>
            </w:r>
          </w:p>
        </w:tc>
        <w:tc>
          <w:tcPr>
            <w:tcW w:type="dxa" w:w="2835"/>
          </w:tcPr>
          <w:p>
            <w:r/>
            <w:r>
              <w:rPr>
                <w:sz w:val="18"/>
              </w:rPr>
              <w:t>5 590 559 $</w:t>
            </w:r>
          </w:p>
        </w:tc>
      </w:tr>
      <w:tr>
        <w:tc>
          <w:tcPr>
            <w:tcW w:type="dxa" w:w="5102"/>
          </w:tcPr>
          <w:p>
            <w:r/>
            <w:r>
              <w:rPr>
                <w:sz w:val="18"/>
              </w:rPr>
              <w:t>CA réellement réalisé en 2025</w:t>
            </w:r>
          </w:p>
        </w:tc>
        <w:tc>
          <w:tcPr>
            <w:tcW w:type="dxa" w:w="2835"/>
          </w:tcPr>
          <w:p>
            <w:r/>
            <w:r>
              <w:rPr>
                <w:sz w:val="18"/>
              </w:rPr>
              <w:t>709 171 $</w:t>
            </w:r>
          </w:p>
        </w:tc>
      </w:tr>
      <w:tr>
        <w:tc>
          <w:tcPr>
            <w:tcW w:type="dxa" w:w="5102"/>
          </w:tcPr>
          <w:p>
            <w:r/>
            <w:r>
              <w:rPr>
                <w:sz w:val="18"/>
              </w:rPr>
              <w:t>Primes versées sur 5 ans</w:t>
            </w:r>
          </w:p>
        </w:tc>
        <w:tc>
          <w:tcPr>
            <w:tcW w:type="dxa" w:w="2835"/>
          </w:tcPr>
          <w:p>
            <w:r/>
            <w:r>
              <w:rPr>
                <w:sz w:val="18"/>
              </w:rPr>
              <w:t>69,12 $</w:t>
            </w:r>
          </w:p>
        </w:tc>
      </w:tr>
    </w:tbl>
    <w:p>
      <w:pPr>
        <w:spacing w:after="80"/>
      </w:pPr>
    </w:p>
    <w:p>
      <w:pPr>
        <w:jc w:val="center"/>
      </w:pPr>
      <w:r>
        <w:drawing>
          <wp:inline xmlns:a="http://schemas.openxmlformats.org/drawingml/2006/main" xmlns:pic="http://schemas.openxmlformats.org/drawingml/2006/picture">
            <wp:extent cx="5220000" cy="3262500"/>
            <wp:docPr id="13" name="Picture 13"/>
            <wp:cNvGraphicFramePr>
              <a:graphicFrameLocks noChangeAspect="1"/>
            </wp:cNvGraphicFramePr>
            <a:graphic>
              <a:graphicData uri="http://schemas.openxmlformats.org/drawingml/2006/picture">
                <pic:pic>
                  <pic:nvPicPr>
                    <pic:cNvPr id="0" name="15_objectifs_boutiques.png"/>
                    <pic:cNvPicPr/>
                  </pic:nvPicPr>
                  <pic:blipFill>
                    <a:blip r:embed="rId21"/>
                    <a:stretch>
                      <a:fillRect/>
                    </a:stretch>
                  </pic:blipFill>
                  <pic:spPr>
                    <a:xfrm>
                      <a:off x="0" y="0"/>
                      <a:ext cx="5220000" cy="3262500"/>
                    </a:xfrm>
                    <a:prstGeom prst="rect"/>
                  </pic:spPr>
                </pic:pic>
              </a:graphicData>
            </a:graphic>
          </wp:inline>
        </w:drawing>
      </w:r>
    </w:p>
    <w:p>
      <w:pPr>
        <w:spacing w:after="200"/>
        <w:jc w:val="center"/>
      </w:pPr>
      <w:r>
        <w:rPr>
          <w:i/>
          <w:color w:val="666666"/>
          <w:sz w:val="17"/>
        </w:rPr>
        <w:t>Figure 13 — Taux de réalisation des objectifs par boutique</w:t>
      </w:r>
    </w:p>
    <w:p>
      <w:pPr>
        <w:spacing w:after="140"/>
      </w:pPr>
      <w:r>
        <w:rPr>
          <w:b w:val="0"/>
          <w:i w:val="0"/>
          <w:sz w:val="21"/>
        </w:rPr>
        <w:t>Aucun des 500 objectifs fixés sur cinq ans n'a été atteint. Le taux de réalisation moyen s'établit à 14,2 %. L'objectif total assigné pour 2025 (5 590 559 $) représente près de huit fois le chiffre d'affaires effectivement réalisé (709 171 $). Un objectif systématiquement inatteignable perd toute fonction de pilotage et de motivation : le système de primes associé n'a distribué que 69 $ en cinq ans, ce qui le rend inopérant.</w:t>
      </w:r>
    </w:p>
    <w:p>
      <w:pPr>
        <w:spacing w:after="140"/>
      </w:pPr>
      <w:r>
        <w:rPr>
          <w:b w:val="0"/>
          <w:i w:val="0"/>
          <w:sz w:val="21"/>
        </w:rPr>
        <w:t>Cette situation appelle une refonte immédiate. Les objectifs doivent être recalibrés à partir du réalisé de l'année précédente, majoré d'un taux de croissance ambitieux mais atteignable de l'ordre de 15 à 20 %, cohérent avec la trajectoire observée.</w:t>
      </w:r>
    </w:p>
    <w:p>
      <w:pPr>
        <w:pStyle w:val="Heading2"/>
      </w:pPr>
      <w:r>
        <w:t>8.2 Projection 2026</w:t>
      </w:r>
    </w:p>
    <w:p>
      <w:pPr>
        <w:jc w:val="center"/>
      </w:pPr>
      <w:r>
        <w:drawing>
          <wp:inline xmlns:a="http://schemas.openxmlformats.org/drawingml/2006/main" xmlns:pic="http://schemas.openxmlformats.org/drawingml/2006/picture">
            <wp:extent cx="5400000" cy="2430000"/>
            <wp:docPr id="14" name="Picture 14"/>
            <wp:cNvGraphicFramePr>
              <a:graphicFrameLocks noChangeAspect="1"/>
            </wp:cNvGraphicFramePr>
            <a:graphic>
              <a:graphicData uri="http://schemas.openxmlformats.org/drawingml/2006/picture">
                <pic:pic>
                  <pic:nvPicPr>
                    <pic:cNvPr id="0" name="14_prevision_2026.png"/>
                    <pic:cNvPicPr/>
                  </pic:nvPicPr>
                  <pic:blipFill>
                    <a:blip r:embed="rId22"/>
                    <a:stretch>
                      <a:fillRect/>
                    </a:stretch>
                  </pic:blipFill>
                  <pic:spPr>
                    <a:xfrm>
                      <a:off x="0" y="0"/>
                      <a:ext cx="5400000" cy="2430000"/>
                    </a:xfrm>
                    <a:prstGeom prst="rect"/>
                  </pic:spPr>
                </pic:pic>
              </a:graphicData>
            </a:graphic>
          </wp:inline>
        </w:drawing>
      </w:r>
    </w:p>
    <w:p>
      <w:pPr>
        <w:spacing w:after="200"/>
        <w:jc w:val="center"/>
      </w:pPr>
      <w:r>
        <w:rPr>
          <w:i/>
          <w:color w:val="666666"/>
          <w:sz w:val="17"/>
        </w:rPr>
        <w:t>Figure 14 — Chiffre d'affaires mensuel et projection 2026</w:t>
      </w:r>
    </w:p>
    <w:p>
      <w:pPr>
        <w:spacing w:after="140"/>
      </w:pPr>
      <w:r>
        <w:rPr>
          <w:b w:val="0"/>
          <w:i w:val="0"/>
          <w:sz w:val="21"/>
        </w:rPr>
        <w:t>La projection repose sur une régression linéaire du chiffre d'affaires mensuel sur les 60 mois observés, corrigée d'un coefficient de saisonnalité calculé mois par mois. Elle aboutit à un chiffre d'affaires prévisionnel de 874 056 $ pour 2026, soit une progression de 23,3 % par rapport à 2025.</w:t>
      </w:r>
    </w:p>
    <w:p>
      <w:pPr>
        <w:spacing w:after="140"/>
      </w:pPr>
      <w:r>
        <w:rPr>
          <w:b w:val="0"/>
          <w:i w:val="0"/>
          <w:sz w:val="21"/>
        </w:rPr>
        <w:t>Cette projection prolonge la tendance historique sans intégrer l'effet des recommandations formulées ci-après. Elle constitue donc un scénario de référence, à considérer comme un plancher si les actions correctrices sont engagées. Le pic saisonnier de décembre (113 204 $ prévus) doit guider la planification des approvisionnements et des effectifs.</w:t>
      </w:r>
    </w:p>
    <w:p>
      <w:pPr>
        <w:pStyle w:val="Heading2"/>
      </w:pPr>
      <w:r>
        <w:t>8.3 Performance des vendeurs</w:t>
      </w:r>
    </w:p>
    <w:p>
      <w:pPr>
        <w:spacing w:after="140"/>
      </w:pPr>
      <w:r>
        <w:rPr>
          <w:b w:val="0"/>
          <w:i w:val="0"/>
          <w:sz w:val="21"/>
        </w:rPr>
        <w:t>68 vendeurs ont enregistré au moins une vente sur la période, pour un chiffre d'affaires moyen de 14 591 $. L'écart entre le meilleur et le moins performant atteint un facteur 13,4. Un tel écart, à périmètre comparable, suggère un potentiel d'homogénéisation par la formation et le partage des bonnes pratiques.</w:t>
      </w:r>
    </w:p>
    <w:p>
      <w:r>
        <w:br w:type="page"/>
      </w:r>
    </w:p>
    <w:p>
      <w:pPr>
        <w:pStyle w:val="Heading1"/>
      </w:pPr>
      <w:r>
        <w:t>9. Recommandations à la direction</w:t>
      </w:r>
    </w:p>
    <w:p>
      <w:pPr>
        <w:spacing w:after="140"/>
      </w:pPr>
      <w:r>
        <w:rPr>
          <w:b w:val="0"/>
          <w:i w:val="0"/>
          <w:sz w:val="21"/>
        </w:rPr>
        <w:t>Les recommandations ci-dessous sont classées par ordre de priorité, en fonction de l'ampleur de l'impact financier et de l'urgence. Chacune s'appuie sur un constat chiffré issu de l'analyse.</w:t>
      </w:r>
    </w:p>
    <w:p>
      <w:pPr>
        <w:pStyle w:val="Heading2"/>
      </w:pPr>
      <w:r>
        <w:t>9.1 Actions immédiates (0 à 3 mois)</w:t>
      </w:r>
    </w:p>
    <w:p>
      <w:pPr>
        <w:pStyle w:val="Heading3"/>
      </w:pPr>
      <w:r>
        <w:t>Geler les approvisionnements et lancer un plan de déstockage</w:t>
      </w:r>
    </w:p>
    <w:p>
      <w:r>
        <w:rPr>
          <w:b/>
          <w:sz w:val="21"/>
        </w:rPr>
        <w:t xml:space="preserve">Constat : </w:t>
      </w:r>
      <w:r>
        <w:rPr>
          <w:sz w:val="21"/>
        </w:rPr>
        <w:t>Le stock immobilise 8,02 M$ pour un coût des ventes annuel de 274 k$. Les 1 392 lignes en surstock représentent 4,77 M$.</w:t>
      </w:r>
    </w:p>
    <w:p>
      <w:r>
        <w:rPr>
          <w:b/>
          <w:sz w:val="21"/>
        </w:rPr>
        <w:t>Actions :</w:t>
      </w:r>
    </w:p>
    <w:p>
      <w:pPr>
        <w:pStyle w:val="ListBullet"/>
        <w:spacing w:after="60"/>
      </w:pPr>
      <w:r>
        <w:rPr>
          <w:sz w:val="21"/>
        </w:rPr>
        <w:t>Suspendre immédiatement toute commande fournisseur sur les références en surstock.</w:t>
      </w:r>
    </w:p>
    <w:p>
      <w:pPr>
        <w:pStyle w:val="ListBullet"/>
        <w:spacing w:after="60"/>
      </w:pPr>
      <w:r>
        <w:rPr>
          <w:sz w:val="21"/>
        </w:rPr>
        <w:t>Lancer une opération de déstockage sur les 239 références de classe C, qui ne génèrent que 5 % du chiffre d'affaires.</w:t>
      </w:r>
    </w:p>
    <w:p>
      <w:pPr>
        <w:pStyle w:val="ListBullet"/>
        <w:spacing w:after="60"/>
      </w:pPr>
      <w:r>
        <w:rPr>
          <w:sz w:val="21"/>
        </w:rPr>
        <w:t>Recentrer les approvisionnements sur les 254 références de classe A, qui produisent 80 % du chiffre d'affaires.</w:t>
      </w:r>
    </w:p>
    <w:p>
      <w:pPr>
        <w:pStyle w:val="ListBullet"/>
        <w:spacing w:after="60"/>
      </w:pPr>
      <w:r>
        <w:rPr>
          <w:sz w:val="21"/>
        </w:rPr>
        <w:t>Traiter en parallèle les 87 ruptures et 216 lignes sous le minimum, qui coexistent avec le surstock.</w:t>
      </w:r>
    </w:p>
    <w:p>
      <w:r>
        <w:rPr>
          <w:b/>
          <w:sz w:val="21"/>
        </w:rPr>
        <w:t xml:space="preserve">Impact attendu : </w:t>
      </w:r>
      <w:r>
        <w:rPr>
          <w:i/>
          <w:sz w:val="21"/>
        </w:rPr>
        <w:t>Libération de trésorerie estimée entre 2 et 3 M$.</w:t>
      </w:r>
    </w:p>
    <w:p>
      <w:pPr>
        <w:pStyle w:val="Heading3"/>
      </w:pPr>
      <w:r>
        <w:t>Refonder le système d'objectifs commerciaux</w:t>
      </w:r>
    </w:p>
    <w:p>
      <w:r>
        <w:rPr>
          <w:b/>
          <w:sz w:val="21"/>
        </w:rPr>
        <w:t xml:space="preserve">Constat : </w:t>
      </w:r>
      <w:r>
        <w:rPr>
          <w:sz w:val="21"/>
        </w:rPr>
        <w:t>Aucun des 500 objectifs n'a été atteint en cinq ans. Le taux moyen de réalisation est de 14,2 %.</w:t>
      </w:r>
    </w:p>
    <w:p>
      <w:r>
        <w:rPr>
          <w:b/>
          <w:sz w:val="21"/>
        </w:rPr>
        <w:t>Actions :</w:t>
      </w:r>
    </w:p>
    <w:p>
      <w:pPr>
        <w:pStyle w:val="ListBullet"/>
        <w:spacing w:after="60"/>
      </w:pPr>
      <w:r>
        <w:rPr>
          <w:sz w:val="21"/>
        </w:rPr>
        <w:t>Recalibrer les objectifs sur la base du réalisé de l'année précédente, majoré de 15 à 20 %.</w:t>
      </w:r>
    </w:p>
    <w:p>
      <w:pPr>
        <w:pStyle w:val="ListBullet"/>
        <w:spacing w:after="60"/>
      </w:pPr>
      <w:r>
        <w:rPr>
          <w:sz w:val="21"/>
        </w:rPr>
        <w:t>Différencier les objectifs par boutique en tenant compte de leur bassin de chalandise réel.</w:t>
      </w:r>
    </w:p>
    <w:p>
      <w:pPr>
        <w:pStyle w:val="ListBullet"/>
        <w:spacing w:after="60"/>
      </w:pPr>
      <w:r>
        <w:rPr>
          <w:sz w:val="21"/>
        </w:rPr>
        <w:t>Réactiver le système de primes, aujourd'hui inopérant (69 $ versés en cinq ans).</w:t>
      </w:r>
    </w:p>
    <w:p>
      <w:pPr>
        <w:pStyle w:val="ListBullet"/>
        <w:spacing w:after="60"/>
      </w:pPr>
      <w:r>
        <w:rPr>
          <w:sz w:val="21"/>
        </w:rPr>
        <w:t>Instaurer une revue trimestrielle des objectifs avec les responsables de boutique.</w:t>
      </w:r>
    </w:p>
    <w:p>
      <w:r>
        <w:rPr>
          <w:b/>
          <w:sz w:val="21"/>
        </w:rPr>
        <w:t xml:space="preserve">Impact attendu : </w:t>
      </w:r>
      <w:r>
        <w:rPr>
          <w:i/>
          <w:sz w:val="21"/>
        </w:rPr>
        <w:t>Impact sur la motivation et la crédibilité du pilotage commercial.</w:t>
      </w:r>
    </w:p>
    <w:p>
      <w:pPr>
        <w:pStyle w:val="Heading3"/>
      </w:pPr>
      <w:r>
        <w:t>Corriger le calcul de la marge dans le reporting</w:t>
      </w:r>
    </w:p>
    <w:p>
      <w:r>
        <w:rPr>
          <w:b/>
          <w:sz w:val="21"/>
        </w:rPr>
        <w:t xml:space="preserve">Constat : </w:t>
      </w:r>
      <w:r>
        <w:rPr>
          <w:sz w:val="21"/>
        </w:rPr>
        <w:t>La marge affichée (33,45 %) est une moyenne de pourcentages ; la marge réelle pondérée est de 28,76 %.</w:t>
      </w:r>
    </w:p>
    <w:p>
      <w:r>
        <w:rPr>
          <w:b/>
          <w:sz w:val="21"/>
        </w:rPr>
        <w:t>Actions :</w:t>
      </w:r>
    </w:p>
    <w:p>
      <w:pPr>
        <w:pStyle w:val="ListBullet"/>
        <w:spacing w:after="60"/>
      </w:pPr>
      <w:r>
        <w:rPr>
          <w:sz w:val="21"/>
        </w:rPr>
        <w:t>Remplacer la moyenne des marges par le rapport bénéfice total / chiffre d'affaires total.</w:t>
      </w:r>
    </w:p>
    <w:p>
      <w:pPr>
        <w:pStyle w:val="ListBullet"/>
        <w:spacing w:after="60"/>
      </w:pPr>
      <w:r>
        <w:rPr>
          <w:sz w:val="21"/>
        </w:rPr>
        <w:t>Rediffuser les indicateurs corrigés aux directions concernées.</w:t>
      </w:r>
    </w:p>
    <w:p>
      <w:pPr>
        <w:pStyle w:val="ListBullet"/>
        <w:spacing w:after="60"/>
      </w:pPr>
      <w:r>
        <w:rPr>
          <w:sz w:val="21"/>
        </w:rPr>
        <w:t>Auditer les autres indicateurs calculés selon la même logique.</w:t>
      </w:r>
    </w:p>
    <w:p>
      <w:r>
        <w:rPr>
          <w:b/>
          <w:sz w:val="21"/>
        </w:rPr>
        <w:t xml:space="preserve">Impact attendu : </w:t>
      </w:r>
      <w:r>
        <w:rPr>
          <w:i/>
          <w:sz w:val="21"/>
        </w:rPr>
        <w:t>Écart corrigé de 4,7 points sur l'indicateur central de rentabilité.</w:t>
      </w:r>
    </w:p>
    <w:p>
      <w:pPr>
        <w:pStyle w:val="Heading2"/>
      </w:pPr>
      <w:r>
        <w:t>9.2 Actions à court terme (3 à 6 mois)</w:t>
      </w:r>
    </w:p>
    <w:p>
      <w:pPr>
        <w:pStyle w:val="Heading3"/>
      </w:pPr>
      <w:r>
        <w:t>Réduire les retours liés aux problèmes de taille</w:t>
      </w:r>
    </w:p>
    <w:p>
      <w:r>
        <w:rPr>
          <w:b/>
          <w:sz w:val="21"/>
        </w:rPr>
        <w:t xml:space="preserve">Constat : </w:t>
      </w:r>
      <w:r>
        <w:rPr>
          <w:sz w:val="21"/>
        </w:rPr>
        <w:t>881 retours (44,1 % du total) sont dus à un problème de taille, pour 30 450 $ remboursés.</w:t>
      </w:r>
    </w:p>
    <w:p>
      <w:r>
        <w:rPr>
          <w:b/>
          <w:sz w:val="21"/>
        </w:rPr>
        <w:t>Actions :</w:t>
      </w:r>
    </w:p>
    <w:p>
      <w:pPr>
        <w:pStyle w:val="ListBullet"/>
        <w:spacing w:after="60"/>
      </w:pPr>
      <w:r>
        <w:rPr>
          <w:sz w:val="21"/>
        </w:rPr>
        <w:t>Publier un guide des tailles détaillé avec les mensurations réelles de chaque référence.</w:t>
      </w:r>
    </w:p>
    <w:p>
      <w:pPr>
        <w:pStyle w:val="ListBullet"/>
        <w:spacing w:after="60"/>
      </w:pPr>
      <w:r>
        <w:rPr>
          <w:sz w:val="21"/>
        </w:rPr>
        <w:t>Ajouter systématiquement des photos portées avec indication de la taille du mannequin.</w:t>
      </w:r>
    </w:p>
    <w:p>
      <w:pPr>
        <w:pStyle w:val="ListBullet"/>
        <w:spacing w:after="60"/>
      </w:pPr>
      <w:r>
        <w:rPr>
          <w:sz w:val="21"/>
        </w:rPr>
        <w:t>Mettre en place un service de conseil taille sur WhatsApp avant validation de commande.</w:t>
      </w:r>
    </w:p>
    <w:p>
      <w:pPr>
        <w:pStyle w:val="ListBullet"/>
        <w:spacing w:after="60"/>
      </w:pPr>
      <w:r>
        <w:rPr>
          <w:sz w:val="21"/>
        </w:rPr>
        <w:t>Traiter en parallèle les 433 retours pour produit défectueux avec les fournisseurs concernés.</w:t>
      </w:r>
    </w:p>
    <w:p>
      <w:r>
        <w:rPr>
          <w:b/>
          <w:sz w:val="21"/>
        </w:rPr>
        <w:t xml:space="preserve">Impact attendu : </w:t>
      </w:r>
      <w:r>
        <w:rPr>
          <w:i/>
          <w:sz w:val="21"/>
        </w:rPr>
        <w:t>Économie estimée entre 18 000 et 24 000 $ par an, sur la base d'une réduction de 60 à 80 % de ce motif.</w:t>
      </w:r>
    </w:p>
    <w:p>
      <w:pPr>
        <w:pStyle w:val="Heading3"/>
      </w:pPr>
      <w:r>
        <w:t>Auditer et réallouer le budget marketing</w:t>
      </w:r>
    </w:p>
    <w:p>
      <w:r>
        <w:rPr>
          <w:b/>
          <w:sz w:val="21"/>
        </w:rPr>
        <w:t xml:space="preserve">Constat : </w:t>
      </w:r>
      <w:r>
        <w:rPr>
          <w:sz w:val="21"/>
        </w:rPr>
        <w:t>Le budget représente 31,3 % du chiffre d'affaires. 55 campagnes affichent un ROAS inférieur à 1, pour 192 944 $ engagés. Le CA attribué dépasse de 36 % le CA réel.</w:t>
      </w:r>
    </w:p>
    <w:p>
      <w:r>
        <w:rPr>
          <w:b/>
          <w:sz w:val="21"/>
        </w:rPr>
        <w:t>Actions :</w:t>
      </w:r>
    </w:p>
    <w:p>
      <w:pPr>
        <w:pStyle w:val="ListBullet"/>
        <w:spacing w:after="60"/>
      </w:pPr>
      <w:r>
        <w:rPr>
          <w:sz w:val="21"/>
        </w:rPr>
        <w:t>Refondre le modèle d'attribution avant toute décision budgétaire : les chiffres actuels sont inexploitables.</w:t>
      </w:r>
    </w:p>
    <w:p>
      <w:pPr>
        <w:pStyle w:val="ListBullet"/>
        <w:spacing w:after="60"/>
      </w:pPr>
      <w:r>
        <w:rPr>
          <w:sz w:val="21"/>
        </w:rPr>
        <w:t>Arrêter immédiatement les 55 campagnes non rentables.</w:t>
      </w:r>
    </w:p>
    <w:p>
      <w:pPr>
        <w:pStyle w:val="ListBullet"/>
        <w:spacing w:after="60"/>
      </w:pPr>
      <w:r>
        <w:rPr>
          <w:sz w:val="21"/>
        </w:rPr>
        <w:t>Réallouer le budget vers WhatsApp Business, meilleur canal en ROAS (9,65) et en coût par conversion (4,02 $).</w:t>
      </w:r>
    </w:p>
    <w:p>
      <w:pPr>
        <w:pStyle w:val="ListBullet"/>
        <w:spacing w:after="60"/>
      </w:pPr>
      <w:r>
        <w:rPr>
          <w:sz w:val="21"/>
        </w:rPr>
        <w:t>Ramener progressivement le budget vers une cible de 12 à 15 % du chiffre d'affaires.</w:t>
      </w:r>
    </w:p>
    <w:p>
      <w:r>
        <w:rPr>
          <w:b/>
          <w:sz w:val="21"/>
        </w:rPr>
        <w:t xml:space="preserve">Impact attendu : </w:t>
      </w:r>
      <w:r>
        <w:rPr>
          <w:i/>
          <w:sz w:val="21"/>
        </w:rPr>
        <w:t>Économie estimée entre 190 000 et 400 000 $, selon l'ampleur du recalibrage.</w:t>
      </w:r>
    </w:p>
    <w:p>
      <w:pPr>
        <w:pStyle w:val="Heading3"/>
      </w:pPr>
      <w:r>
        <w:t>Réviser la politique promotionnelle</w:t>
      </w:r>
    </w:p>
    <w:p>
      <w:r>
        <w:rPr>
          <w:b/>
          <w:sz w:val="21"/>
        </w:rPr>
        <w:t xml:space="preserve">Constat : </w:t>
      </w:r>
      <w:r>
        <w:rPr>
          <w:sz w:val="21"/>
        </w:rPr>
        <w:t>Les commandes sous promotion affichent un panier de 162 $ contre 175 $ hors promotion, et une marge de 31,1 % contre 35,0 %.</w:t>
      </w:r>
    </w:p>
    <w:p>
      <w:r>
        <w:rPr>
          <w:b/>
          <w:sz w:val="21"/>
        </w:rPr>
        <w:t>Actions :</w:t>
      </w:r>
    </w:p>
    <w:p>
      <w:pPr>
        <w:pStyle w:val="ListBullet"/>
        <w:spacing w:after="60"/>
      </w:pPr>
      <w:r>
        <w:rPr>
          <w:sz w:val="21"/>
        </w:rPr>
        <w:t>Cesser les promotions sur les références de classe A, qui se vendent sans incitation.</w:t>
      </w:r>
    </w:p>
    <w:p>
      <w:pPr>
        <w:pStyle w:val="ListBullet"/>
        <w:spacing w:after="60"/>
      </w:pPr>
      <w:r>
        <w:rPr>
          <w:sz w:val="21"/>
        </w:rPr>
        <w:t>Réserver les promotions à l'écoulement du stock dormant de classe C.</w:t>
      </w:r>
    </w:p>
    <w:p>
      <w:pPr>
        <w:pStyle w:val="ListBullet"/>
        <w:spacing w:after="60"/>
      </w:pPr>
      <w:r>
        <w:rPr>
          <w:sz w:val="21"/>
        </w:rPr>
        <w:t>Mesurer systématiquement l'effet incrémental de chaque promotion avant reconduction.</w:t>
      </w:r>
    </w:p>
    <w:p>
      <w:r>
        <w:rPr>
          <w:b/>
          <w:sz w:val="21"/>
        </w:rPr>
        <w:t xml:space="preserve">Impact attendu : </w:t>
      </w:r>
      <w:r>
        <w:rPr>
          <w:i/>
          <w:sz w:val="21"/>
        </w:rPr>
        <w:t>Gain de marge estimé à 3,9 points sur le périmètre concerné, soit environ 36 000 $.</w:t>
      </w:r>
    </w:p>
    <w:p>
      <w:pPr>
        <w:pStyle w:val="Heading3"/>
      </w:pPr>
      <w:r>
        <w:t>Structurer un programme de fidélisation des Champions</w:t>
      </w:r>
    </w:p>
    <w:p>
      <w:r>
        <w:rPr>
          <w:b/>
          <w:sz w:val="21"/>
        </w:rPr>
        <w:t xml:space="preserve">Constat : </w:t>
      </w:r>
      <w:r>
        <w:rPr>
          <w:sz w:val="21"/>
        </w:rPr>
        <w:t>341 clients génèrent 49,2 % du chiffre d'affaires, avec une valeur vie de 6 200 $ contre 843 $ pour les autres clients.</w:t>
      </w:r>
    </w:p>
    <w:p>
      <w:r>
        <w:rPr>
          <w:b/>
          <w:sz w:val="21"/>
        </w:rPr>
        <w:t>Actions :</w:t>
      </w:r>
    </w:p>
    <w:p>
      <w:pPr>
        <w:pStyle w:val="ListBullet"/>
        <w:spacing w:after="60"/>
      </w:pPr>
      <w:r>
        <w:rPr>
          <w:sz w:val="21"/>
        </w:rPr>
        <w:t>Créer un statut privilégié avec accès prioritaire aux nouvelles collections.</w:t>
      </w:r>
    </w:p>
    <w:p>
      <w:pPr>
        <w:pStyle w:val="ListBullet"/>
        <w:spacing w:after="60"/>
      </w:pPr>
      <w:r>
        <w:rPr>
          <w:sz w:val="21"/>
        </w:rPr>
        <w:t>Attribuer un conseiller dédié joignable par WhatsApp.</w:t>
      </w:r>
    </w:p>
    <w:p>
      <w:pPr>
        <w:pStyle w:val="ListBullet"/>
        <w:spacing w:after="60"/>
      </w:pPr>
      <w:r>
        <w:rPr>
          <w:sz w:val="21"/>
        </w:rPr>
        <w:t>Organiser des événements privés lors des lancements de collection.</w:t>
      </w:r>
    </w:p>
    <w:p>
      <w:pPr>
        <w:pStyle w:val="ListBullet"/>
        <w:spacing w:after="60"/>
      </w:pPr>
      <w:r>
        <w:rPr>
          <w:sz w:val="21"/>
        </w:rPr>
        <w:t>Mettre en place une alerte en cas de baisse d'activité d'un client Champion.</w:t>
      </w:r>
    </w:p>
    <w:p>
      <w:r>
        <w:rPr>
          <w:b/>
          <w:sz w:val="21"/>
        </w:rPr>
        <w:t xml:space="preserve">Impact attendu : </w:t>
      </w:r>
      <w:r>
        <w:rPr>
          <w:i/>
          <w:sz w:val="21"/>
        </w:rPr>
        <w:t>Protection d'une assiette de 1,17 M$ de chiffre d'affaires.</w:t>
      </w:r>
    </w:p>
    <w:p>
      <w:pPr>
        <w:pStyle w:val="Heading2"/>
      </w:pPr>
      <w:r>
        <w:t>9.3 Actions à moyen terme (6 à 12 mois)</w:t>
      </w:r>
    </w:p>
    <w:p>
      <w:pPr>
        <w:pStyle w:val="Heading3"/>
      </w:pPr>
      <w:r>
        <w:t>Réactiver les clients perdus et inactifs</w:t>
      </w:r>
    </w:p>
    <w:p>
      <w:r>
        <w:rPr>
          <w:b/>
          <w:sz w:val="21"/>
        </w:rPr>
        <w:t xml:space="preserve">Constat : </w:t>
      </w:r>
      <w:r>
        <w:rPr>
          <w:sz w:val="21"/>
        </w:rPr>
        <w:t>631 clients (31,5 % de la base) sont perdus ou inactifs, et 257 inscrits n'ont jamais commandé.</w:t>
      </w:r>
    </w:p>
    <w:p>
      <w:r>
        <w:rPr>
          <w:b/>
          <w:sz w:val="21"/>
        </w:rPr>
        <w:t>Actions :</w:t>
      </w:r>
    </w:p>
    <w:p>
      <w:pPr>
        <w:pStyle w:val="ListBullet"/>
        <w:spacing w:after="60"/>
      </w:pPr>
      <w:r>
        <w:rPr>
          <w:sz w:val="21"/>
        </w:rPr>
        <w:t>Lancer une campagne de réactivation ciblée par WhatsApp, canal au meilleur retour.</w:t>
      </w:r>
    </w:p>
    <w:p>
      <w:pPr>
        <w:pStyle w:val="ListBullet"/>
        <w:spacing w:after="60"/>
      </w:pPr>
      <w:r>
        <w:rPr>
          <w:sz w:val="21"/>
        </w:rPr>
        <w:t>Analyser le parcours des 257 inscrits sans achat pour identifier le point de blocage.</w:t>
      </w:r>
    </w:p>
    <w:p>
      <w:pPr>
        <w:pStyle w:val="ListBullet"/>
        <w:spacing w:after="60"/>
      </w:pPr>
      <w:r>
        <w:rPr>
          <w:sz w:val="21"/>
        </w:rPr>
        <w:t>Mettre en place une relance automatique à 60 et 120 jours sans commande.</w:t>
      </w:r>
    </w:p>
    <w:p>
      <w:r>
        <w:rPr>
          <w:b/>
          <w:sz w:val="21"/>
        </w:rPr>
        <w:t xml:space="preserve">Impact attendu : </w:t>
      </w:r>
      <w:r>
        <w:rPr>
          <w:i/>
          <w:sz w:val="21"/>
        </w:rPr>
        <w:t>Chiffre d'affaires additionnel estimé entre 80 000 et 150 000 $ par an.</w:t>
      </w:r>
    </w:p>
    <w:p>
      <w:pPr>
        <w:pStyle w:val="Heading3"/>
      </w:pPr>
      <w:r>
        <w:t>Fiabiliser la livraison à domicile</w:t>
      </w:r>
    </w:p>
    <w:p>
      <w:r>
        <w:rPr>
          <w:b/>
          <w:sz w:val="21"/>
        </w:rPr>
        <w:t xml:space="preserve">Constat : </w:t>
      </w:r>
      <w:r>
        <w:rPr>
          <w:sz w:val="21"/>
        </w:rPr>
        <w:t>15,3 % de retard sur 7 776 livraisons. Un retard fait chuter la satisfaction de 3,97 à 2,91 sur 5.</w:t>
      </w:r>
    </w:p>
    <w:p>
      <w:r>
        <w:rPr>
          <w:b/>
          <w:sz w:val="21"/>
        </w:rPr>
        <w:t>Actions :</w:t>
      </w:r>
    </w:p>
    <w:p>
      <w:pPr>
        <w:pStyle w:val="ListBullet"/>
        <w:spacing w:after="60"/>
      </w:pPr>
      <w:r>
        <w:rPr>
          <w:sz w:val="21"/>
        </w:rPr>
        <w:t>Auditer le processus interne de préparation et d'expédition : les trois transporteurs affichant des performances identiques, la cause est interne.</w:t>
      </w:r>
    </w:p>
    <w:p>
      <w:pPr>
        <w:pStyle w:val="ListBullet"/>
        <w:spacing w:after="60"/>
      </w:pPr>
      <w:r>
        <w:rPr>
          <w:sz w:val="21"/>
        </w:rPr>
        <w:t>Fixer un objectif de ponctualité à 95 % et le suivre mensuellement.</w:t>
      </w:r>
    </w:p>
    <w:p>
      <w:pPr>
        <w:pStyle w:val="ListBullet"/>
        <w:spacing w:after="60"/>
      </w:pPr>
      <w:r>
        <w:rPr>
          <w:sz w:val="21"/>
        </w:rPr>
        <w:t>Renforcer l'emballage pour réduire les 209 retours pour dommage au transport.</w:t>
      </w:r>
    </w:p>
    <w:p>
      <w:pPr>
        <w:pStyle w:val="ListBullet"/>
        <w:spacing w:after="60"/>
      </w:pPr>
      <w:r>
        <w:rPr>
          <w:sz w:val="21"/>
        </w:rPr>
        <w:t>Promouvoir le retrait en boutique, qui affiche 0 % de retard et une meilleure satisfaction.</w:t>
      </w:r>
    </w:p>
    <w:p>
      <w:r>
        <w:rPr>
          <w:b/>
          <w:sz w:val="21"/>
        </w:rPr>
        <w:t xml:space="preserve">Impact attendu : </w:t>
      </w:r>
      <w:r>
        <w:rPr>
          <w:i/>
          <w:sz w:val="21"/>
        </w:rPr>
        <w:t>Amélioration attendue de 1,1 point de satisfaction sur les livraisons concernées.</w:t>
      </w:r>
    </w:p>
    <w:p>
      <w:pPr>
        <w:pStyle w:val="Heading3"/>
      </w:pPr>
      <w:r>
        <w:t>Renforcer le contrôle des inventaires</w:t>
      </w:r>
    </w:p>
    <w:p>
      <w:r>
        <w:rPr>
          <w:b/>
          <w:sz w:val="21"/>
        </w:rPr>
        <w:t xml:space="preserve">Constat : </w:t>
      </w:r>
      <w:r>
        <w:rPr>
          <w:sz w:val="21"/>
        </w:rPr>
        <w:t>87,8 % des comptages présentent un écart, pour une perte brute de 13 644 $.</w:t>
      </w:r>
    </w:p>
    <w:p>
      <w:r>
        <w:rPr>
          <w:b/>
          <w:sz w:val="21"/>
        </w:rPr>
        <w:t>Actions :</w:t>
      </w:r>
    </w:p>
    <w:p>
      <w:pPr>
        <w:pStyle w:val="ListBullet"/>
        <w:spacing w:after="60"/>
      </w:pPr>
      <w:r>
        <w:rPr>
          <w:sz w:val="21"/>
        </w:rPr>
        <w:t>Instaurer des inventaires tournants mensuels sur les références de classe A.</w:t>
      </w:r>
    </w:p>
    <w:p>
      <w:pPr>
        <w:pStyle w:val="ListBullet"/>
        <w:spacing w:after="60"/>
      </w:pPr>
      <w:r>
        <w:rPr>
          <w:sz w:val="21"/>
        </w:rPr>
        <w:t>Mettre en place une traçabilité systématique des mouvements de stock.</w:t>
      </w:r>
    </w:p>
    <w:p>
      <w:pPr>
        <w:pStyle w:val="ListBullet"/>
        <w:spacing w:after="60"/>
      </w:pPr>
      <w:r>
        <w:rPr>
          <w:sz w:val="21"/>
        </w:rPr>
        <w:t>Analyser les causes des écarts récurrents par boutique.</w:t>
      </w:r>
    </w:p>
    <w:p>
      <w:r>
        <w:rPr>
          <w:b/>
          <w:sz w:val="21"/>
        </w:rPr>
        <w:t xml:space="preserve">Impact attendu : </w:t>
      </w:r>
      <w:r>
        <w:rPr>
          <w:i/>
          <w:sz w:val="21"/>
        </w:rPr>
        <w:t>Réduction de la démarque estimée entre 10 000 et 14 000 $ par an.</w:t>
      </w:r>
    </w:p>
    <w:p>
      <w:pPr>
        <w:pStyle w:val="Heading3"/>
      </w:pPr>
      <w:r>
        <w:t>Réduire la double concentration du chiffre d'affaires</w:t>
      </w:r>
    </w:p>
    <w:p>
      <w:r>
        <w:rPr>
          <w:b/>
          <w:sz w:val="21"/>
        </w:rPr>
        <w:t xml:space="preserve">Constat : </w:t>
      </w:r>
      <w:r>
        <w:rPr>
          <w:sz w:val="21"/>
        </w:rPr>
        <w:t>Le e-commerce représente 56,7 % du chiffre d'affaires et Kinshasa 79,6 %.</w:t>
      </w:r>
    </w:p>
    <w:p>
      <w:r>
        <w:rPr>
          <w:b/>
          <w:sz w:val="21"/>
        </w:rPr>
        <w:t>Actions :</w:t>
      </w:r>
    </w:p>
    <w:p>
      <w:pPr>
        <w:pStyle w:val="ListBullet"/>
        <w:spacing w:after="60"/>
      </w:pPr>
      <w:r>
        <w:rPr>
          <w:sz w:val="21"/>
        </w:rPr>
        <w:t>Établir un plan de redressement pour les boutiques de Kolwezi (48 289 $) et Mbuji-Mayi (63 806 $).</w:t>
      </w:r>
    </w:p>
    <w:p>
      <w:pPr>
        <w:pStyle w:val="ListBullet"/>
        <w:spacing w:after="60"/>
      </w:pPr>
      <w:r>
        <w:rPr>
          <w:sz w:val="21"/>
        </w:rPr>
        <w:t>Sécuriser techniquement la plateforme e-commerce, dont dépend plus de la moitié de l'activité.</w:t>
      </w:r>
    </w:p>
    <w:p>
      <w:pPr>
        <w:pStyle w:val="ListBullet"/>
        <w:spacing w:after="60"/>
      </w:pPr>
      <w:r>
        <w:rPr>
          <w:sz w:val="21"/>
        </w:rPr>
        <w:t>Développer les canaux Instagram et WhatsApp en province, où les paniers moyens sont les plus élevés.</w:t>
      </w:r>
    </w:p>
    <w:p>
      <w:r>
        <w:rPr>
          <w:b/>
          <w:sz w:val="21"/>
        </w:rPr>
        <w:t xml:space="preserve">Impact attendu : </w:t>
      </w:r>
      <w:r>
        <w:rPr>
          <w:i/>
          <w:sz w:val="21"/>
        </w:rPr>
        <w:t>Réduction du risque de dépendance ; impact non chiffrable directement.</w:t>
      </w:r>
    </w:p>
    <w:p>
      <w:pPr>
        <w:pStyle w:val="Heading3"/>
      </w:pPr>
      <w:r>
        <w:t>Homogénéiser la performance commerciale</w:t>
      </w:r>
    </w:p>
    <w:p>
      <w:r>
        <w:rPr>
          <w:b/>
          <w:sz w:val="21"/>
        </w:rPr>
        <w:t xml:space="preserve">Constat : </w:t>
      </w:r>
      <w:r>
        <w:rPr>
          <w:sz w:val="21"/>
        </w:rPr>
        <w:t>L'écart entre le meilleur et le moins performant des 68 vendeurs actifs atteint un facteur 13,4.</w:t>
      </w:r>
    </w:p>
    <w:p>
      <w:r>
        <w:rPr>
          <w:b/>
          <w:sz w:val="21"/>
        </w:rPr>
        <w:t>Actions :</w:t>
      </w:r>
    </w:p>
    <w:p>
      <w:pPr>
        <w:pStyle w:val="ListBullet"/>
        <w:spacing w:after="60"/>
      </w:pPr>
      <w:r>
        <w:rPr>
          <w:sz w:val="21"/>
        </w:rPr>
        <w:t>Identifier et formaliser les pratiques des vendeurs les plus performants.</w:t>
      </w:r>
    </w:p>
    <w:p>
      <w:pPr>
        <w:pStyle w:val="ListBullet"/>
        <w:spacing w:after="60"/>
      </w:pPr>
      <w:r>
        <w:rPr>
          <w:sz w:val="21"/>
        </w:rPr>
        <w:t>Déployer un plan de formation ciblé sur le tiers le moins performant.</w:t>
      </w:r>
    </w:p>
    <w:p>
      <w:pPr>
        <w:pStyle w:val="ListBullet"/>
        <w:spacing w:after="60"/>
      </w:pPr>
      <w:r>
        <w:rPr>
          <w:sz w:val="21"/>
        </w:rPr>
        <w:t>Développer les accessoires de mode, catégorie à plus forte marge (35,9 %), en vente complémentaire.</w:t>
      </w:r>
    </w:p>
    <w:p>
      <w:r>
        <w:rPr>
          <w:b/>
          <w:sz w:val="21"/>
        </w:rPr>
        <w:t xml:space="preserve">Impact attendu : </w:t>
      </w:r>
      <w:r>
        <w:rPr>
          <w:i/>
          <w:sz w:val="21"/>
        </w:rPr>
        <w:t>Chiffre d'affaires additionnel estimé entre 60 000 et 100 000 $ par an.</w:t>
      </w:r>
    </w:p>
    <w:p>
      <w:pPr>
        <w:pStyle w:val="Heading2"/>
      </w:pPr>
      <w:r>
        <w:t>9.4 Synthèse des impacts estimés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402"/>
            <w:shd w:val="clear" w:fill="2C6E8E"/>
          </w:tcPr>
          <w:p>
            <w:r/>
            <w:r>
              <w:rPr>
                <w:b/>
                <w:color w:val="FFFFFF"/>
                <w:sz w:val="18"/>
              </w:rPr>
              <w:t>Levier</w:t>
            </w:r>
          </w:p>
        </w:tc>
        <w:tc>
          <w:tcPr>
            <w:tcW w:type="dxa" w:w="1928"/>
            <w:shd w:val="clear" w:fill="2C6E8E"/>
          </w:tcPr>
          <w:p>
            <w:r/>
            <w:r>
              <w:rPr>
                <w:b/>
                <w:color w:val="FFFFFF"/>
                <w:sz w:val="18"/>
              </w:rPr>
              <w:t>Nature</w:t>
            </w:r>
          </w:p>
        </w:tc>
        <w:tc>
          <w:tcPr>
            <w:tcW w:type="dxa" w:w="2381"/>
            <w:shd w:val="clear" w:fill="2C6E8E"/>
          </w:tcPr>
          <w:p>
            <w:r/>
            <w:r>
              <w:rPr>
                <w:b/>
                <w:color w:val="FFFFFF"/>
                <w:sz w:val="18"/>
              </w:rPr>
              <w:t>Impact estimé</w:t>
            </w:r>
          </w:p>
        </w:tc>
        <w:tc>
          <w:tcPr>
            <w:tcW w:type="dxa" w:w="1474"/>
            <w:shd w:val="clear" w:fill="2C6E8E"/>
          </w:tcPr>
          <w:p>
            <w:r/>
            <w:r>
              <w:rPr>
                <w:b/>
                <w:color w:val="FFFFFF"/>
                <w:sz w:val="18"/>
              </w:rPr>
              <w:t>Échéance</w:t>
            </w:r>
          </w:p>
        </w:tc>
      </w:tr>
      <w:tr>
        <w:tc>
          <w:tcPr>
            <w:tcW w:type="dxa" w:w="3402"/>
          </w:tcPr>
          <w:p>
            <w:r/>
            <w:r>
              <w:rPr>
                <w:sz w:val="18"/>
              </w:rPr>
              <w:t>Déstockage et gel des approvisionnements</w:t>
            </w:r>
          </w:p>
        </w:tc>
        <w:tc>
          <w:tcPr>
            <w:tcW w:type="dxa" w:w="1928"/>
          </w:tcPr>
          <w:p>
            <w:r/>
            <w:r>
              <w:rPr>
                <w:sz w:val="18"/>
              </w:rPr>
              <w:t>Trésorerie</w:t>
            </w:r>
          </w:p>
        </w:tc>
        <w:tc>
          <w:tcPr>
            <w:tcW w:type="dxa" w:w="2381"/>
          </w:tcPr>
          <w:p>
            <w:r/>
            <w:r>
              <w:rPr>
                <w:sz w:val="18"/>
              </w:rPr>
              <w:t>2 000 000 à 3 000 000 $</w:t>
            </w:r>
          </w:p>
        </w:tc>
        <w:tc>
          <w:tcPr>
            <w:tcW w:type="dxa" w:w="1474"/>
          </w:tcPr>
          <w:p>
            <w:r/>
            <w:r>
              <w:rPr>
                <w:sz w:val="18"/>
              </w:rPr>
              <w:t>Immédiat</w:t>
            </w:r>
          </w:p>
        </w:tc>
      </w:tr>
      <w:tr>
        <w:tc>
          <w:tcPr>
            <w:tcW w:type="dxa" w:w="3402"/>
          </w:tcPr>
          <w:p>
            <w:r/>
            <w:r>
              <w:rPr>
                <w:sz w:val="18"/>
              </w:rPr>
              <w:t>Réallocation du budget marketing</w:t>
            </w:r>
          </w:p>
        </w:tc>
        <w:tc>
          <w:tcPr>
            <w:tcW w:type="dxa" w:w="1928"/>
          </w:tcPr>
          <w:p>
            <w:r/>
            <w:r>
              <w:rPr>
                <w:sz w:val="18"/>
              </w:rPr>
              <w:t>Économie annuelle</w:t>
            </w:r>
          </w:p>
        </w:tc>
        <w:tc>
          <w:tcPr>
            <w:tcW w:type="dxa" w:w="2381"/>
          </w:tcPr>
          <w:p>
            <w:r/>
            <w:r>
              <w:rPr>
                <w:sz w:val="18"/>
              </w:rPr>
              <w:t>190 000 à 400 000 $</w:t>
            </w:r>
          </w:p>
        </w:tc>
        <w:tc>
          <w:tcPr>
            <w:tcW w:type="dxa" w:w="1474"/>
          </w:tcPr>
          <w:p>
            <w:r/>
            <w:r>
              <w:rPr>
                <w:sz w:val="18"/>
              </w:rPr>
              <w:t>3 à 6 mois</w:t>
            </w:r>
          </w:p>
        </w:tc>
      </w:tr>
      <w:tr>
        <w:tc>
          <w:tcPr>
            <w:tcW w:type="dxa" w:w="3402"/>
          </w:tcPr>
          <w:p>
            <w:r/>
            <w:r>
              <w:rPr>
                <w:sz w:val="18"/>
              </w:rPr>
              <w:t>Réactivation des clients inactifs</w:t>
            </w:r>
          </w:p>
        </w:tc>
        <w:tc>
          <w:tcPr>
            <w:tcW w:type="dxa" w:w="1928"/>
          </w:tcPr>
          <w:p>
            <w:r/>
            <w:r>
              <w:rPr>
                <w:sz w:val="18"/>
              </w:rPr>
              <w:t>CA additionnel</w:t>
            </w:r>
          </w:p>
        </w:tc>
        <w:tc>
          <w:tcPr>
            <w:tcW w:type="dxa" w:w="2381"/>
          </w:tcPr>
          <w:p>
            <w:r/>
            <w:r>
              <w:rPr>
                <w:sz w:val="18"/>
              </w:rPr>
              <w:t>80 000 à 150 000 $</w:t>
            </w:r>
          </w:p>
        </w:tc>
        <w:tc>
          <w:tcPr>
            <w:tcW w:type="dxa" w:w="1474"/>
          </w:tcPr>
          <w:p>
            <w:r/>
            <w:r>
              <w:rPr>
                <w:sz w:val="18"/>
              </w:rPr>
              <w:t>6 à 12 mois</w:t>
            </w:r>
          </w:p>
        </w:tc>
      </w:tr>
      <w:tr>
        <w:tc>
          <w:tcPr>
            <w:tcW w:type="dxa" w:w="3402"/>
          </w:tcPr>
          <w:p>
            <w:r/>
            <w:r>
              <w:rPr>
                <w:sz w:val="18"/>
              </w:rPr>
              <w:t>Homogénéisation des vendeurs</w:t>
            </w:r>
          </w:p>
        </w:tc>
        <w:tc>
          <w:tcPr>
            <w:tcW w:type="dxa" w:w="1928"/>
          </w:tcPr>
          <w:p>
            <w:r/>
            <w:r>
              <w:rPr>
                <w:sz w:val="18"/>
              </w:rPr>
              <w:t>CA additionnel</w:t>
            </w:r>
          </w:p>
        </w:tc>
        <w:tc>
          <w:tcPr>
            <w:tcW w:type="dxa" w:w="2381"/>
          </w:tcPr>
          <w:p>
            <w:r/>
            <w:r>
              <w:rPr>
                <w:sz w:val="18"/>
              </w:rPr>
              <w:t>60 000 à 100 000 $</w:t>
            </w:r>
          </w:p>
        </w:tc>
        <w:tc>
          <w:tcPr>
            <w:tcW w:type="dxa" w:w="1474"/>
          </w:tcPr>
          <w:p>
            <w:r/>
            <w:r>
              <w:rPr>
                <w:sz w:val="18"/>
              </w:rPr>
              <w:t>6 à 12 mois</w:t>
            </w:r>
          </w:p>
        </w:tc>
      </w:tr>
      <w:tr>
        <w:tc>
          <w:tcPr>
            <w:tcW w:type="dxa" w:w="3402"/>
          </w:tcPr>
          <w:p>
            <w:r/>
            <w:r>
              <w:rPr>
                <w:sz w:val="18"/>
              </w:rPr>
              <w:t>Révision de la politique promotionnelle</w:t>
            </w:r>
          </w:p>
        </w:tc>
        <w:tc>
          <w:tcPr>
            <w:tcW w:type="dxa" w:w="1928"/>
          </w:tcPr>
          <w:p>
            <w:r/>
            <w:r>
              <w:rPr>
                <w:sz w:val="18"/>
              </w:rPr>
              <w:t>Gain de marge</w:t>
            </w:r>
          </w:p>
        </w:tc>
        <w:tc>
          <w:tcPr>
            <w:tcW w:type="dxa" w:w="2381"/>
          </w:tcPr>
          <w:p>
            <w:r/>
            <w:r>
              <w:rPr>
                <w:sz w:val="18"/>
              </w:rPr>
              <w:t>36 000 $</w:t>
            </w:r>
          </w:p>
        </w:tc>
        <w:tc>
          <w:tcPr>
            <w:tcW w:type="dxa" w:w="1474"/>
          </w:tcPr>
          <w:p>
            <w:r/>
            <w:r>
              <w:rPr>
                <w:sz w:val="18"/>
              </w:rPr>
              <w:t>3 à 6 mois</w:t>
            </w:r>
          </w:p>
        </w:tc>
      </w:tr>
      <w:tr>
        <w:tc>
          <w:tcPr>
            <w:tcW w:type="dxa" w:w="3402"/>
          </w:tcPr>
          <w:p>
            <w:r/>
            <w:r>
              <w:rPr>
                <w:sz w:val="18"/>
              </w:rPr>
              <w:t>Réduction des retours pour taille</w:t>
            </w:r>
          </w:p>
        </w:tc>
        <w:tc>
          <w:tcPr>
            <w:tcW w:type="dxa" w:w="1928"/>
          </w:tcPr>
          <w:p>
            <w:r/>
            <w:r>
              <w:rPr>
                <w:sz w:val="18"/>
              </w:rPr>
              <w:t>Économie annuelle</w:t>
            </w:r>
          </w:p>
        </w:tc>
        <w:tc>
          <w:tcPr>
            <w:tcW w:type="dxa" w:w="2381"/>
          </w:tcPr>
          <w:p>
            <w:r/>
            <w:r>
              <w:rPr>
                <w:sz w:val="18"/>
              </w:rPr>
              <w:t>18 000 à 24 000 $</w:t>
            </w:r>
          </w:p>
        </w:tc>
        <w:tc>
          <w:tcPr>
            <w:tcW w:type="dxa" w:w="1474"/>
          </w:tcPr>
          <w:p>
            <w:r/>
            <w:r>
              <w:rPr>
                <w:sz w:val="18"/>
              </w:rPr>
              <w:t>3 à 6 mois</w:t>
            </w:r>
          </w:p>
        </w:tc>
      </w:tr>
      <w:tr>
        <w:tc>
          <w:tcPr>
            <w:tcW w:type="dxa" w:w="3402"/>
          </w:tcPr>
          <w:p>
            <w:r/>
            <w:r>
              <w:rPr>
                <w:sz w:val="18"/>
              </w:rPr>
              <w:t>Contrôle des inventaires</w:t>
            </w:r>
          </w:p>
        </w:tc>
        <w:tc>
          <w:tcPr>
            <w:tcW w:type="dxa" w:w="1928"/>
          </w:tcPr>
          <w:p>
            <w:r/>
            <w:r>
              <w:rPr>
                <w:sz w:val="18"/>
              </w:rPr>
              <w:t>Réduction de la démarque</w:t>
            </w:r>
          </w:p>
        </w:tc>
        <w:tc>
          <w:tcPr>
            <w:tcW w:type="dxa" w:w="2381"/>
          </w:tcPr>
          <w:p>
            <w:r/>
            <w:r>
              <w:rPr>
                <w:sz w:val="18"/>
              </w:rPr>
              <w:t>10 000 à 14 000 $</w:t>
            </w:r>
          </w:p>
        </w:tc>
        <w:tc>
          <w:tcPr>
            <w:tcW w:type="dxa" w:w="1474"/>
          </w:tcPr>
          <w:p>
            <w:r/>
            <w:r>
              <w:rPr>
                <w:sz w:val="18"/>
              </w:rPr>
              <w:t>6 à 12 mois</w:t>
            </w:r>
          </w:p>
        </w:tc>
      </w:tr>
    </w:tbl>
    <w:p>
      <w:pPr>
        <w:spacing w:after="80"/>
      </w:pPr>
    </w:p>
    <w:p>
      <w:pPr>
        <w:spacing w:after="240"/>
      </w:pPr>
      <w:r>
        <w:rPr>
          <w:b w:val="0"/>
          <w:i w:val="0"/>
          <w:sz w:val="21"/>
        </w:rPr>
        <w:t>Hors effet de trésorerie lié au déstockage, le potentiel d'amélioration annuel du résultat est estimé entre 394 000 et 724 000 $, à rapprocher d'un bénéfice annuel actuel de 203 096 $ (2025). La mise en œuvre des recommandations prioritaires est donc susceptible de transformer significativement la rentabilité de l'entreprise.</w:t>
      </w:r>
    </w:p>
    <w:p>
      <w:pPr>
        <w:pStyle w:val="Heading2"/>
      </w:pPr>
      <w:r>
        <w:t>9.5 Recommandations de gouvernance de la donnée</w:t>
      </w:r>
    </w:p>
    <w:p>
      <w:pPr>
        <w:spacing w:after="80"/>
      </w:pPr>
      <w:r>
        <w:rPr>
          <w:b w:val="0"/>
          <w:i w:val="0"/>
          <w:sz w:val="21"/>
        </w:rPr>
        <w:t>Au-delà des leviers opérationnels, l'analyse a révélé plusieurs faiblesses dans la construction des indicateurs de pilotage. Trois chantiers sont recommandés.</w:t>
      </w:r>
    </w:p>
    <w:p>
      <w:pPr>
        <w:pStyle w:val="ListBullet"/>
        <w:spacing w:after="60"/>
      </w:pPr>
      <w:r>
        <w:rPr>
          <w:sz w:val="21"/>
        </w:rPr>
        <w:t>Corriger les formules de calcul des indicateurs agrégés, en remplaçant les moyennes de pourcentages par des ratios pondérés.</w:t>
      </w:r>
    </w:p>
    <w:p>
      <w:pPr>
        <w:pStyle w:val="ListBullet"/>
        <w:spacing w:after="60"/>
      </w:pPr>
      <w:r>
        <w:rPr>
          <w:sz w:val="21"/>
        </w:rPr>
        <w:t>Refondre le modèle d'attribution marketing, qui attribue actuellement aux campagnes plus de chiffre d'affaires que l'entreprise n'en réalise.</w:t>
      </w:r>
    </w:p>
    <w:p>
      <w:pPr>
        <w:pStyle w:val="ListBullet"/>
        <w:spacing w:after="60"/>
      </w:pPr>
      <w:r>
        <w:rPr>
          <w:sz w:val="21"/>
        </w:rPr>
        <w:t>Mettre en place un tableau de bord unique et partagé, alimenté automatiquement, afin d'éviter la coexistence d'indicateurs divergents.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2C6E8E"/>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C6E8E"/>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