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05" w:rsidRDefault="009C4B05" w:rsidP="009C4B05">
      <w:pPr>
        <w:pStyle w:val="a5"/>
        <w:rPr>
          <w:rFonts w:eastAsiaTheme="minorEastAsia"/>
          <w:iCs/>
        </w:rPr>
      </w:pPr>
      <w:r>
        <w:rPr>
          <w:rFonts w:eastAsiaTheme="minorEastAsia"/>
          <w:iCs/>
        </w:rPr>
        <w:t>Для организации-заказчика:</w:t>
      </w:r>
    </w:p>
    <w:p w:rsidR="009C4B05" w:rsidRDefault="009C4B05" w:rsidP="009C4B05">
      <w:pPr>
        <w:pStyle w:val="a5"/>
        <w:rPr>
          <w:iCs/>
        </w:rPr>
      </w:pPr>
      <w:r>
        <w:rPr>
          <w:iCs/>
        </w:rPr>
        <w:t xml:space="preserve">(экономия на </w:t>
      </w:r>
      <w:proofErr w:type="spellStart"/>
      <w:proofErr w:type="gramStart"/>
      <w:r>
        <w:rPr>
          <w:iCs/>
        </w:rPr>
        <w:t>мат.ресурсах</w:t>
      </w:r>
      <w:proofErr w:type="spellEnd"/>
      <w:proofErr w:type="gramEnd"/>
      <w:r>
        <w:rPr>
          <w:iCs/>
        </w:rPr>
        <w:t>) (7.2)</w:t>
      </w: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без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с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=1,1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0,4</m:t>
                    </m:r>
                  </m:e>
                </m:d>
                <m:r>
                  <w:rPr>
                    <w:rFonts w:ascii="Cambria Math"/>
                    <w:lang w:val="en-US"/>
                  </w:rPr>
                  <m:t>*</m:t>
                </m:r>
                <m:r>
                  <w:rPr>
                    <w:rFonts w:ascii="Cambria Math"/>
                  </w:rPr>
                  <m:t>20</m:t>
                </m:r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1=13,2</m:t>
                </m:r>
                <m:r>
                  <w:rPr>
                    <w:rFonts w:ascii="Cambria Math"/>
                  </w:rPr>
                  <m:t>р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(7.2)</w:t>
            </w:r>
          </w:p>
        </w:tc>
      </w:tr>
    </w:tbl>
    <w:p w:rsidR="009C4B05" w:rsidRDefault="009C4B05" w:rsidP="009C4B05">
      <w:pPr>
        <w:pStyle w:val="a5"/>
        <w:rPr>
          <w:iCs/>
        </w:rPr>
      </w:pPr>
    </w:p>
    <w:p w:rsidR="009C4B05" w:rsidRDefault="009C4B05" w:rsidP="009C4B05">
      <w:pPr>
        <w:pStyle w:val="a5"/>
        <w:rPr>
          <w:iCs/>
        </w:rPr>
      </w:pPr>
      <w:r>
        <w:rPr>
          <w:iCs/>
        </w:rPr>
        <w:t>Расчет показателей экономической эффективности разработки и использования программного средства.</w:t>
      </w:r>
    </w:p>
    <w:p w:rsidR="009C4B05" w:rsidRDefault="009C4B05" w:rsidP="009C4B05">
      <w:pPr>
        <w:pStyle w:val="a5"/>
        <w:rPr>
          <w:iCs/>
        </w:rPr>
      </w:pPr>
      <w:r>
        <w:rPr>
          <w:iCs/>
        </w:rPr>
        <w:t>Для организации разработчика</w:t>
      </w:r>
    </w:p>
    <w:p w:rsidR="009C4B05" w:rsidRDefault="009C4B05" w:rsidP="009C4B05">
      <w:pPr>
        <w:pStyle w:val="a5"/>
        <w:rPr>
          <w:iCs/>
        </w:rPr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р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100%=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3951,63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16465,12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100%=24</m:t>
              </m:r>
            </m:oMath>
            <w:r>
              <w:rPr>
                <w:rFonts w:eastAsiaTheme="minorEastAsia"/>
                <w:iCs/>
              </w:rPr>
              <w:t>%</w:t>
            </w:r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(7.3)</w:t>
            </w:r>
          </w:p>
        </w:tc>
      </w:tr>
    </w:tbl>
    <w:p w:rsidR="009C4B05" w:rsidRDefault="009C4B05" w:rsidP="009C4B05">
      <w:pPr>
        <w:pStyle w:val="a5"/>
        <w:ind w:firstLine="0"/>
        <w:rPr>
          <w:rFonts w:eastAsiaTheme="minorEastAsia"/>
          <w:iCs/>
        </w:rPr>
      </w:pPr>
    </w:p>
    <w:p w:rsidR="009C4B05" w:rsidRDefault="009C4B05" w:rsidP="009C4B05">
      <w:pPr>
        <w:pStyle w:val="a5"/>
        <w:rPr>
          <w:rFonts w:eastAsiaTheme="minorEastAsia"/>
          <w:iCs/>
        </w:rPr>
      </w:pPr>
      <w:r>
        <w:rPr>
          <w:rFonts w:eastAsiaTheme="minorEastAsia"/>
          <w:iCs/>
        </w:rPr>
        <w:t>Для организации заказчика:</w:t>
      </w:r>
    </w:p>
    <w:p w:rsidR="009C4B05" w:rsidRDefault="009C4B05" w:rsidP="009C4B05">
      <w:pPr>
        <w:spacing w:after="0"/>
        <w:ind w:firstLine="709"/>
        <w:jc w:val="both"/>
      </w:pPr>
      <w:r>
        <w:t>Поскольку рентабельность инвестиций меньше 100%, затраты на разработку и реализацию программного модуля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:rsidR="009C4B05" w:rsidRPr="009B2639" w:rsidRDefault="009C4B05" w:rsidP="009C4B05">
      <w:pPr>
        <w:spacing w:after="0"/>
        <w:ind w:firstLine="709"/>
        <w:jc w:val="both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формуле (7.4)</w:t>
      </w:r>
      <w:r w:rsidRPr="009B2639">
        <w:t>:</w:t>
      </w:r>
    </w:p>
    <w:p w:rsidR="009C4B05" w:rsidRDefault="009C4B05" w:rsidP="009C4B05">
      <w:pPr>
        <w:spacing w:after="0"/>
        <w:ind w:firstLine="709"/>
        <w:jc w:val="both"/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t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р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(7.4)</w:t>
            </w:r>
          </w:p>
        </w:tc>
      </w:tr>
    </w:tbl>
    <w:p w:rsidR="009C4B05" w:rsidRPr="009B2639" w:rsidRDefault="009C4B05" w:rsidP="009C4B05">
      <w:pPr>
        <w:pStyle w:val="MTDisplayEquation"/>
        <w:ind w:firstLine="0"/>
        <w:jc w:val="both"/>
        <w:rPr>
          <w:rFonts w:ascii="Times New Roman" w:hAnsi="Times New Roman" w:cs="Times New Roman"/>
        </w:rPr>
      </w:pPr>
      <w:r w:rsidRPr="007A7346">
        <w:br/>
      </w:r>
      <w:r w:rsidRPr="009B2639">
        <w:rPr>
          <w:rFonts w:ascii="Times New Roman" w:hAnsi="Times New Roman" w:cs="Times New Roman"/>
        </w:rPr>
        <w:t>где Е</w:t>
      </w:r>
      <w:r w:rsidRPr="009B2639">
        <w:rPr>
          <w:rFonts w:ascii="Times New Roman" w:hAnsi="Times New Roman" w:cs="Times New Roman"/>
          <w:vertAlign w:val="subscript"/>
        </w:rPr>
        <w:t>н</w:t>
      </w:r>
      <w:r w:rsidRPr="009B2639">
        <w:rPr>
          <w:rFonts w:ascii="Times New Roman" w:hAnsi="Times New Roman" w:cs="Times New Roman"/>
        </w:rPr>
        <w:t xml:space="preserve"> – 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единицы;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</w:rPr>
        <w:t xml:space="preserve"> – порядковый номер года, доходы и затраты которого приводятся к расчетному периоду;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  <w:vertAlign w:val="subscript"/>
        </w:rPr>
        <w:t>р</w:t>
      </w:r>
      <w:r w:rsidRPr="009B2639">
        <w:rPr>
          <w:rFonts w:cs="Times New Roman"/>
        </w:rPr>
        <w:t xml:space="preserve"> – расчетный год, к которому приводятся доходы и инвестиционные затраты (</w:t>
      </w:r>
      <w:r w:rsidRPr="009B2639">
        <w:rPr>
          <w:rFonts w:cs="Times New Roman"/>
          <w:i/>
          <w:iCs/>
          <w:lang w:val="en-US"/>
        </w:rPr>
        <w:t>t</w:t>
      </w:r>
      <w:r w:rsidRPr="009B2639">
        <w:rPr>
          <w:rFonts w:cs="Times New Roman"/>
          <w:vertAlign w:val="subscript"/>
        </w:rPr>
        <w:t>р</w:t>
      </w:r>
      <w:r w:rsidRPr="009B2639">
        <w:rPr>
          <w:rFonts w:cs="Times New Roman"/>
        </w:rPr>
        <w:t xml:space="preserve"> = 1). Требуемая норма дисконта может быть: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1.</w:t>
      </w:r>
      <w:r w:rsidRPr="009B2639">
        <w:rPr>
          <w:rFonts w:cs="Times New Roman"/>
        </w:rPr>
        <w:tab/>
        <w:t>Не ниже ставки рефинансирования Национального банка Республики Беларусь на момент проведения расчетов.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2.</w:t>
      </w:r>
      <w:r w:rsidRPr="009B2639">
        <w:rPr>
          <w:rFonts w:cs="Times New Roman"/>
        </w:rPr>
        <w:tab/>
        <w:t>На уровне или выше ставки по долгосрочным банковским депозитам, если проект финансируется за счет собственных средств.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3.</w:t>
      </w:r>
      <w:r w:rsidRPr="009B2639">
        <w:rPr>
          <w:rFonts w:cs="Times New Roman"/>
        </w:rPr>
        <w:tab/>
        <w:t>На уровне банковской процентной ставки по кредитам, если проект финансируется за счет заемных средств.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Поскольку проект финансируется за счет собственных средств, установим норму дисконта равной 10,89% годовых.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Результаты расчета коэффициентов дисконтирования по годам расчетного периода по формуле (</w:t>
      </w:r>
      <w:r w:rsidRPr="009B2639">
        <w:rPr>
          <w:rFonts w:cs="Times New Roman"/>
          <w:iCs/>
        </w:rPr>
        <w:t>7.4)</w:t>
      </w:r>
      <w:r w:rsidRPr="009B2639">
        <w:rPr>
          <w:rFonts w:cs="Times New Roman"/>
        </w:rPr>
        <w:t xml:space="preserve"> представлены в таблице 7.3.</w:t>
      </w:r>
    </w:p>
    <w:p w:rsidR="009C4B05" w:rsidRPr="009B2639" w:rsidRDefault="009C4B05" w:rsidP="009C4B05">
      <w:pPr>
        <w:spacing w:after="0"/>
        <w:ind w:firstLine="709"/>
        <w:jc w:val="both"/>
        <w:rPr>
          <w:rFonts w:cs="Times New Roman"/>
        </w:rPr>
      </w:pPr>
      <w:r w:rsidRPr="009B2639">
        <w:rPr>
          <w:rFonts w:cs="Times New Roman"/>
        </w:rPr>
        <w:t>Расчет чистого дисконтированного дохода за расчетный период вычисляется по формуле:</w:t>
      </w: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w:lastRenderedPageBreak/>
                  <m:t>ЧДД</m:t>
                </m:r>
                <m:r>
                  <m:rPr>
                    <m:sty m:val="p"/>
                  </m:rPr>
                  <w:rPr>
                    <w:rFonts w:ascii="Cambria Math"/>
                  </w:rPr>
                  <m:t>​</m:t>
                </m:r>
                <m:r>
                  <w:rPr>
                    <w:rFonts w:ascii="Cambria Math"/>
                  </w:rPr>
                  <m:t xml:space="preserve"> (NPV)=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ч</m:t>
                        </m:r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(7.5)</w:t>
            </w:r>
          </w:p>
        </w:tc>
      </w:tr>
    </w:tbl>
    <w:p w:rsidR="009C4B05" w:rsidRDefault="009C4B05" w:rsidP="009C4B05">
      <w:pPr>
        <w:spacing w:after="0"/>
        <w:jc w:val="both"/>
      </w:pPr>
    </w:p>
    <w:p w:rsidR="009C4B05" w:rsidRDefault="009C4B05" w:rsidP="009C4B05">
      <w:pPr>
        <w:spacing w:after="0"/>
        <w:jc w:val="both"/>
      </w:pPr>
      <w:r>
        <w:t>где α</w:t>
      </w:r>
      <w:r w:rsidRPr="00042837">
        <w:rPr>
          <w:i/>
          <w:iCs/>
          <w:vertAlign w:val="subscript"/>
          <w:lang w:val="en-US"/>
        </w:rPr>
        <w:t>t</w:t>
      </w:r>
      <w:r w:rsidRPr="00042837">
        <w:t xml:space="preserve"> – </w:t>
      </w:r>
      <w:r>
        <w:t xml:space="preserve">коэффициент дисконтирования, рассчитанный для года </w:t>
      </w:r>
      <w:r w:rsidRPr="00042837">
        <w:rPr>
          <w:i/>
          <w:iCs/>
          <w:lang w:val="en-US"/>
        </w:rPr>
        <w:t>t</w:t>
      </w:r>
      <w:r w:rsidRPr="00042837">
        <w:t>.</w:t>
      </w:r>
    </w:p>
    <w:p w:rsidR="009C4B05" w:rsidRDefault="009C4B05" w:rsidP="009C4B05">
      <w:pPr>
        <w:spacing w:after="0"/>
        <w:ind w:firstLine="709"/>
        <w:jc w:val="both"/>
      </w:pPr>
      <w:r>
        <w:t>Результаты расчета чистого дисконтированного дохода нарастающим итогом представлены в таблице 7.3.</w:t>
      </w:r>
    </w:p>
    <w:p w:rsidR="009C4B05" w:rsidRDefault="009C4B05" w:rsidP="009C4B05">
      <w:pPr>
        <w:spacing w:after="0"/>
        <w:ind w:firstLine="709"/>
        <w:jc w:val="both"/>
      </w:pPr>
      <w:r>
        <w:t>Расчет дисконтированного срока окупаемости инвестиций (</w:t>
      </w:r>
      <w:r>
        <w:rPr>
          <w:lang w:val="en-US"/>
        </w:rPr>
        <w:t>DPP</w:t>
      </w:r>
      <w:r>
        <w:t>)</w:t>
      </w:r>
      <w:r w:rsidRPr="00830D3F">
        <w:t xml:space="preserve"> </w:t>
      </w:r>
      <w:r>
        <w:t>осуществляется по формуле:</w:t>
      </w:r>
    </w:p>
    <w:p w:rsidR="009C4B05" w:rsidRDefault="009C4B05" w:rsidP="009C4B05">
      <w:pPr>
        <w:spacing w:after="0"/>
        <w:ind w:firstLine="709"/>
        <w:jc w:val="both"/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ч</m:t>
                        </m:r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р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t=1</m:t>
                    </m:r>
                  </m:sub>
                  <m:sup>
                    <m:r>
                      <w:rPr>
                        <w:rFonts w:asci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р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(7.6)</w:t>
            </w:r>
          </w:p>
        </w:tc>
      </w:tr>
    </w:tbl>
    <w:p w:rsidR="009C4B05" w:rsidRDefault="009C4B05" w:rsidP="009C4B05">
      <w:pPr>
        <w:spacing w:after="0"/>
      </w:pPr>
    </w:p>
    <w:p w:rsidR="009C4B05" w:rsidRDefault="009C4B05" w:rsidP="009C4B05">
      <w:pPr>
        <w:spacing w:after="0"/>
        <w:ind w:firstLine="709"/>
        <w:jc w:val="both"/>
      </w:pPr>
      <w:r>
        <w:t>Решая неравенство, получаем, что дисконтированный срок окупаемости равен 3 годам.</w:t>
      </w:r>
    </w:p>
    <w:p w:rsidR="009C4B05" w:rsidRDefault="009C4B05" w:rsidP="009C4B05">
      <w:pPr>
        <w:spacing w:after="0"/>
        <w:ind w:firstLine="709"/>
      </w:pPr>
    </w:p>
    <w:p w:rsidR="009C4B05" w:rsidRDefault="009C4B05" w:rsidP="009C4B05">
      <w:pPr>
        <w:tabs>
          <w:tab w:val="left" w:pos="1843"/>
        </w:tabs>
        <w:spacing w:after="0"/>
        <w:ind w:firstLine="709"/>
      </w:pPr>
      <w:r>
        <w:t xml:space="preserve">Таблица 7.3 – </w:t>
      </w:r>
      <w:r>
        <w:tab/>
        <w:t xml:space="preserve">Расчет эффективности инвестиций в разработку и реализацию </w:t>
      </w:r>
      <w:r>
        <w:tab/>
        <w:t>на рынке программного продукта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2"/>
        <w:gridCol w:w="1277"/>
        <w:gridCol w:w="1417"/>
        <w:gridCol w:w="1269"/>
      </w:tblGrid>
      <w:tr w:rsidR="009C4B05" w:rsidTr="002D4FE2">
        <w:tc>
          <w:tcPr>
            <w:tcW w:w="2880" w:type="pct"/>
            <w:vMerge w:val="restart"/>
            <w:vAlign w:val="center"/>
          </w:tcPr>
          <w:p w:rsidR="009C4B05" w:rsidRDefault="009C4B05" w:rsidP="002D4FE2">
            <w:pPr>
              <w:jc w:val="center"/>
            </w:pPr>
            <w:r>
              <w:t>Показатель</w:t>
            </w:r>
          </w:p>
        </w:tc>
        <w:tc>
          <w:tcPr>
            <w:tcW w:w="2120" w:type="pct"/>
            <w:gridSpan w:val="3"/>
          </w:tcPr>
          <w:p w:rsidR="009C4B05" w:rsidRDefault="009C4B05" w:rsidP="002D4FE2">
            <w:pPr>
              <w:jc w:val="center"/>
            </w:pPr>
            <w:r>
              <w:t>Значение по годам расчетного периода</w:t>
            </w:r>
          </w:p>
        </w:tc>
      </w:tr>
      <w:tr w:rsidR="009C4B05" w:rsidTr="002D4FE2">
        <w:tc>
          <w:tcPr>
            <w:tcW w:w="2880" w:type="pct"/>
            <w:vMerge/>
          </w:tcPr>
          <w:p w:rsidR="009C4B05" w:rsidRDefault="009C4B05" w:rsidP="002D4FE2"/>
        </w:tc>
        <w:tc>
          <w:tcPr>
            <w:tcW w:w="683" w:type="pct"/>
          </w:tcPr>
          <w:p w:rsidR="009C4B05" w:rsidRDefault="009C4B05" w:rsidP="002D4FE2">
            <w:pPr>
              <w:jc w:val="center"/>
            </w:pPr>
            <w:r>
              <w:t>1</w:t>
            </w:r>
          </w:p>
        </w:tc>
        <w:tc>
          <w:tcPr>
            <w:tcW w:w="758" w:type="pct"/>
          </w:tcPr>
          <w:p w:rsidR="009C4B05" w:rsidRDefault="009C4B05" w:rsidP="002D4FE2">
            <w:pPr>
              <w:jc w:val="center"/>
            </w:pPr>
            <w:r>
              <w:t>2</w:t>
            </w:r>
          </w:p>
        </w:tc>
        <w:tc>
          <w:tcPr>
            <w:tcW w:w="679" w:type="pct"/>
          </w:tcPr>
          <w:p w:rsidR="009C4B05" w:rsidRDefault="009C4B05" w:rsidP="002D4FE2">
            <w:pPr>
              <w:jc w:val="center"/>
            </w:pPr>
            <w:r>
              <w:t>3</w:t>
            </w:r>
          </w:p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Результат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1. Прирост чистой прибыли от реализации, р.</w:t>
            </w:r>
          </w:p>
        </w:tc>
        <w:tc>
          <w:tcPr>
            <w:tcW w:w="683" w:type="pct"/>
          </w:tcPr>
          <w:p w:rsidR="009C4B05" w:rsidRPr="00281D45" w:rsidRDefault="009C4B05" w:rsidP="002D4FE2">
            <w:pPr>
              <w:rPr>
                <w:lang w:val="en-US"/>
              </w:rPr>
            </w:pPr>
            <w:r w:rsidRPr="004F7159">
              <w:rPr>
                <w:lang w:val="en-US"/>
              </w:rPr>
              <w:t>3951,63</w:t>
            </w:r>
          </w:p>
        </w:tc>
        <w:tc>
          <w:tcPr>
            <w:tcW w:w="758" w:type="pct"/>
          </w:tcPr>
          <w:p w:rsidR="009C4B05" w:rsidRPr="00281D45" w:rsidRDefault="009C4B05" w:rsidP="002D4FE2">
            <w:pPr>
              <w:rPr>
                <w:lang w:val="en-US"/>
              </w:rPr>
            </w:pPr>
            <w:r w:rsidRPr="004F7159">
              <w:rPr>
                <w:lang w:val="en-US"/>
              </w:rPr>
              <w:t>3951,63</w:t>
            </w:r>
          </w:p>
        </w:tc>
        <w:tc>
          <w:tcPr>
            <w:tcW w:w="679" w:type="pct"/>
          </w:tcPr>
          <w:p w:rsidR="009C4B05" w:rsidRDefault="009C4B05" w:rsidP="002D4FE2">
            <w:r w:rsidRPr="004F7159">
              <w:rPr>
                <w:lang w:val="en-US"/>
              </w:rPr>
              <w:t>3951,63</w:t>
            </w:r>
          </w:p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2 Дисконтированный результат, р.</w:t>
            </w:r>
          </w:p>
        </w:tc>
        <w:tc>
          <w:tcPr>
            <w:tcW w:w="683" w:type="pct"/>
          </w:tcPr>
          <w:p w:rsidR="009C4B05" w:rsidRPr="009B2639" w:rsidRDefault="009C4B05" w:rsidP="002D4FE2">
            <w:pPr>
              <w:rPr>
                <w:lang w:val="en-US"/>
              </w:rPr>
            </w:pPr>
          </w:p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Затраты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3. Инвестиции в разработку программного модуля, р.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4. Дисконтированные инвестиции, р.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5. Чистый дисконтированный доход по годам, р.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6. Чистый дисконтированный доход нарастающим итогом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  <w:tr w:rsidR="009C4B05" w:rsidTr="002D4FE2">
        <w:tc>
          <w:tcPr>
            <w:tcW w:w="2880" w:type="pct"/>
          </w:tcPr>
          <w:p w:rsidR="009C4B05" w:rsidRDefault="009C4B05" w:rsidP="002D4FE2">
            <w:r>
              <w:t>7. Коэффициент дисконтирования, доли единицы</w:t>
            </w:r>
          </w:p>
        </w:tc>
        <w:tc>
          <w:tcPr>
            <w:tcW w:w="683" w:type="pct"/>
          </w:tcPr>
          <w:p w:rsidR="009C4B05" w:rsidRDefault="009C4B05" w:rsidP="002D4FE2"/>
        </w:tc>
        <w:tc>
          <w:tcPr>
            <w:tcW w:w="758" w:type="pct"/>
          </w:tcPr>
          <w:p w:rsidR="009C4B05" w:rsidRDefault="009C4B05" w:rsidP="002D4FE2"/>
        </w:tc>
        <w:tc>
          <w:tcPr>
            <w:tcW w:w="679" w:type="pct"/>
          </w:tcPr>
          <w:p w:rsidR="009C4B05" w:rsidRDefault="009C4B05" w:rsidP="002D4FE2"/>
        </w:tc>
      </w:tr>
    </w:tbl>
    <w:p w:rsidR="009C4B05" w:rsidRDefault="009C4B05" w:rsidP="009C4B05">
      <w:pPr>
        <w:spacing w:after="0"/>
        <w:ind w:firstLine="709"/>
      </w:pPr>
    </w:p>
    <w:p w:rsidR="009C4B05" w:rsidRDefault="009C4B05" w:rsidP="009C4B05">
      <w:pPr>
        <w:spacing w:after="0"/>
        <w:ind w:firstLine="709"/>
        <w:jc w:val="both"/>
      </w:pPr>
      <w:r>
        <w:lastRenderedPageBreak/>
        <w:t>Расчет рентабельности инвестиций без учета фактора времени определяется по формуле:</w:t>
      </w:r>
    </w:p>
    <w:p w:rsidR="009C4B05" w:rsidRDefault="009C4B05" w:rsidP="009C4B05">
      <w:pPr>
        <w:spacing w:after="0"/>
        <w:ind w:firstLine="709"/>
        <w:jc w:val="both"/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</w:rPr>
                      <m:t>и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чср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100%,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(7.7)</w:t>
            </w:r>
          </w:p>
        </w:tc>
      </w:tr>
    </w:tbl>
    <w:p w:rsidR="009C4B05" w:rsidRDefault="009C4B05" w:rsidP="009C4B05">
      <w:pPr>
        <w:spacing w:after="0"/>
      </w:pPr>
    </w:p>
    <w:p w:rsidR="009C4B05" w:rsidRDefault="009C4B05" w:rsidP="009C4B05">
      <w:pPr>
        <w:spacing w:after="0"/>
        <w:ind w:firstLine="709"/>
      </w:pPr>
      <w:r>
        <w:t>где</w:t>
      </w:r>
      <w:r w:rsidRPr="00B0038B">
        <w:t xml:space="preserve"> </w:t>
      </w:r>
      <w:proofErr w:type="spellStart"/>
      <w:r>
        <w:t>П</w:t>
      </w:r>
      <w:r w:rsidRPr="00B0038B">
        <w:rPr>
          <w:vertAlign w:val="subscript"/>
        </w:rPr>
        <w:t>чср</w:t>
      </w:r>
      <w:proofErr w:type="spellEnd"/>
      <w:r>
        <w:t xml:space="preserve"> – среднегодовая чистая прибыль, р.</w:t>
      </w:r>
    </w:p>
    <w:p w:rsidR="009C4B05" w:rsidRDefault="009C4B05" w:rsidP="009C4B05">
      <w:pPr>
        <w:spacing w:after="0"/>
        <w:ind w:firstLine="709"/>
      </w:pPr>
      <w:r>
        <w:t>Получим:</w:t>
      </w:r>
    </w:p>
    <w:p w:rsidR="009C4B05" w:rsidRDefault="009C4B05" w:rsidP="009C4B05">
      <w:pPr>
        <w:spacing w:after="0"/>
        <w:ind w:firstLine="709"/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</w:rPr>
                      <m:t>и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14350</m:t>
                    </m:r>
                  </m:num>
                  <m:den>
                    <m:r>
                      <w:rPr>
                        <w:rFonts w:ascii="Cambria Math"/>
                      </w:rPr>
                      <m:t>31939+0+0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100%=45%.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(7.8)</w:t>
            </w:r>
          </w:p>
        </w:tc>
      </w:tr>
    </w:tbl>
    <w:p w:rsidR="009C4B05" w:rsidRPr="000A3B1C" w:rsidRDefault="009C4B05" w:rsidP="009C4B05">
      <w:pPr>
        <w:spacing w:after="0"/>
        <w:rPr>
          <w:lang w:val="en-US"/>
        </w:rPr>
      </w:pPr>
    </w:p>
    <w:p w:rsidR="009C4B05" w:rsidRDefault="009C4B05" w:rsidP="009C4B05">
      <w:pPr>
        <w:spacing w:after="0"/>
        <w:ind w:firstLine="709"/>
      </w:pPr>
      <w:r>
        <w:t>Расчет срока окупаемости без учета фактора времени производится по формуле</w:t>
      </w:r>
      <w:r>
        <w:br/>
      </w: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60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ок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ср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(7.9)</w:t>
            </w:r>
          </w:p>
        </w:tc>
      </w:tr>
    </w:tbl>
    <w:p w:rsidR="009C4B05" w:rsidRDefault="009C4B05" w:rsidP="009C4B05">
      <w:pPr>
        <w:spacing w:after="0"/>
      </w:pPr>
    </w:p>
    <w:p w:rsidR="009C4B05" w:rsidRDefault="009C4B05" w:rsidP="009C4B05">
      <w:pPr>
        <w:spacing w:after="0"/>
      </w:pPr>
      <w:r w:rsidRPr="00B0038B">
        <w:t>где n – расчетный период, количество лет,</w:t>
      </w:r>
    </w:p>
    <w:p w:rsidR="009C4B05" w:rsidRDefault="009C4B05" w:rsidP="009C4B05">
      <w:pPr>
        <w:spacing w:after="0"/>
        <w:ind w:firstLine="709"/>
      </w:pPr>
      <w:r w:rsidRPr="00B0038B">
        <w:t>З</w:t>
      </w:r>
      <w:r>
        <w:rPr>
          <w:i/>
          <w:iCs/>
          <w:vertAlign w:val="subscript"/>
          <w:lang w:val="en-US"/>
        </w:rPr>
        <w:t>t</w:t>
      </w:r>
      <w:r w:rsidRPr="00B0038B">
        <w:t xml:space="preserve"> – затраты в году t, р.;</w:t>
      </w:r>
    </w:p>
    <w:p w:rsidR="009C4B05" w:rsidRDefault="009C4B05" w:rsidP="009C4B05">
      <w:pPr>
        <w:spacing w:after="0"/>
        <w:ind w:firstLine="709"/>
      </w:pPr>
      <w:proofErr w:type="spellStart"/>
      <w:r w:rsidRPr="00B0038B">
        <w:t>Р</w:t>
      </w:r>
      <w:r w:rsidRPr="00B0038B">
        <w:rPr>
          <w:vertAlign w:val="subscript"/>
        </w:rPr>
        <w:t>ср</w:t>
      </w:r>
      <w:proofErr w:type="spellEnd"/>
      <w:r w:rsidRPr="00B0038B">
        <w:t xml:space="preserve"> – среднегодовая сумма экономического эффекта, р.</w:t>
      </w:r>
    </w:p>
    <w:p w:rsidR="009C4B05" w:rsidRDefault="009C4B05" w:rsidP="009C4B05">
      <w:pPr>
        <w:spacing w:after="0"/>
        <w:ind w:firstLine="709"/>
      </w:pPr>
      <w:r>
        <w:t>Получим:</w:t>
      </w:r>
    </w:p>
    <w:p w:rsidR="009C4B05" w:rsidRDefault="009C4B05" w:rsidP="009C4B05">
      <w:pPr>
        <w:pStyle w:val="MTDisplayEquation"/>
        <w:ind w:firstLine="0"/>
        <w:jc w:val="left"/>
      </w:pPr>
    </w:p>
    <w:tbl>
      <w:tblPr>
        <w:tblStyle w:val="a3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6"/>
        <w:gridCol w:w="883"/>
      </w:tblGrid>
      <w:tr w:rsidR="009C4B05" w:rsidTr="002D4FE2">
        <w:trPr>
          <w:trHeight w:val="635"/>
        </w:trPr>
        <w:tc>
          <w:tcPr>
            <w:tcW w:w="8619" w:type="dxa"/>
            <w:vAlign w:val="center"/>
          </w:tcPr>
          <w:p w:rsidR="009C4B05" w:rsidRPr="00A85191" w:rsidRDefault="009C4B05" w:rsidP="002D4FE2">
            <w:pPr>
              <w:pStyle w:val="a5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ок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31939+0+0</m:t>
                    </m:r>
                  </m:num>
                  <m:den>
                    <m:r>
                      <w:rPr>
                        <w:rFonts w:ascii="Cambria Math"/>
                      </w:rPr>
                      <m:t>14350</m:t>
                    </m:r>
                  </m:den>
                </m:f>
                <m:r>
                  <w:rPr>
                    <w:rFonts w:ascii="Cambria Math"/>
                  </w:rPr>
                  <m:t>=2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,2 </m:t>
                </m:r>
                <m:r>
                  <m:rPr>
                    <m:nor/>
                  </m:rPr>
                  <w:rPr>
                    <w:rFonts w:ascii="Cambria Math"/>
                  </w:rPr>
                  <m:t>года</m:t>
                </m:r>
                <m:r>
                  <m:rPr>
                    <m:nor/>
                  </m:rP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60" w:type="dxa"/>
            <w:vAlign w:val="center"/>
          </w:tcPr>
          <w:p w:rsidR="009C4B05" w:rsidRPr="00A85191" w:rsidRDefault="009C4B05" w:rsidP="002D4FE2">
            <w:pPr>
              <w:pStyle w:val="a5"/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(7.10)</w:t>
            </w:r>
          </w:p>
        </w:tc>
      </w:tr>
    </w:tbl>
    <w:p w:rsidR="00DE2AEA" w:rsidRDefault="00DE2AEA">
      <w:bookmarkStart w:id="0" w:name="_GoBack"/>
      <w:bookmarkEnd w:id="0"/>
    </w:p>
    <w:sectPr w:rsidR="00DE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05"/>
    <w:rsid w:val="009C4B05"/>
    <w:rsid w:val="00D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68206-AC90-4DC5-8C49-F5CFBAD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4B05"/>
    <w:pPr>
      <w:spacing w:after="20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B05"/>
    <w:pPr>
      <w:spacing w:after="0" w:line="240" w:lineRule="auto"/>
    </w:pPr>
    <w:rPr>
      <w:rFonts w:asciiTheme="minorHAnsi" w:eastAsia="Arial" w:hAnsiTheme="minorHAnsi" w:cstheme="minorHAnsi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9C4B05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0"/>
    <w:link w:val="MTDisplayEquation"/>
    <w:rsid w:val="009C4B05"/>
    <w:rPr>
      <w:rFonts w:asciiTheme="minorHAnsi" w:eastAsia="Arial" w:hAnsiTheme="minorHAnsi" w:cstheme="minorHAnsi"/>
      <w:szCs w:val="28"/>
      <w:lang w:val="ru-RU"/>
    </w:rPr>
  </w:style>
  <w:style w:type="character" w:customStyle="1" w:styleId="a4">
    <w:name w:val="Абзац. Основной текст Знак"/>
    <w:basedOn w:val="a0"/>
    <w:link w:val="a5"/>
    <w:locked/>
    <w:rsid w:val="009C4B05"/>
    <w:rPr>
      <w:rFonts w:cs="Times New Roman"/>
      <w:szCs w:val="28"/>
    </w:rPr>
  </w:style>
  <w:style w:type="paragraph" w:customStyle="1" w:styleId="a5">
    <w:name w:val="Абзац. Основной текст"/>
    <w:basedOn w:val="a"/>
    <w:link w:val="a4"/>
    <w:qFormat/>
    <w:rsid w:val="009C4B05"/>
    <w:pPr>
      <w:widowControl w:val="0"/>
      <w:spacing w:after="0"/>
      <w:ind w:firstLine="709"/>
      <w:jc w:val="both"/>
    </w:pPr>
    <w:rPr>
      <w:rFonts w:cs="Times New Roman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sandros</dc:creator>
  <cp:keywords/>
  <dc:description/>
  <cp:lastModifiedBy>alba sandros</cp:lastModifiedBy>
  <cp:revision>1</cp:revision>
  <dcterms:created xsi:type="dcterms:W3CDTF">2022-04-11T11:04:00Z</dcterms:created>
  <dcterms:modified xsi:type="dcterms:W3CDTF">2022-04-11T11:04:00Z</dcterms:modified>
</cp:coreProperties>
</file>