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143000"/>
                    </a:xfrm>
                    <a:prstGeom prst="rect">
                      <a:avLst/>
                    </a:prstGeom>
                  </pic:spPr>
                </pic:pic>
              </a:graphicData>
            </a:graphic>
          </wp:inline>
        </w:drawing>
      </w:r>
    </w:p>
    <w:p>
      <w:pPr>
        <w:spacing w:before="0" w:after="60"/>
        <w:jc w:val="center"/>
      </w:pPr>
      <w:r>
        <w:rPr>
          <w:rFonts w:ascii="Arial" w:cs="Arial" w:eastAsia="Arial" w:hAnsi="Arial"/>
          <w:b/>
          <w:bCs/>
          <w:color w:val="C9A227"/>
          <w:spacing w:val="200"/>
          <w:sz w:val="18"/>
          <w:szCs w:val="18"/>
        </w:rPr>
        <w:t xml:space="preserve">BY NXGEN</w:t>
      </w:r>
    </w:p>
    <w:p>
      <w:pPr>
        <w:spacing w:before="0" w:after="480"/>
      </w:pPr>
      <w:r>
        <w:t xml:space="preserve"/>
      </w:r>
    </w:p>
    <w:p>
      <w:pPr>
        <w:spacing w:before="0" w:after="80"/>
        <w:jc w:val="center"/>
      </w:pPr>
      <w:r>
        <w:rPr>
          <w:rFonts w:ascii="Arial" w:cs="Arial" w:eastAsia="Arial" w:hAnsi="Arial"/>
          <w:b/>
          <w:bCs/>
          <w:color w:val="1A1C2E"/>
          <w:sz w:val="56"/>
          <w:szCs w:val="56"/>
        </w:rPr>
        <w:t xml:space="preserve">NXGEN Technology AG</w:t>
      </w:r>
    </w:p>
    <w:p>
      <w:pPr>
        <w:pBdr>
          <w:bottom w:val="single" w:color="C9A227" w:sz="6" w:space="4"/>
        </w:pBdr>
        <w:spacing w:before="0" w:after="120"/>
        <w:jc w:val="center"/>
      </w:pPr>
      <w:r>
        <w:rPr>
          <w:rFonts w:ascii="Arial" w:cs="Arial" w:eastAsia="Arial" w:hAnsi="Arial"/>
          <w:color w:val="C9A227"/>
          <w:sz w:val="28"/>
          <w:szCs w:val="28"/>
        </w:rPr>
        <w:t xml:space="preserve">GCXONE Security Management Platform</w:t>
      </w:r>
    </w:p>
    <w:p>
      <w:pPr>
        <w:spacing w:before="0" w:after="400"/>
      </w:pPr>
      <w:r>
        <w:t xml:space="preserve"/>
      </w:r>
    </w:p>
    <w:p>
      <w:pPr>
        <w:spacing w:before="0" w:after="80"/>
        <w:jc w:val="center"/>
      </w:pPr>
      <w:r>
        <w:rPr>
          <w:rFonts w:ascii="Arial" w:cs="Arial" w:eastAsia="Arial" w:hAnsi="Arial"/>
          <w:color w:val="2C2C2C"/>
          <w:sz w:val="20"/>
          <w:szCs w:val="20"/>
        </w:rPr>
        <w:t xml:space="preserve">© 2026 NXGEN Technology AG. All rights reserved.</w:t>
      </w:r>
    </w:p>
    <w:p>
      <w:pPr>
        <w:spacing w:before="0" w:after="80"/>
        <w:jc w:val="center"/>
      </w:pPr>
      <w:r>
        <w:rPr>
          <w:rFonts w:ascii="Arial" w:cs="Arial" w:eastAsia="Arial" w:hAnsi="Arial"/>
          <w:color w:val="888888"/>
          <w:sz w:val="18"/>
          <w:szCs w:val="18"/>
        </w:rPr>
        <w:t xml:space="preserve">This document is the property of NXGEN Technology AG. No part of this publication may be reproduced, distributed, or transmitted in any form or by any means without the prior written permission of NXGEN Technology AG.</w:t>
      </w:r>
    </w:p>
    <w:p>
      <w:pPr>
        <w:spacing w:before="0" w:after="800"/>
      </w:pPr>
      <w:r>
        <w:t xml:space="preserve"/>
      </w:r>
    </w:p>
    <w:p>
      <w:pPr>
        <w:spacing w:before="0" w:after="0"/>
        <w:jc w:val="center"/>
      </w:pPr>
      <w:r>
        <w:rPr>
          <w:rFonts w:ascii="Arial" w:cs="Arial" w:eastAsia="Arial" w:hAnsi="Arial"/>
          <w:color w:val="888888"/>
          <w:sz w:val="18"/>
          <w:szCs w:val="18"/>
        </w:rPr>
        <w:t xml:space="preserve">GCXONE Security Management Platform  |  NXGEN Technology AG</w:t>
      </w:r>
    </w:p>
    <w:p>
      <w:pPr>
        <w:sectPr>
          <w:pgSz w:w="12240" w:h="15840" w:orient="portrait"/>
          <w:pgMar w:top="1440" w:right="1440" w:bottom="1440" w:left="1440" w:header="708" w:footer="708" w:gutter="0"/>
          <w:pgNumType/>
          <w:titlePg w:val="false"/>
          <w:docGrid w:linePitch="360"/>
        </w:sectPr>
      </w:pPr>
    </w:p>
    <w:p/>
    <w:sectPr>
      <w:headerReference w:type="default" r:id="rId6"/>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4"/>
      </w:pBdr>
      <w:tabs>
        <w:tab w:val="right" w:pos="9360"/>
      </w:tabs>
      <w:spacing w:before="80" w:after="0"/>
    </w:pPr>
    <w:r>
      <w:rPr>
        <w:rFonts w:ascii="Arial" w:cs="Arial" w:eastAsia="Arial" w:hAnsi="Arial"/>
        <w:color w:val="888888"/>
        <w:sz w:val="16"/>
        <w:szCs w:val="16"/>
      </w:rPr>
      <w:t xml:space="preserve">GCXONE Security Management Platform  |  NXGEN Technology AG</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spacing w:before="0" w:after="120"/>
    </w:pPr>
    <w:r>
      <w:drawing>
        <wp:inline distT="0" distB="0" distL="0" distR="0">
          <wp:extent cx="4572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 cy="304800"/>
                  </a:xfrm>
                  <a:prstGeom prst="rect">
                    <a:avLst/>
                  </a:prstGeom>
                </pic:spPr>
              </pic:pic>
            </a:graphicData>
          </a:graphic>
        </wp:inline>
      </w:drawing>
    </w:r>
    <w:r>
      <w:rPr>
        <w:rFonts w:ascii="Arial" w:cs="Arial" w:eastAsia="Arial" w:hAnsi="Arial"/>
        <w:b/>
        <w:bCs/>
        <w:color w:val="1A1C2E"/>
        <w:sz w:val="18"/>
        <w:szCs w:val="18"/>
      </w:rPr>
      <w:t xml:space="preserve">   GCXONE  </w:t>
    </w:r>
    <w:r>
      <w:rPr>
        <w:rFonts w:ascii="Arial" w:cs="Arial" w:eastAsia="Arial" w:hAnsi="Arial"/>
        <w:color w:val="888888"/>
        <w:sz w:val="18"/>
        <w:szCs w:val="18"/>
      </w:rPr>
      <w:t xml:space="preserve">NXGEN Technology 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9A227" w:sz="6" w:space="4"/>
      </w:pBdr>
      <w:spacing w:before="360" w:after="120"/>
      <w:outlineLvl w:val="0"/>
    </w:pPr>
    <w:rPr>
      <w:rFonts w:ascii="Arial" w:cs="Arial" w:eastAsia="Arial" w:hAnsi="Arial"/>
      <w:b/>
      <w:bCs/>
      <w:color w:val="C9A227"/>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A1C2E"/>
      <w:sz w:val="24"/>
      <w:szCs w:val="24"/>
    </w:rPr>
  </w:style>
  <w:style w:type="paragraph" w:styleId="Heading3">
    <w:name w:val="Heading 3"/>
    <w:basedOn w:val="Normal"/>
    <w:next w:val="Normal"/>
    <w:qFormat/>
    <w:pPr>
      <w:spacing w:before="180" w:after="60"/>
      <w:outlineLvl w:val="2"/>
    </w:pPr>
    <w:rPr>
      <w:rFonts w:ascii="Arial" w:cs="Arial" w:eastAsia="Arial" w:hAnsi="Arial"/>
      <w:b/>
      <w:bCs/>
      <w:color w:val="2C2C2C"/>
      <w:sz w:val="22"/>
      <w:szCs w:val="22"/>
    </w:rPr>
  </w:style>
  <w:style w:type="paragraph" w:styleId="Caption">
    <w:name w:val="Caption"/>
    <w:basedOn w:val="Normal"/>
    <w:next w:val="Normal"/>
    <w:pPr>
      <w:spacing w:before="0" w:after="80"/>
    </w:pPr>
    <w:rPr>
      <w:rFonts w:ascii="Arial" w:cs="Arial" w:eastAsia="Arial" w:hAnsi="Arial"/>
      <w:color w:val="888888"/>
      <w:sz w:val="18"/>
      <w:szCs w:val="18"/>
    </w:rPr>
  </w:style>
  <w:style w:type="paragraph" w:styleId="CalloutBox">
    <w:name w:val="Callout Box"/>
    <w:basedOn w:val="Normal"/>
    <w:next w:val="Normal"/>
    <w:pPr>
      <w:spacing w:before="0" w:after="60"/>
    </w:pPr>
    <w:rPr>
      <w:rFonts w:ascii="Arial" w:cs="Arial" w:eastAsia="Arial" w:hAnsi="Arial"/>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fbc5e66209d59c1209f9b2a895d86712639125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fbc5e66209d59c1209f9b2a895d86712639125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2026-03-14T20:10:43.147Z</dcterms:created>
  <dcterms:modified xsi:type="dcterms:W3CDTF">2026-03-14T20:10:43.148Z</dcterms:modified>
</cp:coreProperties>
</file>

<file path=docProps/custom.xml><?xml version="1.0" encoding="utf-8"?>
<Properties xmlns="http://schemas.openxmlformats.org/officeDocument/2006/custom-properties" xmlns:vt="http://schemas.openxmlformats.org/officeDocument/2006/docPropsVTypes"/>
</file>