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 BBVA IMM Exposures Back Testing</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747" w:right="0" w:hanging="360"/>
        <w:jc w:val="left"/>
        <w:rPr>
          <w:rFonts w:ascii="BBVABentonSans" w:cs="BBVABentonSans" w:eastAsia="BBVABentonSans" w:hAnsi="BBVABentonSans"/>
          <w:b w:val="0"/>
          <w:i w:val="0"/>
          <w:smallCaps w:val="0"/>
          <w:strike w:val="0"/>
          <w:color w:val="125689"/>
          <w:sz w:val="32"/>
          <w:szCs w:val="32"/>
          <w:u w:val="none"/>
          <w:shd w:fill="auto" w:val="clear"/>
          <w:vertAlign w:val="baseline"/>
        </w:rPr>
      </w:pPr>
      <w:r w:rsidDel="00000000" w:rsidR="00000000" w:rsidRPr="00000000">
        <w:rPr>
          <w:rFonts w:ascii="BBVABentonSans" w:cs="BBVABentonSans" w:eastAsia="BBVABentonSans" w:hAnsi="BBVABentonSans"/>
          <w:b w:val="0"/>
          <w:i w:val="0"/>
          <w:smallCaps w:val="0"/>
          <w:strike w:val="0"/>
          <w:color w:val="125689"/>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65"/>
              <w:tab w:val="right" w:leader="none" w:pos="10206"/>
            </w:tabs>
            <w:spacing w:after="100" w:before="0" w:line="264" w:lineRule="auto"/>
            <w:ind w:left="426" w:right="0" w:hanging="426"/>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1.</w:t>
            </w:r>
          </w:hyperlink>
          <w:hyperlink w:anchor="_heading=h.30j0zll">
            <w:r w:rsidDel="00000000" w:rsidR="00000000" w:rsidRPr="00000000">
              <w:rPr>
                <w:rFonts w:ascii="BBVABentonSansLight" w:cs="BBVABentonSansLight" w:eastAsia="BBVABentonSansLight" w:hAnsi="BBVABentonSansLight"/>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Introduction and Motivation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65"/>
              <w:tab w:val="right" w:leader="none" w:pos="10206"/>
            </w:tabs>
            <w:spacing w:after="100" w:before="0" w:line="264" w:lineRule="auto"/>
            <w:ind w:left="426" w:right="0" w:hanging="426"/>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1fob9te">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2.</w:t>
            </w:r>
          </w:hyperlink>
          <w:hyperlink w:anchor="_heading=h.1fob9te">
            <w:r w:rsidDel="00000000" w:rsidR="00000000" w:rsidRPr="00000000">
              <w:rPr>
                <w:rFonts w:ascii="BBVABentonSansLight" w:cs="BBVABentonSansLight" w:eastAsia="BBVABentonSansLight" w:hAnsi="BBVABentonSansLight"/>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Methodology and Calculation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3znysh7">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2.1. Methodology</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2et92p0">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2.2. p-Envelope Computation</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tyjcwt">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2.3. </w:t>
            </w:r>
          </w:hyperlink>
          <m:oMath>
            <m:r>
              <m:t>τ</m:t>
            </m:r>
          </m:oMath>
          <w:hyperlink w:anchor="_heading=h.tyjcwt">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Statistic Computation</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3dy6vkm">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2.4. Color Bands</w:t>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65"/>
              <w:tab w:val="right" w:leader="none" w:pos="10206"/>
            </w:tabs>
            <w:spacing w:after="100" w:before="0" w:line="264" w:lineRule="auto"/>
            <w:ind w:left="426" w:right="0" w:hanging="426"/>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1t3h5sf">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3.</w:t>
            </w:r>
          </w:hyperlink>
          <w:hyperlink w:anchor="_heading=h.1t3h5sf">
            <w:r w:rsidDel="00000000" w:rsidR="00000000" w:rsidRPr="00000000">
              <w:rPr>
                <w:rFonts w:ascii="BBVABentonSansLight" w:cs="BBVABentonSansLight" w:eastAsia="BBVABentonSansLight" w:hAnsi="BBVABentonSansLight"/>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Parameters Effect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4d34og8">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3.1. Time Steps Width</w:t>
              <w:tab/>
              <w:t xml:space="preserve">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2s8eyo1">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3.2. Back Testing Time Horizon</w:t>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17dp8vu">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3.3. </w:t>
            </w:r>
          </w:hyperlink>
          <m:oMath>
            <m:r>
              <w:rPr>
                <w:rFonts w:ascii="Cambria Math" w:cs="Cambria Math" w:eastAsia="Cambria Math" w:hAnsi="Cambria Math"/>
                <w:b w:val="0"/>
                <w:i w:val="0"/>
                <w:smallCaps w:val="0"/>
                <w:strike w:val="0"/>
                <w:color w:val="004481"/>
                <w:sz w:val="24"/>
                <w:szCs w:val="24"/>
                <w:u w:val="single"/>
                <w:shd w:fill="auto" w:val="clear"/>
                <w:vertAlign w:val="baseline"/>
              </w:rPr>
              <m:t xml:space="preserve">p</m:t>
            </m:r>
          </m:oMath>
          <w:hyperlink w:anchor="_heading=h.17dp8vu">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Parameter</w:t>
              <w:tab/>
              <w:t xml:space="preserve">12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3rdcrjn">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3.4. </w:t>
            </w:r>
          </w:hyperlink>
          <m:oMath>
            <m:r>
              <w:rPr>
                <w:rFonts w:ascii="Cambria Math" w:cs="Cambria Math" w:eastAsia="Cambria Math" w:hAnsi="Cambria Math"/>
                <w:b w:val="0"/>
                <w:i w:val="0"/>
                <w:smallCaps w:val="0"/>
                <w:strike w:val="0"/>
                <w:color w:val="004481"/>
                <w:sz w:val="24"/>
                <w:szCs w:val="24"/>
                <w:u w:val="single"/>
                <w:shd w:fill="auto" w:val="clear"/>
                <w:vertAlign w:val="baseline"/>
              </w:rPr>
              <m:t xml:space="preserve">pb</m:t>
            </m:r>
          </m:oMath>
          <w:hyperlink w:anchor="_heading=h.3rdcrjn">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w:t>
            </w:r>
          </w:hyperlink>
          <m:oMath>
            <m:r>
              <w:rPr>
                <w:rFonts w:ascii="Cambria Math" w:cs="Cambria Math" w:eastAsia="Cambria Math" w:hAnsi="Cambria Math"/>
                <w:b w:val="0"/>
                <w:i w:val="0"/>
                <w:smallCaps w:val="0"/>
                <w:strike w:val="0"/>
                <w:color w:val="004481"/>
                <w:sz w:val="24"/>
                <w:szCs w:val="24"/>
                <w:u w:val="single"/>
                <w:shd w:fill="auto" w:val="clear"/>
                <w:vertAlign w:val="baseline"/>
              </w:rPr>
              <m:t xml:space="preserve">pc</m:t>
            </m:r>
          </m:oMath>
          <w:hyperlink w:anchor="_heading=h.3rdcrjn">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Parameters</w:t>
              <w:tab/>
              <w:t xml:space="preserve">12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65"/>
              <w:tab w:val="right" w:leader="none" w:pos="10206"/>
            </w:tabs>
            <w:spacing w:after="100" w:before="0" w:line="264" w:lineRule="auto"/>
            <w:ind w:left="426" w:right="0" w:hanging="426"/>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26in1rg">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4.</w:t>
            </w:r>
          </w:hyperlink>
          <w:hyperlink w:anchor="_heading=h.26in1rg">
            <w:r w:rsidDel="00000000" w:rsidR="00000000" w:rsidRPr="00000000">
              <w:rPr>
                <w:rFonts w:ascii="BBVABentonSansLight" w:cs="BBVABentonSansLight" w:eastAsia="BBVABentonSansLight" w:hAnsi="BBVABentonSansLight"/>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Backtesting with a Real Portfolio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65"/>
              <w:tab w:val="right" w:leader="none" w:pos="10206"/>
            </w:tabs>
            <w:spacing w:after="100" w:before="0" w:line="264" w:lineRule="auto"/>
            <w:ind w:left="426" w:right="0" w:hanging="426"/>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35nkun2">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5.</w:t>
            </w:r>
          </w:hyperlink>
          <w:hyperlink w:anchor="_heading=h.35nkun2">
            <w:r w:rsidDel="00000000" w:rsidR="00000000" w:rsidRPr="00000000">
              <w:rPr>
                <w:rFonts w:ascii="BBVABentonSansLight" w:cs="BBVABentonSansLight" w:eastAsia="BBVABentonSansLight" w:hAnsi="BBVABentonSansLight"/>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BBVABentonSans" w:cs="BBVABentonSans" w:eastAsia="BBVABentonSans" w:hAnsi="BBVABentonSans"/>
              <w:b w:val="0"/>
              <w:i w:val="0"/>
              <w:smallCaps w:val="0"/>
              <w:strike w:val="0"/>
              <w:color w:val="072146"/>
              <w:sz w:val="28"/>
              <w:szCs w:val="28"/>
              <w:u w:val="none"/>
              <w:shd w:fill="auto" w:val="clear"/>
              <w:vertAlign w:val="baseline"/>
              <w:rtl w:val="0"/>
            </w:rPr>
            <w:t xml:space="preserve">Example Results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1ksv4uv">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3.2. Example 1: Two Forwards</w:t>
              <w:tab/>
              <w:t xml:space="preserve">15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44sinio">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3.3. Example 2: A Call Option</w:t>
              <w:tab/>
              <w:t xml:space="preserve">17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10206"/>
            </w:tabs>
            <w:spacing w:after="100" w:before="0" w:line="264" w:lineRule="auto"/>
            <w:ind w:left="993" w:right="0" w:hanging="567"/>
            <w:jc w:val="left"/>
            <w:rPr>
              <w:rFonts w:ascii="BBVABentonSansLight" w:cs="BBVABentonSansLight" w:eastAsia="BBVABentonSansLight" w:hAnsi="BBVABentonSansLight"/>
              <w:b w:val="0"/>
              <w:i w:val="0"/>
              <w:smallCaps w:val="0"/>
              <w:strike w:val="0"/>
              <w:color w:val="000000"/>
              <w:sz w:val="22"/>
              <w:szCs w:val="22"/>
              <w:u w:val="none"/>
              <w:shd w:fill="auto" w:val="clear"/>
              <w:vertAlign w:val="baseline"/>
            </w:rPr>
          </w:pPr>
          <w:hyperlink w:anchor="_heading=h.2jxsxq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3.4. Example 3: Two Call Options</w:t>
              <w:tab/>
              <w:t xml:space="preserve">18</w:t>
            </w:r>
          </w:hyperlink>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
        </w:numPr>
        <w:ind w:left="720" w:hanging="720"/>
        <w:rPr/>
      </w:pPr>
      <w:bookmarkStart w:colFirst="0" w:colLast="0" w:name="_heading=h.30j0zll" w:id="1"/>
      <w:bookmarkEnd w:id="1"/>
      <w:r w:rsidDel="00000000" w:rsidR="00000000" w:rsidRPr="00000000">
        <w:rPr>
          <w:rtl w:val="0"/>
        </w:rPr>
        <w:t xml:space="preserve">Introduction and Motivation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In order to implement the Internal Modelling Method (IMM) for calculating Counterparty Credit Risk exposures, the regulator requires a list of tasks on the exposures method that involve defining their respective methodologies: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42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Stress testing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Risk factors backtesting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Exposures backtesting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 aim of this document is to describe the methodology adopted by BBVA to carry out the backtesting of exposures.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 main idea is to calculate an exposure envelope, and then calculate the probability distribution of the fraction of time each exposure path is out of the envelope boundaries. After that, the same calculation is performed with the realized exposures in order to be compared with the first one and mapped into color bands.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This test should be performed using different time horizons out to at least one year.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After explaining the methodology, the effect of different parameters is analyzed so as to demonstrate the methodology can be as strict as wanted. To reinforce these effects, the results for different portfolios are shown.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1"/>
        </w:numPr>
        <w:ind w:left="720" w:hanging="720"/>
        <w:rPr/>
      </w:pPr>
      <w:bookmarkStart w:colFirst="0" w:colLast="0" w:name="_heading=h.1fob9te" w:id="2"/>
      <w:bookmarkEnd w:id="2"/>
      <w:r w:rsidDel="00000000" w:rsidR="00000000" w:rsidRPr="00000000">
        <w:rPr>
          <w:rtl w:val="0"/>
        </w:rPr>
        <w:t xml:space="preserve">Methodology and Calculation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 regulation does not provide a clear set of rules for backtesting as it does for market risk. Here we present the methodology adopted by BBVA, which was developed by Algorithmics on the basis of Ignacio Ruiz’s paper</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superscript"/>
        </w:rPr>
        <w:footnoteReference w:customMarkFollows="0" w:id="0"/>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w:t>
      </w:r>
    </w:p>
    <w:p w:rsidR="00000000" w:rsidDel="00000000" w:rsidP="00000000" w:rsidRDefault="00000000" w:rsidRPr="00000000" w14:paraId="00000021">
      <w:pPr>
        <w:pStyle w:val="Heading2"/>
        <w:ind w:left="709" w:hanging="709"/>
        <w:rPr/>
      </w:pPr>
      <w:bookmarkStart w:colFirst="0" w:colLast="0" w:name="_heading=h.3znysh7" w:id="3"/>
      <w:bookmarkEnd w:id="3"/>
      <w:r w:rsidDel="00000000" w:rsidR="00000000" w:rsidRPr="00000000">
        <w:rPr>
          <w:rtl w:val="0"/>
        </w:rPr>
        <w:t xml:space="preserve">2.1. Methodology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Basically, the main steps to follow are these ones: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Define a portfolio of interest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Generate a large set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N</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of scenarios on the risk factors in the backtesting interval,</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Compute the values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V</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 ∀t∈</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e>
        </m:d>
        <m:r>
          <w:rPr>
            <w:rFonts w:ascii="Cambria Math" w:cs="Cambria Math" w:eastAsia="Cambria Math" w:hAnsi="Cambria Math"/>
            <w:b w:val="0"/>
            <w:i w:val="0"/>
            <w:smallCaps w:val="0"/>
            <w:strike w:val="0"/>
            <w:color w:val="121212"/>
            <w:sz w:val="24"/>
            <w:szCs w:val="24"/>
            <w:u w:val="none"/>
            <w:shd w:fill="auto" w:val="clear"/>
            <w:vertAlign w:val="baseline"/>
          </w:rPr>
          <m:t xml:space="preserve">,</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of the portfolio in those scenarios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Compute the exposure profile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in every scenario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For each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t</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compute the exposure envelope defined by the boundaries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L</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(see section 2.2)</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Compute the </w:t>
      </w:r>
      <m:oMath>
        <m:r>
          <m:t>τ</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-statistic for every scenario (see section 2.3)</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Compute the cumulative distribution function</w:t>
      </w:r>
    </w:p>
    <w:p w:rsidR="00000000" w:rsidDel="00000000" w:rsidP="00000000" w:rsidRDefault="00000000" w:rsidRPr="00000000" w14:paraId="0000002A">
      <w:pPr>
        <w:ind w:left="1133.8582677165355" w:hanging="360"/>
        <w:jc w:val="center"/>
        <w:rPr>
          <w:rFonts w:ascii="Cambria Math" w:cs="Cambria Math" w:eastAsia="Cambria Math" w:hAnsi="Cambria Math"/>
          <w:b w:val="0"/>
          <w:i w:val="0"/>
          <w:smallCaps w:val="0"/>
          <w:strike w:val="0"/>
          <w:color w:val="121212"/>
          <w:sz w:val="24"/>
          <w:szCs w:val="24"/>
          <w:u w:val="none"/>
          <w:shd w:fill="auto" w:val="clear"/>
          <w:vertAlign w:val="baseline"/>
        </w:rPr>
      </w:pP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F</m:t>
            </m:r>
          </m:e>
          <m:sub>
            <m:r>
              <w:rPr>
                <w:rFonts w:ascii="Cambria Math" w:cs="Cambria Math" w:eastAsia="Cambria Math" w:hAnsi="Cambria Math"/>
                <w:b w:val="0"/>
                <w:i w:val="0"/>
                <w:smallCaps w:val="0"/>
                <w:strike w:val="0"/>
                <w:color w:val="121212"/>
                <w:sz w:val="24"/>
                <w:szCs w:val="24"/>
                <w:u w:val="none"/>
                <w:shd w:fill="auto" w:val="clear"/>
                <w:vertAlign w:val="baseline"/>
              </w:rPr>
              <m:t>τ</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τ</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Sub>
              </m:e>
            </m:d>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  0&lt;x&lt;1</m:t>
        </m:r>
      </m:oMath>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Find the critical values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1</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c</m:t>
                </m:r>
              </m:sub>
            </m:sSub>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2</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corresponding to the probabilities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c</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chosen to delimit three color bands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Apply the same method to compute test statistics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for the historical scenario in the interval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Compare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with the critical values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1</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c</m:t>
                </m:r>
              </m:sub>
            </m:sSub>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w:t>
      </w:r>
      <m:oMath>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x</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2</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p</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map the result on the corresponding color band</w:t>
      </w:r>
    </w:p>
    <w:p w:rsidR="00000000" w:rsidDel="00000000" w:rsidP="00000000" w:rsidRDefault="00000000" w:rsidRPr="00000000" w14:paraId="0000002E">
      <w:pPr>
        <w:pStyle w:val="Heading2"/>
        <w:ind w:left="709" w:hanging="709"/>
        <w:rPr/>
      </w:pPr>
      <w:bookmarkStart w:colFirst="0" w:colLast="0" w:name="_heading=h.hkkogkk2cgqw" w:id="4"/>
      <w:bookmarkEnd w:id="4"/>
      <w:r w:rsidDel="00000000" w:rsidR="00000000" w:rsidRPr="00000000">
        <w:rPr>
          <w:rtl w:val="0"/>
        </w:rPr>
      </w:r>
    </w:p>
    <w:p w:rsidR="00000000" w:rsidDel="00000000" w:rsidP="00000000" w:rsidRDefault="00000000" w:rsidRPr="00000000" w14:paraId="0000002F">
      <w:pPr>
        <w:pStyle w:val="Heading2"/>
        <w:ind w:left="709" w:hanging="709"/>
        <w:rPr/>
      </w:pPr>
      <w:bookmarkStart w:colFirst="0" w:colLast="0" w:name="_heading=h.2et92p0" w:id="5"/>
      <w:bookmarkEnd w:id="5"/>
      <w:r w:rsidDel="00000000" w:rsidR="00000000" w:rsidRPr="00000000">
        <w:rPr>
          <w:rtl w:val="0"/>
        </w:rPr>
        <w:t xml:space="preserve">2.2. p-Envelope Computation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For the set of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N</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scenarios generated:</w:t>
      </w:r>
    </w:p>
    <w:p w:rsidR="00000000" w:rsidDel="00000000" w:rsidP="00000000" w:rsidRDefault="00000000" w:rsidRPr="00000000" w14:paraId="00000031">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d>
          <m:dPr>
            <m:begChr m:val="{"/>
            <m:endChr m:val="}"/>
          </m:dPr>
          <m:e>
            <m:sSubSup>
              <m:sSubSupPr>
                <m:ctrlPr>
                  <w:rPr>
                    <w:rFonts w:ascii="Cambria Math" w:cs="Cambria Math" w:eastAsia="Cambria Math" w:hAnsi="Cambria Math"/>
                    <w:b w:val="0"/>
                    <w:i w:val="0"/>
                    <w:smallCaps w:val="0"/>
                    <w:strike w:val="0"/>
                    <w:color w:val="121212"/>
                    <w:sz w:val="24"/>
                    <w:szCs w:val="24"/>
                    <w:u w:val="none"/>
                    <w:shd w:fill="auto" w:val="clear"/>
                    <w:vertAlign w:val="baseline"/>
                  </w:rPr>
                </m:ctrlPr>
              </m:sSubSupPr>
              <m:e>
                <m: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up>
                <m:r>
                  <w:rPr>
                    <w:rFonts w:ascii="Cambria Math" w:cs="Cambria Math" w:eastAsia="Cambria Math" w:hAnsi="Cambria Math"/>
                    <w:b w:val="0"/>
                    <w:i w:val="0"/>
                    <w:smallCaps w:val="0"/>
                    <w:strike w:val="0"/>
                    <w:color w:val="121212"/>
                    <w:sz w:val="24"/>
                    <w:szCs w:val="24"/>
                    <w:u w:val="none"/>
                    <w:shd w:fill="auto" w:val="clear"/>
                    <w:vertAlign w:val="baseline"/>
                  </w:rPr>
                  <m:t xml:space="preserve">n</m:t>
                </m:r>
              </m:sup>
            </m:sSubSup>
          </m:e>
        </m:d>
        <m:r>
          <w:rPr>
            <w:rFonts w:ascii="Cambria Math" w:cs="Cambria Math" w:eastAsia="Cambria Math" w:hAnsi="Cambria Math"/>
            <w:b w:val="0"/>
            <w:i w:val="0"/>
            <w:smallCaps w:val="0"/>
            <w:strike w:val="0"/>
            <w:color w:val="121212"/>
            <w:sz w:val="24"/>
            <w:szCs w:val="24"/>
            <w:u w:val="none"/>
            <w:shd w:fill="auto" w:val="clear"/>
            <w:vertAlign w:val="baseline"/>
          </w:rPr>
          <m:t xml:space="preserve">,  n=1,2,…,N,  </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oMath>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and </w:t>
      </w:r>
      <w:r w:rsidDel="00000000" w:rsidR="00000000" w:rsidRPr="00000000">
        <w:rPr>
          <w:rFonts w:ascii="BBVABentonSansLight" w:cs="BBVABentonSansLight" w:eastAsia="BBVABentonSansLight" w:hAnsi="BBVABentonSansLight"/>
          <w:b w:val="1"/>
          <w:i w:val="0"/>
          <w:smallCaps w:val="0"/>
          <w:strike w:val="0"/>
          <w:color w:val="121212"/>
          <w:sz w:val="24"/>
          <w:szCs w:val="24"/>
          <w:u w:val="none"/>
          <w:shd w:fill="auto" w:val="clear"/>
          <w:vertAlign w:val="baseline"/>
          <w:rtl w:val="0"/>
        </w:rPr>
        <w:t xml:space="preserve">for a chosen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p</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 upper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and lower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L</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bounds are computed for each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t</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so that this equations are fulfilled:</w:t>
      </w:r>
    </w:p>
    <w:p w:rsidR="00000000" w:rsidDel="00000000" w:rsidP="00000000" w:rsidRDefault="00000000" w:rsidRPr="00000000" w14:paraId="00000033">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Sup>
              <m:sSubSupPr>
                <m:ctrlPr>
                  <w:rPr>
                    <w:rFonts w:ascii="Cambria Math" w:cs="Cambria Math" w:eastAsia="Cambria Math" w:hAnsi="Cambria Math"/>
                    <w:b w:val="0"/>
                    <w:i w:val="0"/>
                    <w:smallCaps w:val="0"/>
                    <w:strike w:val="0"/>
                    <w:color w:val="121212"/>
                    <w:sz w:val="24"/>
                    <w:szCs w:val="24"/>
                    <w:u w:val="none"/>
                    <w:shd w:fill="auto" w:val="clear"/>
                    <w:vertAlign w:val="baseline"/>
                  </w:rPr>
                </m:ctrlPr>
              </m:sSubSupPr>
              <m:e>
                <m:r>
                  <w:rPr>
                    <w:rFonts w:ascii="Cambria Math" w:cs="Cambria Math" w:eastAsia="Cambria Math" w:hAnsi="Cambria Math"/>
                    <w:b w:val="0"/>
                    <w:i w:val="0"/>
                    <w:smallCaps w:val="0"/>
                    <w:strike w:val="0"/>
                    <w:color w:val="121212"/>
                    <w:sz w:val="24"/>
                    <w:szCs w:val="24"/>
                    <w:u w:val="none"/>
                    <w:shd w:fill="auto" w:val="clear"/>
                    <w:vertAlign w:val="baseline"/>
                  </w:rP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up>
                <m:r>
                  <w:rPr>
                    <w:rFonts w:ascii="Cambria Math" w:cs="Cambria Math" w:eastAsia="Cambria Math" w:hAnsi="Cambria Math"/>
                    <w:b w:val="0"/>
                    <w:i w:val="0"/>
                    <w:smallCaps w:val="0"/>
                    <w:strike w:val="0"/>
                    <w:color w:val="121212"/>
                    <w:sz w:val="24"/>
                    <w:szCs w:val="24"/>
                    <w:u w:val="none"/>
                    <w:shd w:fill="auto" w:val="clear"/>
                    <w:vertAlign w:val="baseline"/>
                  </w:rPr>
                  <m:t xml:space="preserve">n</m:t>
                </m:r>
              </m:sup>
            </m:sSubSup>
            <m:r>
              <w:rPr>
                <w:rFonts w:ascii="Cambria Math" w:cs="Cambria Math" w:eastAsia="Cambria Math" w:hAnsi="Cambria Math"/>
                <w:b w:val="0"/>
                <w:i w:val="0"/>
                <w:smallCaps w:val="0"/>
                <w:strike w:val="0"/>
                <w:color w:val="121212"/>
                <w:sz w:val="24"/>
                <w:szCs w:val="24"/>
                <w:u w:val="none"/>
                <w:shd w:fill="auto" w:val="clear"/>
                <w:vertAlign w:val="baseline"/>
              </w:rPr>
              <m:t xml:space="preserve">&gt;U</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e>
        </m:d>
        <m:r>
          <w:rPr>
            <w:rFonts w:ascii="Cambria Math" w:cs="Cambria Math" w:eastAsia="Cambria Math" w:hAnsi="Cambria Math"/>
            <w:b w:val="0"/>
            <w:i w:val="0"/>
            <w:smallCaps w:val="0"/>
            <w:strike w:val="0"/>
            <w:color w:val="121212"/>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α</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034">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Sup>
              <m:sSubSupPr>
                <m:ctrlPr>
                  <w:rPr>
                    <w:rFonts w:ascii="Cambria Math" w:cs="Cambria Math" w:eastAsia="Cambria Math" w:hAnsi="Cambria Math"/>
                    <w:b w:val="0"/>
                    <w:i w:val="0"/>
                    <w:smallCaps w:val="0"/>
                    <w:strike w:val="0"/>
                    <w:color w:val="121212"/>
                    <w:sz w:val="24"/>
                    <w:szCs w:val="24"/>
                    <w:u w:val="none"/>
                    <w:shd w:fill="auto" w:val="clear"/>
                    <w:vertAlign w:val="baseline"/>
                  </w:rPr>
                </m:ctrlPr>
              </m:sSubSupPr>
              <m:e>
                <m:r>
                  <w:rPr>
                    <w:rFonts w:ascii="Cambria Math" w:cs="Cambria Math" w:eastAsia="Cambria Math" w:hAnsi="Cambria Math"/>
                    <w:b w:val="0"/>
                    <w:i w:val="0"/>
                    <w:smallCaps w:val="0"/>
                    <w:strike w:val="0"/>
                    <w:color w:val="121212"/>
                    <w:sz w:val="24"/>
                    <w:szCs w:val="24"/>
                    <w:u w:val="none"/>
                    <w:shd w:fill="auto" w:val="clear"/>
                    <w:vertAlign w:val="baseline"/>
                  </w:rP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up>
                <m:r>
                  <w:rPr>
                    <w:rFonts w:ascii="Cambria Math" w:cs="Cambria Math" w:eastAsia="Cambria Math" w:hAnsi="Cambria Math"/>
                    <w:b w:val="0"/>
                    <w:i w:val="0"/>
                    <w:smallCaps w:val="0"/>
                    <w:strike w:val="0"/>
                    <w:color w:val="121212"/>
                    <w:sz w:val="24"/>
                    <w:szCs w:val="24"/>
                    <w:u w:val="none"/>
                    <w:shd w:fill="auto" w:val="clear"/>
                    <w:vertAlign w:val="baseline"/>
                  </w:rPr>
                  <m:t xml:space="preserve">n</m:t>
                </m:r>
              </m:sup>
            </m:sSubSup>
            <m:r>
              <w:rPr>
                <w:rFonts w:ascii="Cambria Math" w:cs="Cambria Math" w:eastAsia="Cambria Math" w:hAnsi="Cambria Math"/>
                <w:b w:val="0"/>
                <w:i w:val="0"/>
                <w:smallCaps w:val="0"/>
                <w:strike w:val="0"/>
                <w:color w:val="121212"/>
                <w:sz w:val="24"/>
                <w:szCs w:val="24"/>
                <w:u w:val="none"/>
                <w:shd w:fill="auto" w:val="clear"/>
                <w:vertAlign w:val="baseline"/>
              </w:rPr>
              <m:t xml:space="preserve">&lt;L</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e>
        </m:d>
        <m:r>
          <w:rPr>
            <w:rFonts w:ascii="Cambria Math" w:cs="Cambria Math" w:eastAsia="Cambria Math" w:hAnsi="Cambria Math"/>
            <w:b w:val="0"/>
            <w:i w:val="0"/>
            <w:smallCaps w:val="0"/>
            <w:strike w:val="0"/>
            <w:color w:val="121212"/>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α</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where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α=1-p.</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Then the p-envelope corresponds to the set:</w:t>
      </w:r>
    </w:p>
    <w:p w:rsidR="00000000" w:rsidDel="00000000" w:rsidP="00000000" w:rsidRDefault="00000000" w:rsidRPr="00000000" w14:paraId="00000037">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t,x</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  |  L</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≤x≤U</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&lt;t≤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e>
        </m:d>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895629" cy="2107571"/>
            <wp:effectExtent b="0" l="0" r="0" t="0"/>
            <wp:docPr id="3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895629" cy="210757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ind w:left="709" w:hanging="709"/>
        <w:rPr/>
      </w:pPr>
      <w:bookmarkStart w:colFirst="0" w:colLast="0" w:name="_heading=h.tyjcwt" w:id="6"/>
      <w:bookmarkEnd w:id="6"/>
      <w:r w:rsidDel="00000000" w:rsidR="00000000" w:rsidRPr="00000000">
        <w:rPr>
          <w:rtl w:val="0"/>
        </w:rPr>
        <w:t xml:space="preserve">2.3. </w:t>
      </w:r>
      <m:oMath>
        <m:r>
          <m:t>τ</m:t>
        </m:r>
      </m:oMath>
      <w:r w:rsidDel="00000000" w:rsidR="00000000" w:rsidRPr="00000000">
        <w:rPr>
          <w:rtl w:val="0"/>
        </w:rPr>
        <w:t xml:space="preserve"> Statistic Computation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To calculate the </w:t>
      </w:r>
      <m:oMath>
        <m:r>
          <m:t>τ</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statistic, let’s define an indicator:</w:t>
      </w:r>
    </w:p>
    <w:p w:rsidR="00000000" w:rsidDel="00000000" w:rsidP="00000000" w:rsidRDefault="00000000" w:rsidRPr="00000000" w14:paraId="0000003B">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sSub>
          <m:e>
            <m:r>
              <m:t>ψ</m:t>
            </m:r>
          </m:e>
          <m:sub>
            <m:r>
              <m:t>ε</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=I</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&lt;L</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e>
        </m:d>
        <m:r>
          <w:rPr>
            <w:rFonts w:ascii="Cambria Math" w:cs="Cambria Math" w:eastAsia="Cambria Math" w:hAnsi="Cambria Math"/>
            <w:b w:val="0"/>
            <w:i w:val="0"/>
            <w:smallCaps w:val="0"/>
            <w:strike w:val="0"/>
            <w:color w:val="121212"/>
            <w:sz w:val="24"/>
            <w:szCs w:val="24"/>
            <w:u w:val="none"/>
            <w:shd w:fill="auto" w:val="clear"/>
            <w:vertAlign w:val="baseline"/>
          </w:rPr>
          <m:t xml:space="preserve">+I</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ε</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&gt;U</m:t>
            </m:r>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e>
        </m:d>
      </m:oMath>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This indicator is the number of times each scenario is outside the p-envelope. Then </w:t>
      </w:r>
      <m:oMath>
        <m:r>
          <m:t>τ</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is calculated as follows:</w:t>
      </w:r>
    </w:p>
    <w:p w:rsidR="00000000" w:rsidDel="00000000" w:rsidP="00000000" w:rsidRDefault="00000000" w:rsidRPr="00000000" w14:paraId="0000003D">
      <w:pPr>
        <w:jc w:val="center"/>
        <w:rPr>
          <w:rFonts w:ascii="Cambria Math" w:cs="Cambria Math" w:eastAsia="Cambria Math" w:hAnsi="Cambria Math"/>
          <w:b w:val="0"/>
          <w:i w:val="0"/>
          <w:smallCaps w:val="0"/>
          <w:strike w:val="0"/>
          <w:color w:val="121212"/>
          <w:sz w:val="24"/>
          <w:szCs w:val="24"/>
          <w:u w:val="none"/>
          <w:shd w:fill="auto" w:val="clear"/>
          <w:vertAlign w:val="baseline"/>
        </w:rPr>
      </w:pPr>
      <m:oMath>
        <m:sSub>
          <m:e>
            <m:r>
              <m:t>τ</m:t>
            </m:r>
          </m:e>
          <m:sub>
            <m:r>
              <m:t>ε</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 xml:space="preserve">1</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T</m:t>
            </m:r>
          </m:den>
        </m:f>
        <m:nary>
          <m:naryPr>
            <m:chr m:val="∫"/>
            <m:ctrlPr>
              <w:rPr>
                <w:rFonts w:ascii="Cambria Math" w:cs="Cambria Math" w:eastAsia="Cambria Math" w:hAnsi="Cambria Math"/>
                <w:b w:val="0"/>
                <w:i w:val="0"/>
                <w:smallCaps w:val="0"/>
                <w:strike w:val="0"/>
                <w:color w:val="121212"/>
                <w:sz w:val="24"/>
                <w:szCs w:val="24"/>
                <w:u w:val="none"/>
                <w:shd w:fill="auto" w:val="clear"/>
                <w:vertAlign w:val="baseline"/>
              </w:rPr>
            </m:ctrlPr>
          </m:naryPr>
          <m:sub>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sub>
          <m:sup>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sup>
        </m:nary>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ψ</m:t>
            </m:r>
          </m:e>
          <m:sub>
            <m:r>
              <w:rPr>
                <w:rFonts w:ascii="Cambria Math" w:cs="Cambria Math" w:eastAsia="Cambria Math" w:hAnsi="Cambria Math"/>
                <w:b w:val="0"/>
                <w:i w:val="0"/>
                <w:smallCaps w:val="0"/>
                <w:strike w:val="0"/>
                <w:color w:val="121212"/>
                <w:sz w:val="24"/>
                <w:szCs w:val="24"/>
                <w:u w:val="none"/>
                <w:shd w:fill="auto" w:val="clear"/>
                <w:vertAlign w:val="baseline"/>
              </w:rPr>
              <m:t>ε</m:t>
            </m:r>
          </m:sub>
        </m:sSub>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d>
        <m:r>
          <w:rPr>
            <w:rFonts w:ascii="Cambria Math" w:cs="Cambria Math" w:eastAsia="Cambria Math" w:hAnsi="Cambria Math"/>
            <w:b w:val="0"/>
            <w:i w:val="0"/>
            <w:smallCaps w:val="0"/>
            <w:strike w:val="0"/>
            <w:color w:val="121212"/>
            <w:sz w:val="24"/>
            <w:szCs w:val="24"/>
            <w:u w:val="none"/>
            <w:shd w:fill="auto" w:val="clear"/>
            <w:vertAlign w:val="baseline"/>
          </w:rPr>
          <m:t xml:space="preserve">dt,  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oMath>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In other words, </w:t>
      </w:r>
      <m:oMath>
        <m:sSub>
          <m:e>
            <m:r>
              <m:t>τ</m:t>
            </m:r>
          </m:e>
          <m:sub>
            <m:r>
              <m:t>ε</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represents the fraction of time each path </w:t>
      </w:r>
      <m:oMath>
        <m:r>
          <m:t>ε</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spends outside the p-Envelope, within the backtesting interval </w:t>
      </w:r>
      <m:oMath>
        <m:d>
          <m:dPr>
            <m:begChr m:val="["/>
            <m:endChr m:val="]"/>
            <m:ctrlPr>
              <w:rPr>
                <w:rFonts w:ascii="Cambria Math" w:cs="Cambria Math" w:eastAsia="Cambria Math" w:hAnsi="Cambria Math"/>
                <w:b w:val="0"/>
                <w:i w:val="0"/>
                <w:smallCaps w:val="0"/>
                <w:strike w:val="0"/>
                <w:color w:val="121212"/>
                <w:sz w:val="24"/>
                <w:szCs w:val="24"/>
                <w:u w:val="none"/>
                <w:shd w:fill="auto" w:val="clear"/>
                <w:vertAlign w:val="baseline"/>
              </w:rPr>
            </m:ctrlPr>
          </m:dPr>
          <m:e>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121212"/>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T</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e>
        </m:d>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Once the N </w:t>
      </w:r>
      <m:oMath>
        <m:r>
          <m:t>τ</m:t>
        </m:r>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values have been calculated, the cumulative distribution function can be obtained: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850331" cy="2090988"/>
            <wp:effectExtent b="0" l="0" r="0" t="0"/>
            <wp:docPr id="36"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850331" cy="20909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ind w:left="709" w:hanging="709"/>
        <w:rPr/>
      </w:pPr>
      <w:bookmarkStart w:colFirst="0" w:colLast="0" w:name="_heading=h.3dy6vkm" w:id="7"/>
      <w:bookmarkEnd w:id="7"/>
      <w:r w:rsidDel="00000000" w:rsidR="00000000" w:rsidRPr="00000000">
        <w:rPr>
          <w:rtl w:val="0"/>
        </w:rPr>
        <w:t xml:space="preserve">2.4. Color Bands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Depending on the results of our test, three color bands can be defined:</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Green band</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Yellow band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Red band</w:t>
      </w:r>
    </w:p>
    <w:p w:rsidR="00000000" w:rsidDel="00000000" w:rsidP="00000000" w:rsidRDefault="00000000" w:rsidRPr="00000000" w14:paraId="00000046">
      <w:pPr>
        <w:spacing w:before="240" w:lineRule="auto"/>
        <w:rPr/>
      </w:pPr>
      <w:r w:rsidDel="00000000" w:rsidR="00000000" w:rsidRPr="00000000">
        <w:rPr>
          <w:rtl w:val="0"/>
        </w:rPr>
        <w:t xml:space="preserve">Let’s set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as the probability for the model to be good, and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m:t>
            </m:r>
          </m:sub>
        </m:sSub>
      </m:oMath>
      <w:r w:rsidDel="00000000" w:rsidR="00000000" w:rsidRPr="00000000">
        <w:rPr>
          <w:rtl w:val="0"/>
        </w:rPr>
        <w:t xml:space="preserve"> as the probability for the model to be bad. The color bands will be defined by the quantiles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m:t>
            </m:r>
          </m:sub>
        </m:sSub>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b</m:t>
            </m:r>
          </m:sub>
        </m:sSub>
      </m:oMath>
      <w:r w:rsidDel="00000000" w:rsidR="00000000" w:rsidRPr="00000000">
        <w:rPr>
          <w:rtl w:val="0"/>
        </w:rPr>
        <w:t xml:space="preserve"> corresponding to the probabilities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and </w:t>
      </w:r>
      <m:oMath>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m:t>
            </m:r>
          </m:sub>
        </m:sSub>
      </m:oMath>
      <w:r w:rsidDel="00000000" w:rsidR="00000000" w:rsidRPr="00000000">
        <w:rPr>
          <w:rtl w:val="0"/>
        </w:rPr>
        <w:t xml:space="preserve">.</w:t>
      </w:r>
    </w:p>
    <w:p w:rsidR="00000000" w:rsidDel="00000000" w:rsidP="00000000" w:rsidRDefault="00000000" w:rsidRPr="00000000" w14:paraId="00000047">
      <w:pPr>
        <w:spacing w:before="240" w:lineRule="auto"/>
        <w:jc w:val="center"/>
        <w:rPr/>
      </w:pPr>
      <w:r w:rsidDel="00000000" w:rsidR="00000000" w:rsidRPr="00000000">
        <w:rPr/>
        <w:drawing>
          <wp:inline distB="0" distT="0" distL="0" distR="0">
            <wp:extent cx="3834840" cy="2072805"/>
            <wp:effectExtent b="0" l="0" r="0" t="0"/>
            <wp:docPr id="3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834840" cy="20728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240" w:lineRule="auto"/>
        <w:rPr/>
      </w:pPr>
      <w:r w:rsidDel="00000000" w:rsidR="00000000" w:rsidRPr="00000000">
        <w:rPr>
          <w:rtl w:val="0"/>
        </w:rPr>
        <w:t xml:space="preserve">Once these bands are defined, </w:t>
      </w:r>
      <m:oMath>
        <m:sSup>
          <m:sSupPr>
            <m:ctrlPr>
              <w:rPr>
                <w:rFonts w:ascii="Cambria Math" w:cs="Cambria Math" w:eastAsia="Cambria Math" w:hAnsi="Cambria Math"/>
              </w:rPr>
            </m:ctrlPr>
          </m:sSupPr>
          <m:e>
            <m:r>
              <m:t>τ</m:t>
            </m:r>
          </m:e>
          <m:sup>
            <m:r>
              <w:rPr>
                <w:rFonts w:ascii="Cambria Math" w:cs="Cambria Math" w:eastAsia="Cambria Math" w:hAnsi="Cambria Math"/>
              </w:rPr>
              <m:t xml:space="preserve">*</m:t>
            </m:r>
          </m:sup>
        </m:sSup>
      </m:oMath>
      <w:r w:rsidDel="00000000" w:rsidR="00000000" w:rsidRPr="00000000">
        <w:rPr>
          <w:rtl w:val="0"/>
        </w:rPr>
        <w:t xml:space="preserve"> can be calculated for the real portfolio and check which band this </w:t>
      </w:r>
      <m:oMath>
        <m:sSup>
          <m:sSupPr>
            <m:ctrlPr>
              <w:rPr>
                <w:rFonts w:ascii="Cambria Math" w:cs="Cambria Math" w:eastAsia="Cambria Math" w:hAnsi="Cambria Math"/>
              </w:rPr>
            </m:ctrlPr>
          </m:sSupPr>
          <m:e>
            <m:r>
              <m:t>τ</m:t>
            </m:r>
          </m:e>
          <m:sup>
            <m:r>
              <w:rPr>
                <w:rFonts w:ascii="Cambria Math" w:cs="Cambria Math" w:eastAsia="Cambria Math" w:hAnsi="Cambria Math"/>
              </w:rPr>
              <m:t xml:space="preserve">*</m:t>
            </m:r>
          </m:sup>
        </m:sSup>
      </m:oMath>
      <w:r w:rsidDel="00000000" w:rsidR="00000000" w:rsidRPr="00000000">
        <w:rPr>
          <w:rtl w:val="0"/>
        </w:rPr>
        <w:t xml:space="preserve"> belongs to:</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If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 </m:t>
        </m:r>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w:rPr>
                <w:rFonts w:ascii="Cambria Math" w:cs="Cambria Math" w:eastAsia="Cambria Math" w:hAnsi="Cambria Math"/>
                <w:b w:val="0"/>
                <w:i w:val="0"/>
                <w:smallCaps w:val="0"/>
                <w:strike w:val="0"/>
                <w:color w:val="121212"/>
                <w:sz w:val="24"/>
                <w:szCs w:val="24"/>
                <w:u w:val="none"/>
                <w:shd w:fill="auto" w:val="clear"/>
                <w:vertAlign w:val="baseline"/>
              </w:rP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r>
          <w:rPr>
            <w:rFonts w:ascii="Cambria Math" w:cs="Cambria Math" w:eastAsia="Cambria Math" w:hAnsi="Cambria Math"/>
            <w:b w:val="0"/>
            <w:i w:val="0"/>
            <w:smallCaps w:val="0"/>
            <w:strike w:val="0"/>
            <w:color w:val="121212"/>
            <w:sz w:val="24"/>
            <w:szCs w:val="24"/>
            <w:u w:val="none"/>
            <w:shd w:fill="auto" w:val="clear"/>
            <w:vertAlign w:val="baseline"/>
          </w:rPr>
          <m: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D</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c</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the model of exposure belongs to the green band and it can be accepted</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If </w:t>
      </w:r>
      <m:oMath>
        <m:r>
          <w:rPr>
            <w:rFonts w:ascii="Cambria Math" w:cs="Cambria Math" w:eastAsia="Cambria Math" w:hAnsi="Cambria Math"/>
            <w:b w:val="0"/>
            <w:i w:val="0"/>
            <w:smallCaps w:val="0"/>
            <w:strike w:val="0"/>
            <w:color w:val="121212"/>
            <w:sz w:val="24"/>
            <w:szCs w:val="24"/>
            <w:u w:val="none"/>
            <w:shd w:fill="auto" w:val="clear"/>
            <w:vertAlign w:val="baseline"/>
          </w:rPr>
          <m:t xml:space="preserve"> </m:t>
        </m:r>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w:rPr>
                <w:rFonts w:ascii="Cambria Math" w:cs="Cambria Math" w:eastAsia="Cambria Math" w:hAnsi="Cambria Math"/>
                <w:b w:val="0"/>
                <w:i w:val="0"/>
                <w:smallCaps w:val="0"/>
                <w:strike w:val="0"/>
                <w:color w:val="121212"/>
                <w:sz w:val="24"/>
                <w:szCs w:val="24"/>
                <w:u w:val="none"/>
                <w:shd w:fill="auto" w:val="clear"/>
                <w:vertAlign w:val="baseline"/>
              </w:rP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r>
          <w:rPr>
            <w:rFonts w:ascii="Cambria Math" w:cs="Cambria Math" w:eastAsia="Cambria Math" w:hAnsi="Cambria Math"/>
            <w:b w:val="0"/>
            <w:i w:val="0"/>
            <w:smallCaps w:val="0"/>
            <w:strike w:val="0"/>
            <w:color w:val="121212"/>
            <w:sz w:val="24"/>
            <w:szCs w:val="24"/>
            <w:u w:val="none"/>
            <w:shd w:fill="auto" w:val="clear"/>
            <w:vertAlign w:val="baseline"/>
          </w:rPr>
          <m:t xml:space="preserve">&gt;</m:t>
        </m:r>
        <m:sSub>
          <m:sSubPr>
            <m:ctrlPr>
              <w:rPr>
                <w:rFonts w:ascii="Cambria Math" w:cs="Cambria Math" w:eastAsia="Cambria Math" w:hAnsi="Cambria Math"/>
                <w:b w:val="0"/>
                <w:i w:val="0"/>
                <w:smallCaps w:val="0"/>
                <w:strike w:val="0"/>
                <w:color w:val="121212"/>
                <w:sz w:val="24"/>
                <w:szCs w:val="24"/>
                <w:u w:val="none"/>
                <w:shd w:fill="auto" w:val="clear"/>
                <w:vertAlign w:val="baseline"/>
              </w:rPr>
            </m:ctrlPr>
          </m:sSubPr>
          <m:e>
            <m:r>
              <w:rPr>
                <w:rFonts w:ascii="Cambria Math" w:cs="Cambria Math" w:eastAsia="Cambria Math" w:hAnsi="Cambria Math"/>
                <w:b w:val="0"/>
                <w:i w:val="0"/>
                <w:smallCaps w:val="0"/>
                <w:strike w:val="0"/>
                <w:color w:val="121212"/>
                <w:sz w:val="24"/>
                <w:szCs w:val="24"/>
                <w:u w:val="none"/>
                <w:shd w:fill="auto" w:val="clear"/>
                <w:vertAlign w:val="baseline"/>
              </w:rPr>
              <m:t xml:space="preserve">D</m:t>
            </m:r>
          </m:e>
          <m:sub>
            <m:r>
              <w:rPr>
                <w:rFonts w:ascii="Cambria Math" w:cs="Cambria Math" w:eastAsia="Cambria Math" w:hAnsi="Cambria Math"/>
                <w:b w:val="0"/>
                <w:i w:val="0"/>
                <w:smallCaps w:val="0"/>
                <w:strike w:val="0"/>
                <w:color w:val="121212"/>
                <w:sz w:val="24"/>
                <w:szCs w:val="24"/>
                <w:u w:val="none"/>
                <w:shd w:fill="auto" w:val="clear"/>
                <w:vertAlign w:val="baseline"/>
              </w:rPr>
              <m:t xml:space="preserve">b</m:t>
            </m:r>
          </m:sub>
        </m:sSub>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the model belongs to the red band, so the model should be rejected</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Otherwise, the model belongs to the yellow band, so it should be revised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1"/>
        </w:numPr>
        <w:ind w:left="720" w:hanging="720"/>
        <w:rPr/>
      </w:pPr>
      <w:bookmarkStart w:colFirst="0" w:colLast="0" w:name="_heading=h.1t3h5sf" w:id="8"/>
      <w:bookmarkEnd w:id="8"/>
      <w:r w:rsidDel="00000000" w:rsidR="00000000" w:rsidRPr="00000000">
        <w:rPr>
          <w:rtl w:val="0"/>
        </w:rPr>
        <w:t xml:space="preserve">Parameters Effect</w:t>
      </w:r>
    </w:p>
    <w:p w:rsidR="00000000" w:rsidDel="00000000" w:rsidP="00000000" w:rsidRDefault="00000000" w:rsidRPr="00000000" w14:paraId="0000004F">
      <w:pPr>
        <w:spacing w:before="240" w:lineRule="auto"/>
        <w:rPr/>
      </w:pPr>
      <w:r w:rsidDel="00000000" w:rsidR="00000000" w:rsidRPr="00000000">
        <w:rPr>
          <w:rtl w:val="0"/>
        </w:rPr>
        <w:t xml:space="preserve">In this section, the effect of the different parameters that affect directly to the results of this methodology is analyzed.</w:t>
      </w:r>
    </w:p>
    <w:p w:rsidR="00000000" w:rsidDel="00000000" w:rsidP="00000000" w:rsidRDefault="00000000" w:rsidRPr="00000000" w14:paraId="00000050">
      <w:pPr>
        <w:spacing w:before="240" w:lineRule="auto"/>
        <w:rPr/>
      </w:pPr>
      <w:r w:rsidDel="00000000" w:rsidR="00000000" w:rsidRPr="00000000">
        <w:rPr>
          <w:rtl w:val="0"/>
        </w:rPr>
        <w:t xml:space="preserve">To be able to assess what is the probability of </w:t>
      </w:r>
      <m:oMath>
        <m:sSup>
          <m:sSupPr>
            <m:ctrlPr>
              <w:rPr>
                <w:rFonts w:ascii="Cambria Math" w:cs="Cambria Math" w:eastAsia="Cambria Math" w:hAnsi="Cambria Math"/>
              </w:rPr>
            </m:ctrlPr>
          </m:sSupPr>
          <m:e>
            <m:r>
              <m:t>τ</m:t>
            </m:r>
          </m:e>
          <m:sup>
            <m:r>
              <w:rPr>
                <w:rFonts w:ascii="Cambria Math" w:cs="Cambria Math" w:eastAsia="Cambria Math" w:hAnsi="Cambria Math"/>
              </w:rPr>
              <m:t xml:space="preserve">*</m:t>
            </m:r>
          </m:sup>
        </m:sSup>
      </m:oMath>
      <w:r w:rsidDel="00000000" w:rsidR="00000000" w:rsidRPr="00000000">
        <w:rPr>
          <w:rtl w:val="0"/>
        </w:rPr>
        <w:t xml:space="preserve"> belonging to one band or another, the following steps are followed:</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Simulate a large number of “realized” paths,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w:rPr>
                <w:rFonts w:ascii="Cambria Math" w:cs="Cambria Math" w:eastAsia="Cambria Math" w:hAnsi="Cambria Math"/>
                <w:b w:val="0"/>
                <w:i w:val="0"/>
                <w:smallCaps w:val="0"/>
                <w:strike w:val="0"/>
                <w:color w:val="121212"/>
                <w:sz w:val="24"/>
                <w:szCs w:val="24"/>
                <w:u w:val="none"/>
                <w:shd w:fill="auto" w:val="clear"/>
                <w:vertAlign w:val="baseline"/>
              </w:rPr>
              <m:t xml:space="preserve">N</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Then, for each of those “realized” paths, a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is obtained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w:rPr>
                <w:rFonts w:ascii="Cambria Math" w:cs="Cambria Math" w:eastAsia="Cambria Math" w:hAnsi="Cambria Math"/>
                <w:b w:val="0"/>
                <w:i w:val="0"/>
                <w:smallCaps w:val="0"/>
                <w:strike w:val="0"/>
                <w:color w:val="121212"/>
                <w:sz w:val="24"/>
                <w:szCs w:val="24"/>
                <w:u w:val="none"/>
                <w:shd w:fill="auto" w:val="clear"/>
                <w:vertAlign w:val="baseline"/>
              </w:rPr>
              <m:t xml:space="preserve">N</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values of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Finally, those values of </w:t>
      </w:r>
      <m:oMath>
        <m:sSup>
          <m:sSupPr>
            <m:ctrlPr>
              <w:rPr>
                <w:rFonts w:ascii="Cambria Math" w:cs="Cambria Math" w:eastAsia="Cambria Math" w:hAnsi="Cambria Math"/>
                <w:b w:val="0"/>
                <w:i w:val="0"/>
                <w:smallCaps w:val="0"/>
                <w:strike w:val="0"/>
                <w:color w:val="121212"/>
                <w:sz w:val="24"/>
                <w:szCs w:val="24"/>
                <w:u w:val="none"/>
                <w:shd w:fill="auto" w:val="clear"/>
                <w:vertAlign w:val="baseline"/>
              </w:rPr>
            </m:ctrlPr>
          </m:sSupPr>
          <m:e>
            <m:r>
              <m:t>τ</m:t>
            </m:r>
          </m:e>
          <m:sup>
            <m:r>
              <w:rPr>
                <w:rFonts w:ascii="Cambria Math" w:cs="Cambria Math" w:eastAsia="Cambria Math" w:hAnsi="Cambria Math"/>
                <w:b w:val="0"/>
                <w:i w:val="0"/>
                <w:smallCaps w:val="0"/>
                <w:strike w:val="0"/>
                <w:color w:val="121212"/>
                <w:sz w:val="24"/>
                <w:szCs w:val="24"/>
                <w:u w:val="none"/>
                <w:shd w:fill="auto" w:val="clear"/>
                <w:vertAlign w:val="baseline"/>
              </w:rPr>
              <m:t xml:space="preserve">*</m:t>
            </m:r>
          </m:sup>
        </m:sSup>
      </m:oMath>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are mapped into the color bands</w:t>
      </w:r>
    </w:p>
    <w:p w:rsidR="00000000" w:rsidDel="00000000" w:rsidP="00000000" w:rsidRDefault="00000000" w:rsidRPr="00000000" w14:paraId="00000054">
      <w:pPr>
        <w:pStyle w:val="Heading2"/>
        <w:ind w:left="709" w:hanging="709"/>
        <w:rPr/>
      </w:pPr>
      <w:bookmarkStart w:colFirst="0" w:colLast="0" w:name="_heading=h.4d34og8" w:id="9"/>
      <w:bookmarkEnd w:id="9"/>
      <w:r w:rsidDel="00000000" w:rsidR="00000000" w:rsidRPr="00000000">
        <w:rPr>
          <w:rtl w:val="0"/>
        </w:rPr>
        <w:t xml:space="preserve">3.1. Time Steps Width</w:t>
      </w:r>
    </w:p>
    <w:p w:rsidR="00000000" w:rsidDel="00000000" w:rsidP="00000000" w:rsidRDefault="00000000" w:rsidRPr="00000000" w14:paraId="00000055">
      <w:pPr>
        <w:spacing w:before="240" w:lineRule="auto"/>
        <w:rPr/>
      </w:pPr>
      <w:r w:rsidDel="00000000" w:rsidR="00000000" w:rsidRPr="00000000">
        <w:rPr>
          <w:rtl w:val="0"/>
        </w:rPr>
        <w:t xml:space="preserve">In this section it is assessed whether or not the width of the time steps is a determining factor. For doing so, a simple portfolio consisting of just one equity</w:t>
      </w:r>
      <w:r w:rsidDel="00000000" w:rsidR="00000000" w:rsidRPr="00000000">
        <w:rPr>
          <w:color w:val="ff0000"/>
          <w:rtl w:val="0"/>
        </w:rPr>
        <w:t xml:space="preserve"> </w:t>
      </w:r>
      <w:r w:rsidDel="00000000" w:rsidR="00000000" w:rsidRPr="00000000">
        <w:rPr>
          <w:rtl w:val="0"/>
        </w:rPr>
        <w:t xml:space="preserve">forward with no dividends is considered. This way, the price of this portfolio is not dependent on the volatility of the underlying.</w:t>
      </w:r>
    </w:p>
    <w:p w:rsidR="00000000" w:rsidDel="00000000" w:rsidP="00000000" w:rsidRDefault="00000000" w:rsidRPr="00000000" w14:paraId="00000056">
      <w:pPr>
        <w:spacing w:before="240" w:lineRule="auto"/>
        <w:rPr/>
      </w:pPr>
      <w:r w:rsidDel="00000000" w:rsidR="00000000" w:rsidRPr="00000000">
        <w:rPr>
          <w:rtl w:val="0"/>
        </w:rPr>
        <w:t xml:space="preserve">To generate the realized paths, the test is repeated for a wide range of “realized” volatilities to check the effect of getting a very different volatility from the one used to calculate the envelope.</w:t>
      </w:r>
    </w:p>
    <w:p w:rsidR="00000000" w:rsidDel="00000000" w:rsidP="00000000" w:rsidRDefault="00000000" w:rsidRPr="00000000" w14:paraId="00000057">
      <w:pPr>
        <w:spacing w:before="240" w:lineRule="auto"/>
        <w:rPr/>
      </w:pPr>
      <w:r w:rsidDel="00000000" w:rsidR="00000000" w:rsidRPr="00000000">
        <w:rPr>
          <w:rtl w:val="0"/>
        </w:rPr>
        <w:t xml:space="preserve">These are the parameters applied:</w:t>
      </w:r>
    </w:p>
    <w:p w:rsidR="00000000" w:rsidDel="00000000" w:rsidP="00000000" w:rsidRDefault="00000000" w:rsidRPr="00000000" w14:paraId="00000058">
      <w:pPr>
        <w:spacing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139700</wp:posOffset>
                </wp:positionV>
                <wp:extent cx="4064000" cy="1123950"/>
                <wp:effectExtent b="0" l="0" r="0" t="0"/>
                <wp:wrapNone/>
                <wp:docPr id="1" name=""/>
                <a:graphic>
                  <a:graphicData uri="http://schemas.microsoft.com/office/word/2010/wordprocessingShape">
                    <wps:wsp>
                      <wps:cNvSpPr/>
                      <wps:cNvPr id="2" name="Shape 2"/>
                      <wps:spPr>
                        <a:xfrm>
                          <a:off x="3326700" y="3230725"/>
                          <a:ext cx="4038600" cy="1098550"/>
                        </a:xfrm>
                        <a:prstGeom prst="roundRect">
                          <a:avLst>
                            <a:gd fmla="val 16667" name="adj"/>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p-Envelope: </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Forward: strike 10, maturity 1 year</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Bands:  and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139700</wp:posOffset>
                </wp:positionV>
                <wp:extent cx="4064000" cy="1123950"/>
                <wp:effectExtent b="0" l="0" r="0" t="0"/>
                <wp:wrapNone/>
                <wp:docPr id="1"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4064000" cy="1123950"/>
                        </a:xfrm>
                        <a:prstGeom prst="rect"/>
                        <a:ln/>
                      </pic:spPr>
                    </pic:pic>
                  </a:graphicData>
                </a:graphic>
              </wp:anchor>
            </w:drawing>
          </mc:Fallback>
        </mc:AlternateContent>
      </w:r>
    </w:p>
    <w:p w:rsidR="00000000" w:rsidDel="00000000" w:rsidP="00000000" w:rsidRDefault="00000000" w:rsidRPr="00000000" w14:paraId="00000059">
      <w:pPr>
        <w:spacing w:before="240" w:lineRule="auto"/>
        <w:rPr/>
      </w:pPr>
      <w:r w:rsidDel="00000000" w:rsidR="00000000" w:rsidRPr="00000000">
        <w:rPr>
          <w:rtl w:val="0"/>
        </w:rPr>
      </w:r>
    </w:p>
    <w:p w:rsidR="00000000" w:rsidDel="00000000" w:rsidP="00000000" w:rsidRDefault="00000000" w:rsidRPr="00000000" w14:paraId="0000005A">
      <w:pPr>
        <w:spacing w:before="240" w:lineRule="auto"/>
        <w:rPr/>
      </w:pPr>
      <w:r w:rsidDel="00000000" w:rsidR="00000000" w:rsidRPr="00000000">
        <w:rPr>
          <w:rtl w:val="0"/>
        </w:rPr>
      </w:r>
    </w:p>
    <w:p w:rsidR="00000000" w:rsidDel="00000000" w:rsidP="00000000" w:rsidRDefault="00000000" w:rsidRPr="00000000" w14:paraId="0000005B">
      <w:pPr>
        <w:spacing w:before="240" w:lineRule="auto"/>
        <w:rPr/>
      </w:pPr>
      <w:r w:rsidDel="00000000" w:rsidR="00000000" w:rsidRPr="00000000">
        <w:rPr>
          <w:rtl w:val="0"/>
        </w:rPr>
      </w:r>
    </w:p>
    <w:p w:rsidR="00000000" w:rsidDel="00000000" w:rsidP="00000000" w:rsidRDefault="00000000" w:rsidRPr="00000000" w14:paraId="0000005C">
      <w:pPr>
        <w:spacing w:before="240" w:lineRule="auto"/>
        <w:rPr/>
      </w:pPr>
      <w:r w:rsidDel="00000000" w:rsidR="00000000" w:rsidRPr="00000000">
        <w:rPr>
          <w:rtl w:val="0"/>
        </w:rPr>
        <w:t xml:space="preserve">From higher to lower granularity: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delta=</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 xml:space="preserve">1</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250</m:t>
            </m:r>
          </m:den>
        </m:f>
        <m:r>
          <w:rPr>
            <w:rFonts w:ascii="Cambria Math" w:cs="Cambria Math" w:eastAsia="Cambria Math" w:hAnsi="Cambria Math"/>
            <w:b w:val="0"/>
            <w:i w:val="0"/>
            <w:smallCaps w:val="0"/>
            <w:strike w:val="0"/>
            <w:color w:val="121212"/>
            <w:sz w:val="24"/>
            <w:szCs w:val="24"/>
            <w:u w:val="none"/>
            <w:shd w:fill="auto" w:val="clear"/>
            <w:vertAlign w:val="baseline"/>
          </w:rPr>
          <m:t xml:space="preserve">=0.004→#timesteps=250</m:t>
        </m:r>
      </m:oMath>
      <w:r w:rsidDel="00000000" w:rsidR="00000000" w:rsidRPr="00000000">
        <w:rPr>
          <w:rtl w:val="0"/>
        </w:rPr>
      </w:r>
    </w:p>
    <w:p w:rsidR="00000000" w:rsidDel="00000000" w:rsidP="00000000" w:rsidRDefault="00000000" w:rsidRPr="00000000" w14:paraId="0000005E">
      <w:pPr>
        <w:spacing w:before="240" w:lineRule="auto"/>
        <w:jc w:val="center"/>
        <w:rPr/>
      </w:pPr>
      <w:r w:rsidDel="00000000" w:rsidR="00000000" w:rsidRPr="00000000">
        <w:rPr/>
        <w:drawing>
          <wp:inline distB="0" distT="0" distL="0" distR="0">
            <wp:extent cx="3068223" cy="1655481"/>
            <wp:effectExtent b="0" l="0" r="0" t="0"/>
            <wp:docPr id="3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068223" cy="1655481"/>
                    </a:xfrm>
                    <a:prstGeom prst="rect"/>
                    <a:ln/>
                  </pic:spPr>
                </pic:pic>
              </a:graphicData>
            </a:graphic>
          </wp:inline>
        </w:drawing>
      </w:r>
      <w:r w:rsidDel="00000000" w:rsidR="00000000" w:rsidRPr="00000000">
        <w:rPr/>
        <w:drawing>
          <wp:inline distB="0" distT="0" distL="0" distR="0">
            <wp:extent cx="3075942" cy="1651805"/>
            <wp:effectExtent b="0" l="0" r="0" t="0"/>
            <wp:docPr id="3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075942" cy="165180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240" w:lineRule="auto"/>
        <w:jc w:val="center"/>
        <w:rPr/>
      </w:pPr>
      <w:r w:rsidDel="00000000" w:rsidR="00000000" w:rsidRPr="00000000">
        <w:rPr/>
        <w:drawing>
          <wp:inline distB="0" distT="0" distL="0" distR="0">
            <wp:extent cx="4779694" cy="1844901"/>
            <wp:effectExtent b="0" l="0" r="0" t="0"/>
            <wp:docPr id="4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4779694" cy="184490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delta=</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 xml:space="preserve">10</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250</m:t>
            </m:r>
          </m:den>
        </m:f>
        <m:r>
          <w:rPr>
            <w:rFonts w:ascii="Cambria Math" w:cs="Cambria Math" w:eastAsia="Cambria Math" w:hAnsi="Cambria Math"/>
            <w:b w:val="0"/>
            <w:i w:val="0"/>
            <w:smallCaps w:val="0"/>
            <w:strike w:val="0"/>
            <w:color w:val="121212"/>
            <w:sz w:val="24"/>
            <w:szCs w:val="24"/>
            <w:u w:val="none"/>
            <w:shd w:fill="auto" w:val="clear"/>
            <w:vertAlign w:val="baseline"/>
          </w:rPr>
          <m:t xml:space="preserve">=0.04→#timesteps=25</m:t>
        </m:r>
      </m:oMath>
      <w:r w:rsidDel="00000000" w:rsidR="00000000" w:rsidRPr="00000000">
        <w:rPr>
          <w:rtl w:val="0"/>
        </w:rPr>
      </w:r>
    </w:p>
    <w:p w:rsidR="00000000" w:rsidDel="00000000" w:rsidP="00000000" w:rsidRDefault="00000000" w:rsidRPr="00000000" w14:paraId="00000061">
      <w:pPr>
        <w:spacing w:before="240" w:lineRule="auto"/>
        <w:jc w:val="center"/>
        <w:rPr/>
      </w:pPr>
      <w:r w:rsidDel="00000000" w:rsidR="00000000" w:rsidRPr="00000000">
        <w:rPr/>
        <w:drawing>
          <wp:inline distB="0" distT="0" distL="0" distR="0">
            <wp:extent cx="3048731" cy="1649788"/>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048731" cy="1649788"/>
                    </a:xfrm>
                    <a:prstGeom prst="rect"/>
                    <a:ln/>
                  </pic:spPr>
                </pic:pic>
              </a:graphicData>
            </a:graphic>
          </wp:inline>
        </w:drawing>
      </w:r>
      <w:r w:rsidDel="00000000" w:rsidR="00000000" w:rsidRPr="00000000">
        <w:rPr/>
        <w:drawing>
          <wp:inline distB="0" distT="0" distL="0" distR="0">
            <wp:extent cx="3079723" cy="1656077"/>
            <wp:effectExtent b="0" l="0" r="0" t="0"/>
            <wp:docPr id="4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3079723" cy="1656077"/>
                    </a:xfrm>
                    <a:prstGeom prst="rect"/>
                    <a:ln/>
                  </pic:spPr>
                </pic:pic>
              </a:graphicData>
            </a:graphic>
          </wp:inline>
        </w:drawing>
      </w:r>
      <w:r w:rsidDel="00000000" w:rsidR="00000000" w:rsidRPr="00000000">
        <w:rPr/>
        <w:drawing>
          <wp:inline distB="0" distT="0" distL="0" distR="0">
            <wp:extent cx="4699241" cy="1801875"/>
            <wp:effectExtent b="0" l="0" r="0" t="0"/>
            <wp:docPr id="4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699241" cy="1801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240" w:lineRule="auto"/>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delta=</m:t>
        </m:r>
        <m:f>
          <m:fPr>
            <m:ctrlPr>
              <w:rPr>
                <w:rFonts w:ascii="Cambria Math" w:cs="Cambria Math" w:eastAsia="Cambria Math" w:hAnsi="Cambria Math"/>
                <w:b w:val="0"/>
                <w:i w:val="0"/>
                <w:smallCaps w:val="0"/>
                <w:strike w:val="0"/>
                <w:color w:val="121212"/>
                <w:sz w:val="24"/>
                <w:szCs w:val="24"/>
                <w:u w:val="none"/>
                <w:shd w:fill="auto" w:val="clear"/>
                <w:vertAlign w:val="baseline"/>
              </w:rPr>
            </m:ctrlPr>
          </m:fPr>
          <m:num>
            <m:r>
              <w:rPr>
                <w:rFonts w:ascii="Cambria Math" w:cs="Cambria Math" w:eastAsia="Cambria Math" w:hAnsi="Cambria Math"/>
                <w:b w:val="0"/>
                <w:i w:val="0"/>
                <w:smallCaps w:val="0"/>
                <w:strike w:val="0"/>
                <w:color w:val="121212"/>
                <w:sz w:val="24"/>
                <w:szCs w:val="24"/>
                <w:u w:val="none"/>
                <w:shd w:fill="auto" w:val="clear"/>
                <w:vertAlign w:val="baseline"/>
              </w:rPr>
              <m:t xml:space="preserve">20</m:t>
            </m:r>
          </m:num>
          <m:den>
            <m:r>
              <w:rPr>
                <w:rFonts w:ascii="Cambria Math" w:cs="Cambria Math" w:eastAsia="Cambria Math" w:hAnsi="Cambria Math"/>
                <w:b w:val="0"/>
                <w:i w:val="0"/>
                <w:smallCaps w:val="0"/>
                <w:strike w:val="0"/>
                <w:color w:val="121212"/>
                <w:sz w:val="24"/>
                <w:szCs w:val="24"/>
                <w:u w:val="none"/>
                <w:shd w:fill="auto" w:val="clear"/>
                <w:vertAlign w:val="baseline"/>
              </w:rPr>
              <m:t xml:space="preserve">250</m:t>
            </m:r>
          </m:den>
        </m:f>
        <m:r>
          <w:rPr>
            <w:rFonts w:ascii="Cambria Math" w:cs="Cambria Math" w:eastAsia="Cambria Math" w:hAnsi="Cambria Math"/>
            <w:b w:val="0"/>
            <w:i w:val="0"/>
            <w:smallCaps w:val="0"/>
            <w:strike w:val="0"/>
            <w:color w:val="121212"/>
            <w:sz w:val="24"/>
            <w:szCs w:val="24"/>
            <w:u w:val="none"/>
            <w:shd w:fill="auto" w:val="clear"/>
            <w:vertAlign w:val="baseline"/>
          </w:rPr>
          <m:t xml:space="preserve">=0.08→#timesteps=12</m:t>
        </m:r>
      </m:oMath>
      <w:r w:rsidDel="00000000" w:rsidR="00000000" w:rsidRPr="00000000">
        <w:rPr>
          <w:rtl w:val="0"/>
        </w:rPr>
      </w:r>
    </w:p>
    <w:p w:rsidR="00000000" w:rsidDel="00000000" w:rsidP="00000000" w:rsidRDefault="00000000" w:rsidRPr="00000000" w14:paraId="00000064">
      <w:pPr>
        <w:spacing w:before="240" w:lineRule="auto"/>
        <w:jc w:val="center"/>
        <w:rPr/>
      </w:pPr>
      <w:r w:rsidDel="00000000" w:rsidR="00000000" w:rsidRPr="00000000">
        <w:rPr/>
        <w:drawing>
          <wp:inline distB="0" distT="0" distL="0" distR="0">
            <wp:extent cx="3007161" cy="1646325"/>
            <wp:effectExtent b="0" l="0" r="0" t="0"/>
            <wp:docPr id="45"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007161" cy="1646325"/>
                    </a:xfrm>
                    <a:prstGeom prst="rect"/>
                    <a:ln/>
                  </pic:spPr>
                </pic:pic>
              </a:graphicData>
            </a:graphic>
          </wp:inline>
        </w:drawing>
      </w:r>
      <w:r w:rsidDel="00000000" w:rsidR="00000000" w:rsidRPr="00000000">
        <w:rPr/>
        <w:drawing>
          <wp:inline distB="0" distT="0" distL="0" distR="0">
            <wp:extent cx="3015717" cy="1641890"/>
            <wp:effectExtent b="0" l="0" r="0" t="0"/>
            <wp:docPr id="43"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3015717" cy="1641890"/>
                    </a:xfrm>
                    <a:prstGeom prst="rect"/>
                    <a:ln/>
                  </pic:spPr>
                </pic:pic>
              </a:graphicData>
            </a:graphic>
          </wp:inline>
        </w:drawing>
      </w:r>
      <w:r w:rsidDel="00000000" w:rsidR="00000000" w:rsidRPr="00000000">
        <w:rPr/>
        <w:drawing>
          <wp:inline distB="0" distT="0" distL="0" distR="0">
            <wp:extent cx="4711850" cy="1820560"/>
            <wp:effectExtent b="0" l="0" r="0" t="0"/>
            <wp:docPr id="44"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711850" cy="18205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240" w:lineRule="auto"/>
        <w:rPr/>
      </w:pPr>
      <w:r w:rsidDel="00000000" w:rsidR="00000000" w:rsidRPr="00000000">
        <w:rPr>
          <w:rtl w:val="0"/>
        </w:rPr>
        <w:t xml:space="preserve">In the p-envelope and tau distribution graphics it can be seen that varying the width of the time steps only gives a difference in terms of discretization. But this does not affect the results of the methodology, as shown comparing the probabilities of belonging to each color band depending on different realized volatilities.</w:t>
      </w:r>
    </w:p>
    <w:p w:rsidR="00000000" w:rsidDel="00000000" w:rsidP="00000000" w:rsidRDefault="00000000" w:rsidRPr="00000000" w14:paraId="00000066">
      <w:pPr>
        <w:spacing w:before="240" w:lineRule="auto"/>
        <w:rPr/>
      </w:pPr>
      <w:r w:rsidDel="00000000" w:rsidR="00000000" w:rsidRPr="00000000">
        <w:rPr>
          <w:rtl w:val="0"/>
        </w:rPr>
        <w:t xml:space="preserve">From now on, the rest of the tests are done using </w:t>
      </w:r>
      <m:oMath>
        <m:r>
          <w:rPr>
            <w:rFonts w:ascii="Cambria Math" w:cs="Cambria Math" w:eastAsia="Cambria Math" w:hAnsi="Cambria Math"/>
          </w:rPr>
          <m:t xml:space="preserve">delta=</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250</m:t>
            </m:r>
          </m:den>
        </m:f>
      </m:oMath>
      <w:r w:rsidDel="00000000" w:rsidR="00000000" w:rsidRPr="00000000">
        <w:rPr>
          <w:rtl w:val="0"/>
        </w:rPr>
        <w:t xml:space="preserve"> so as to have more granularity.</w:t>
      </w:r>
    </w:p>
    <w:p w:rsidR="00000000" w:rsidDel="00000000" w:rsidP="00000000" w:rsidRDefault="00000000" w:rsidRPr="00000000" w14:paraId="00000067">
      <w:pPr>
        <w:pStyle w:val="Heading2"/>
        <w:ind w:left="709" w:hanging="709"/>
        <w:rPr/>
      </w:pPr>
      <w:bookmarkStart w:colFirst="0" w:colLast="0" w:name="_heading=h.2s8eyo1" w:id="10"/>
      <w:bookmarkEnd w:id="10"/>
      <w:r w:rsidDel="00000000" w:rsidR="00000000" w:rsidRPr="00000000">
        <w:rPr>
          <w:rtl w:val="0"/>
        </w:rPr>
        <w:t xml:space="preserve">3.2. Back Testing Time Horizon</w:t>
      </w:r>
    </w:p>
    <w:p w:rsidR="00000000" w:rsidDel="00000000" w:rsidP="00000000" w:rsidRDefault="00000000" w:rsidRPr="00000000" w14:paraId="00000068">
      <w:pPr>
        <w:spacing w:before="240" w:lineRule="auto"/>
        <w:rPr/>
      </w:pPr>
      <w:r w:rsidDel="00000000" w:rsidR="00000000" w:rsidRPr="00000000">
        <w:rPr>
          <w:rtl w:val="0"/>
        </w:rPr>
        <w:t xml:space="preserve">It has been also checked what happens when changing the time horizon used for the backtesting (</w:t>
      </w:r>
      <m:oMath>
        <m:r>
          <w:rPr>
            <w:rFonts w:ascii="Cambria Math" w:cs="Cambria Math" w:eastAsia="Cambria Math" w:hAnsi="Cambria Math"/>
          </w:rPr>
          <m:t xml:space="preserve">T</m:t>
        </m:r>
      </m:oMath>
      <w:r w:rsidDel="00000000" w:rsidR="00000000" w:rsidRPr="00000000">
        <w:rPr>
          <w:rtl w:val="0"/>
        </w:rPr>
        <w:t xml:space="preserve">).</w:t>
      </w:r>
    </w:p>
    <w:p w:rsidR="00000000" w:rsidDel="00000000" w:rsidP="00000000" w:rsidRDefault="00000000" w:rsidRPr="00000000" w14:paraId="00000069">
      <w:pPr>
        <w:spacing w:before="24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T=6M→#timesteps=125</m:t>
        </m:r>
      </m:oMath>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hanging="36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70901" cy="1664417"/>
            <wp:effectExtent b="0" l="0" r="0" t="0"/>
            <wp:docPr id="46"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070901" cy="1664417"/>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55324" cy="1635921"/>
            <wp:effectExtent b="0" l="0" r="0" t="0"/>
            <wp:docPr id="4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055324" cy="1635921"/>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770504" cy="1838082"/>
            <wp:effectExtent b="0" l="0" r="0" t="0"/>
            <wp:docPr id="48"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4770504" cy="183808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T=1→#timesteps=250</m:t>
        </m:r>
      </m:oMath>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hanging="36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98800" cy="1685825"/>
            <wp:effectExtent b="0" l="0" r="0" t="0"/>
            <wp:docPr id="49"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3098800" cy="1685825"/>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97612" cy="1669081"/>
            <wp:effectExtent b="0" l="0" r="0" t="0"/>
            <wp:docPr id="50"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3097612" cy="1669081"/>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711827" cy="1815011"/>
            <wp:effectExtent b="0" l="0" r="0" t="0"/>
            <wp:docPr id="5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711827" cy="181501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T=2→#timesteps=500</m:t>
        </m:r>
      </m:oMath>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hanging="36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64100" cy="1687193"/>
            <wp:effectExtent b="0" l="0" r="0" t="0"/>
            <wp:docPr id="52"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3064100" cy="1687193"/>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075038" cy="1670691"/>
            <wp:effectExtent b="0" l="0" r="0" t="0"/>
            <wp:docPr id="53"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3075038" cy="1670691"/>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640233" cy="1802440"/>
            <wp:effectExtent b="0" l="0" r="0" t="0"/>
            <wp:docPr id="2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640233" cy="18024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m:oMath>
        <m:r>
          <w:rPr>
            <w:rFonts w:ascii="Cambria Math" w:cs="Cambria Math" w:eastAsia="Cambria Math" w:hAnsi="Cambria Math"/>
            <w:b w:val="0"/>
            <w:i w:val="0"/>
            <w:smallCaps w:val="0"/>
            <w:strike w:val="0"/>
            <w:color w:val="121212"/>
            <w:sz w:val="24"/>
            <w:szCs w:val="24"/>
            <w:u w:val="none"/>
            <w:shd w:fill="auto" w:val="clear"/>
            <w:vertAlign w:val="baseline"/>
          </w:rPr>
          <m:t xml:space="preserve">T=5→#timesteps=1250</m:t>
        </m:r>
      </m:oMath>
      <w:r w:rsidDel="00000000" w:rsidR="00000000" w:rsidRPr="00000000">
        <w:rPr>
          <w:rtl w:val="0"/>
        </w:rPr>
      </w:r>
    </w:p>
    <w:p w:rsidR="00000000" w:rsidDel="00000000" w:rsidP="00000000" w:rsidRDefault="00000000" w:rsidRPr="00000000" w14:paraId="00000071">
      <w:pPr>
        <w:spacing w:before="240" w:lineRule="auto"/>
        <w:jc w:val="center"/>
        <w:rPr/>
      </w:pPr>
      <w:r w:rsidDel="00000000" w:rsidR="00000000" w:rsidRPr="00000000">
        <w:rPr/>
        <w:drawing>
          <wp:inline distB="0" distT="0" distL="0" distR="0">
            <wp:extent cx="3018981" cy="1664808"/>
            <wp:effectExtent b="0" l="0" r="0" t="0"/>
            <wp:docPr id="2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018981" cy="1664808"/>
                    </a:xfrm>
                    <a:prstGeom prst="rect"/>
                    <a:ln/>
                  </pic:spPr>
                </pic:pic>
              </a:graphicData>
            </a:graphic>
          </wp:inline>
        </w:drawing>
      </w:r>
      <w:r w:rsidDel="00000000" w:rsidR="00000000" w:rsidRPr="00000000">
        <w:rPr/>
        <w:drawing>
          <wp:inline distB="0" distT="0" distL="0" distR="0">
            <wp:extent cx="3023688" cy="1653205"/>
            <wp:effectExtent b="0" l="0" r="0" t="0"/>
            <wp:docPr id="2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023688" cy="1653205"/>
                    </a:xfrm>
                    <a:prstGeom prst="rect"/>
                    <a:ln/>
                  </pic:spPr>
                </pic:pic>
              </a:graphicData>
            </a:graphic>
          </wp:inline>
        </w:drawing>
      </w:r>
      <w:r w:rsidDel="00000000" w:rsidR="00000000" w:rsidRPr="00000000">
        <w:rPr/>
        <w:drawing>
          <wp:inline distB="0" distT="0" distL="0" distR="0">
            <wp:extent cx="4616801" cy="1786550"/>
            <wp:effectExtent b="0" l="0" r="0" t="0"/>
            <wp:docPr id="2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616801" cy="17865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240" w:lineRule="auto"/>
        <w:rPr/>
      </w:pPr>
      <w:r w:rsidDel="00000000" w:rsidR="00000000" w:rsidRPr="00000000">
        <w:rPr>
          <w:rtl w:val="0"/>
        </w:rPr>
        <w:t xml:space="preserve">As happened when varying the width of the time steps, varying the backtesting time horizon does not affect the results of the methodology. The only difference that can be appreciated is that for realized volatilities really far from the model volatility, the probability of being in the green zone increases a little bit, unlike what happens with the probability of being in the red zone.</w:t>
      </w:r>
    </w:p>
    <w:p w:rsidR="00000000" w:rsidDel="00000000" w:rsidP="00000000" w:rsidRDefault="00000000" w:rsidRPr="00000000" w14:paraId="00000073">
      <w:pPr>
        <w:pStyle w:val="Heading2"/>
        <w:ind w:left="709" w:hanging="709"/>
        <w:rPr/>
      </w:pPr>
      <w:bookmarkStart w:colFirst="0" w:colLast="0" w:name="_heading=h.17dp8vu" w:id="11"/>
      <w:bookmarkEnd w:id="11"/>
      <w:r w:rsidDel="00000000" w:rsidR="00000000" w:rsidRPr="00000000">
        <w:rPr>
          <w:rtl w:val="0"/>
        </w:rPr>
        <w:t xml:space="preserve">3.3. </w:t>
      </w:r>
      <m:oMath>
        <m:r>
          <w:rPr>
            <w:rFonts w:ascii="Cambria Math" w:cs="Cambria Math" w:eastAsia="Cambria Math" w:hAnsi="Cambria Math"/>
          </w:rPr>
          <m:t xml:space="preserve">p</m:t>
        </m:r>
      </m:oMath>
      <w:r w:rsidDel="00000000" w:rsidR="00000000" w:rsidRPr="00000000">
        <w:rPr>
          <w:rtl w:val="0"/>
        </w:rPr>
        <w:t xml:space="preserve"> Parameter</w:t>
      </w:r>
    </w:p>
    <w:p w:rsidR="00000000" w:rsidDel="00000000" w:rsidP="00000000" w:rsidRDefault="00000000" w:rsidRPr="00000000" w14:paraId="00000074">
      <w:pPr>
        <w:spacing w:before="240" w:lineRule="auto"/>
        <w:rPr/>
      </w:pPr>
      <w:r w:rsidDel="00000000" w:rsidR="00000000" w:rsidRPr="00000000">
        <w:rPr>
          <w:rtl w:val="0"/>
        </w:rPr>
        <w:t xml:space="preserve">In this section it is analyzed the effect of changing the </w:t>
      </w:r>
      <m:oMath>
        <m:r>
          <w:rPr>
            <w:rFonts w:ascii="Cambria Math" w:cs="Cambria Math" w:eastAsia="Cambria Math" w:hAnsi="Cambria Math"/>
          </w:rPr>
          <m:t xml:space="preserve">p</m:t>
        </m:r>
      </m:oMath>
      <w:r w:rsidDel="00000000" w:rsidR="00000000" w:rsidRPr="00000000">
        <w:rPr>
          <w:rtl w:val="0"/>
        </w:rPr>
        <w:t xml:space="preserve"> parameter. The higher the </w:t>
      </w:r>
      <m:oMath>
        <m:r>
          <w:rPr>
            <w:rFonts w:ascii="Cambria Math" w:cs="Cambria Math" w:eastAsia="Cambria Math" w:hAnsi="Cambria Math"/>
          </w:rPr>
          <m:t xml:space="preserve">p</m:t>
        </m:r>
      </m:oMath>
      <w:r w:rsidDel="00000000" w:rsidR="00000000" w:rsidRPr="00000000">
        <w:rPr>
          <w:rtl w:val="0"/>
        </w:rPr>
        <w:t xml:space="preserve"> (smaller the </w:t>
      </w:r>
      <m:oMath>
        <m:r>
          <m:t>α</m:t>
        </m:r>
      </m:oMath>
      <w:r w:rsidDel="00000000" w:rsidR="00000000" w:rsidRPr="00000000">
        <w:rPr>
          <w:rtl w:val="0"/>
        </w:rPr>
        <w:t xml:space="preserve">), the wider the p-envelope becomes. This means that it is more difficult for the realized path to get out of the envelope, so there will be more tau values equal to zero, as shown in the graphics.</w:t>
      </w:r>
    </w:p>
    <w:p w:rsidR="00000000" w:rsidDel="00000000" w:rsidP="00000000" w:rsidRDefault="00000000" w:rsidRPr="00000000" w14:paraId="00000075">
      <w:pPr>
        <w:spacing w:before="240" w:lineRule="auto"/>
        <w:rPr/>
      </w:pPr>
      <w:r w:rsidDel="00000000" w:rsidR="00000000" w:rsidRPr="00000000">
        <w:rPr/>
        <w:drawing>
          <wp:inline distB="0" distT="0" distL="0" distR="0">
            <wp:extent cx="3173643" cy="1740224"/>
            <wp:effectExtent b="0" l="0" r="0" t="0"/>
            <wp:docPr id="2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173643" cy="174022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127753" cy="1732141"/>
            <wp:effectExtent b="0" l="0" r="0" t="0"/>
            <wp:docPr id="29"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127753" cy="173214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240" w:lineRule="auto"/>
        <w:rPr/>
      </w:pPr>
      <w:r w:rsidDel="00000000" w:rsidR="00000000" w:rsidRPr="00000000">
        <w:rPr>
          <w:rtl w:val="0"/>
        </w:rPr>
        <w:t xml:space="preserve">This results in the methodology becoming stricter as </w:t>
      </w:r>
      <m:oMath>
        <m:r>
          <w:rPr>
            <w:rFonts w:ascii="Cambria Math" w:cs="Cambria Math" w:eastAsia="Cambria Math" w:hAnsi="Cambria Math"/>
          </w:rPr>
          <m:t xml:space="preserve">p</m:t>
        </m:r>
      </m:oMath>
      <w:r w:rsidDel="00000000" w:rsidR="00000000" w:rsidRPr="00000000">
        <w:rPr>
          <w:rtl w:val="0"/>
        </w:rPr>
        <w:t xml:space="preserve"> increases (</w:t>
      </w:r>
      <m:oMath>
        <m:r>
          <m:t>α</m:t>
        </m:r>
      </m:oMath>
      <w:r w:rsidDel="00000000" w:rsidR="00000000" w:rsidRPr="00000000">
        <w:rPr>
          <w:rtl w:val="0"/>
        </w:rPr>
        <w:t xml:space="preserve"> decreses):</w:t>
      </w:r>
    </w:p>
    <w:p w:rsidR="00000000" w:rsidDel="00000000" w:rsidP="00000000" w:rsidRDefault="00000000" w:rsidRPr="00000000" w14:paraId="00000077">
      <w:pPr>
        <w:spacing w:before="240" w:lineRule="auto"/>
        <w:jc w:val="center"/>
        <w:rPr/>
      </w:pPr>
      <w:r w:rsidDel="00000000" w:rsidR="00000000" w:rsidRPr="00000000">
        <w:rPr/>
        <w:drawing>
          <wp:inline distB="0" distT="0" distL="0" distR="0">
            <wp:extent cx="4709526" cy="1841815"/>
            <wp:effectExtent b="0" l="0" r="0" t="0"/>
            <wp:docPr id="3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709526" cy="184181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ind w:left="709" w:hanging="709"/>
        <w:rPr/>
      </w:pPr>
      <w:bookmarkStart w:colFirst="0" w:colLast="0" w:name="_heading=h.3rdcrjn" w:id="12"/>
      <w:bookmarkEnd w:id="12"/>
      <w:r w:rsidDel="00000000" w:rsidR="00000000" w:rsidRPr="00000000">
        <w:rPr>
          <w:rtl w:val="0"/>
        </w:rPr>
        <w:t xml:space="preserve">3.4.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m:t>
            </m:r>
          </m:sub>
        </m:sSub>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Parameters</w:t>
      </w:r>
    </w:p>
    <w:p w:rsidR="00000000" w:rsidDel="00000000" w:rsidP="00000000" w:rsidRDefault="00000000" w:rsidRPr="00000000" w14:paraId="00000079">
      <w:pPr>
        <w:spacing w:before="240" w:lineRule="auto"/>
        <w:rPr/>
      </w:pPr>
      <w:r w:rsidDel="00000000" w:rsidR="00000000" w:rsidRPr="00000000">
        <w:rPr>
          <w:rtl w:val="0"/>
        </w:rPr>
        <w:t xml:space="preserve">If we want to be stricter when deciding whether a model from the yellow zone must be in the red zone or not, a higher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m:t>
            </m:r>
          </m:sub>
        </m:sSub>
      </m:oMath>
      <w:r w:rsidDel="00000000" w:rsidR="00000000" w:rsidRPr="00000000">
        <w:rPr>
          <w:rtl w:val="0"/>
        </w:rPr>
        <w:t xml:space="preserve"> can be chosen, so that </w:t>
      </w:r>
      <m:oMath>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m:t>
            </m:r>
          </m:sub>
        </m:sSub>
      </m:oMath>
      <w:r w:rsidDel="00000000" w:rsidR="00000000" w:rsidRPr="00000000">
        <w:rPr>
          <w:rtl w:val="0"/>
        </w:rPr>
        <w:t xml:space="preserve"> is lower and the probability of belonging to the red zone increases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7A">
      <w:pPr>
        <w:spacing w:before="240" w:lineRule="auto"/>
        <w:jc w:val="center"/>
        <w:rPr/>
      </w:pPr>
      <w:r w:rsidDel="00000000" w:rsidR="00000000" w:rsidRPr="00000000">
        <w:rPr/>
        <w:drawing>
          <wp:inline distB="0" distT="0" distL="0" distR="0">
            <wp:extent cx="4682233" cy="1837106"/>
            <wp:effectExtent b="0" l="0" r="0" t="0"/>
            <wp:docPr id="3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682233" cy="183710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240" w:lineRule="auto"/>
        <w:rPr/>
      </w:pPr>
      <w:r w:rsidDel="00000000" w:rsidR="00000000" w:rsidRPr="00000000">
        <w:rPr>
          <w:rtl w:val="0"/>
        </w:rPr>
        <w:t xml:space="preserve">Exactly the same happens with the green zone and the use of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For a higher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there will be more paths mapped to the green zone and less for the yellow zone.</w:t>
      </w:r>
    </w:p>
    <w:p w:rsidR="00000000" w:rsidDel="00000000" w:rsidP="00000000" w:rsidRDefault="00000000" w:rsidRPr="00000000" w14:paraId="0000007C">
      <w:pPr>
        <w:spacing w:before="240" w:lineRule="auto"/>
        <w:jc w:val="center"/>
        <w:rPr/>
      </w:pPr>
      <w:r w:rsidDel="00000000" w:rsidR="00000000" w:rsidRPr="00000000">
        <w:rPr/>
        <w:drawing>
          <wp:inline distB="0" distT="0" distL="0" distR="0">
            <wp:extent cx="4780388" cy="1859223"/>
            <wp:effectExtent b="0" l="0" r="0" t="0"/>
            <wp:docPr id="32"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780388" cy="185922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40" w:lineRule="auto"/>
        <w:rPr/>
      </w:pPr>
      <w:r w:rsidDel="00000000" w:rsidR="00000000" w:rsidRPr="00000000">
        <w:rPr>
          <w:rtl w:val="0"/>
        </w:rPr>
      </w:r>
    </w:p>
    <w:p w:rsidR="00000000" w:rsidDel="00000000" w:rsidP="00000000" w:rsidRDefault="00000000" w:rsidRPr="00000000" w14:paraId="0000007E">
      <w:pPr>
        <w:spacing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1"/>
        </w:numPr>
        <w:ind w:left="720" w:hanging="720"/>
        <w:rPr/>
      </w:pPr>
      <w:bookmarkStart w:colFirst="0" w:colLast="0" w:name="_heading=h.26in1rg" w:id="13"/>
      <w:bookmarkEnd w:id="13"/>
      <w:r w:rsidDel="00000000" w:rsidR="00000000" w:rsidRPr="00000000">
        <w:rPr>
          <w:rtl w:val="0"/>
        </w:rPr>
        <w:t xml:space="preserve">Backtesting with a Real Portfolio</w:t>
      </w:r>
    </w:p>
    <w:p w:rsidR="00000000" w:rsidDel="00000000" w:rsidP="00000000" w:rsidRDefault="00000000" w:rsidRPr="00000000" w14:paraId="00000080">
      <w:pPr>
        <w:spacing w:before="240" w:lineRule="auto"/>
        <w:rPr/>
      </w:pPr>
      <w:r w:rsidDel="00000000" w:rsidR="00000000" w:rsidRPr="00000000">
        <w:rPr>
          <w:rtl w:val="0"/>
        </w:rPr>
        <w:t xml:space="preserve">Regarding exposures backtesting using a real portfolio, it requires a huge amount of resources to launch the test with a complete portfolio. As the regulation allows using a representative portfolio, this backtesting will be applied to a sub-portfolio meeting these criteria:</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bookmarkStart w:colFirst="0" w:colLast="0" w:name="_heading=h.lnxbz9" w:id="14"/>
      <w:bookmarkEnd w:id="14"/>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It should contain at least the 8 counterparties with the greatest capital contribution, including only IMM trades.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It should contain different counterparty credit risk mitigants: at least one uncollateralized counterparty, one fully collateralized and one with initial margin.</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133.8582677165355" w:right="0" w:hanging="360"/>
        <w:jc w:val="left"/>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 backtesting portfolio should be representative of actual portfolios accounting for at least 50% of the capital amount.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hanging="36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This portfolio should be reviewed once a year to ensure the compliance with these criteria.</w:t>
      </w:r>
    </w:p>
    <w:p w:rsidR="00000000" w:rsidDel="00000000" w:rsidP="00000000" w:rsidRDefault="00000000" w:rsidRPr="00000000" w14:paraId="00000085">
      <w:pPr>
        <w:spacing w:before="240" w:lineRule="auto"/>
        <w:rPr/>
      </w:pPr>
      <w:r w:rsidDel="00000000" w:rsidR="00000000" w:rsidRPr="00000000">
        <w:rPr>
          <w:rtl w:val="0"/>
        </w:rPr>
      </w:r>
    </w:p>
    <w:p w:rsidR="00000000" w:rsidDel="00000000" w:rsidP="00000000" w:rsidRDefault="00000000" w:rsidRPr="00000000" w14:paraId="00000086">
      <w:pPr>
        <w:pStyle w:val="Heading1"/>
        <w:numPr>
          <w:ilvl w:val="0"/>
          <w:numId w:val="1"/>
        </w:numPr>
        <w:ind w:left="720" w:hanging="720"/>
        <w:rPr/>
      </w:pPr>
      <w:bookmarkStart w:colFirst="0" w:colLast="0" w:name="_heading=h.35nkun2" w:id="15"/>
      <w:bookmarkEnd w:id="15"/>
      <w:r w:rsidDel="00000000" w:rsidR="00000000" w:rsidRPr="00000000">
        <w:rPr>
          <w:rtl w:val="0"/>
        </w:rPr>
        <w:t xml:space="preserve">Example Results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In this section we try to introduce the effect correlation between two underlying stocks and volatility have in the methodology.</w:t>
      </w:r>
    </w:p>
    <w:p w:rsidR="00000000" w:rsidDel="00000000" w:rsidP="00000000" w:rsidRDefault="00000000" w:rsidRPr="00000000" w14:paraId="00000088">
      <w:pPr>
        <w:pStyle w:val="Heading2"/>
        <w:ind w:left="502" w:hanging="502"/>
        <w:rPr/>
      </w:pPr>
      <w:bookmarkStart w:colFirst="0" w:colLast="0" w:name="_heading=h.1ksv4uv" w:id="16"/>
      <w:bookmarkEnd w:id="16"/>
      <w:r w:rsidDel="00000000" w:rsidR="00000000" w:rsidRPr="00000000">
        <w:rPr>
          <w:rtl w:val="0"/>
        </w:rPr>
        <w:t xml:space="preserve">3.2. Example 1: Two Forwards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An interesting test it is to see to what extent does the correlation between two underlying stocks affect the results previously obtained.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For this test, an equally weighted portfolio of two forwards has been used. These are the inputs: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4064000" cy="1465580"/>
                <wp:effectExtent b="0" l="0" r="0" t="0"/>
                <wp:wrapNone/>
                <wp:docPr id="8" name=""/>
                <a:graphic>
                  <a:graphicData uri="http://schemas.microsoft.com/office/word/2010/wordprocessingShape">
                    <wps:wsp>
                      <wps:cNvSpPr/>
                      <wps:cNvPr id="9" name="Shape 9"/>
                      <wps:spPr>
                        <a:xfrm>
                          <a:off x="3326700" y="3059910"/>
                          <a:ext cx="4038600" cy="1440180"/>
                        </a:xfrm>
                        <a:prstGeom prst="roundRect">
                          <a:avLst>
                            <a:gd fmla="val 16667" name="adj"/>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p-Envelope: </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Forward 1: strike 10, maturity 1 year, weight=50%</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1: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Forward 2: strike 10, maturity 1 year, weight=50%</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2: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Bands:  and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4064000" cy="1465580"/>
                <wp:effectExtent b="0" l="0" r="0" t="0"/>
                <wp:wrapNone/>
                <wp:docPr id="8" name="image53.png"/>
                <a:graphic>
                  <a:graphicData uri="http://schemas.openxmlformats.org/drawingml/2006/picture">
                    <pic:pic>
                      <pic:nvPicPr>
                        <pic:cNvPr id="0" name="image53.png"/>
                        <pic:cNvPicPr preferRelativeResize="0"/>
                      </pic:nvPicPr>
                      <pic:blipFill>
                        <a:blip r:embed="rId38"/>
                        <a:srcRect/>
                        <a:stretch>
                          <a:fillRect/>
                        </a:stretch>
                      </pic:blipFill>
                      <pic:spPr>
                        <a:xfrm>
                          <a:off x="0" y="0"/>
                          <a:ext cx="4064000" cy="1465580"/>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Different correlations between the two underlying assets have been tested, and these are the results: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12436" cy="1753625"/>
            <wp:effectExtent b="0" l="0" r="0" t="0"/>
            <wp:docPr id="3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212436" cy="17536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13476" cy="1734664"/>
            <wp:effectExtent b="0" l="0" r="0" t="0"/>
            <wp:docPr id="1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213476" cy="1734664"/>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ab/>
        <w:tab/>
        <w:tab/>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1784580" cy="1743790"/>
            <wp:effectExtent b="0" l="0" r="0" t="0"/>
            <wp:docPr id="15"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784580" cy="17437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800100</wp:posOffset>
                </wp:positionV>
                <wp:extent cx="1059375" cy="159043"/>
                <wp:effectExtent b="0" l="0" r="0" t="0"/>
                <wp:wrapNone/>
                <wp:docPr id="5" name=""/>
                <a:graphic>
                  <a:graphicData uri="http://schemas.microsoft.com/office/word/2010/wordprocessingShape">
                    <wps:wsp>
                      <wps:cNvSpPr/>
                      <wps:cNvPr id="6" name="Shape 6"/>
                      <wps:spPr>
                        <a:xfrm>
                          <a:off x="4829013" y="3713179"/>
                          <a:ext cx="1033975" cy="133643"/>
                        </a:xfrm>
                        <a:prstGeom prst="rightArrow">
                          <a:avLst>
                            <a:gd fmla="val 50000" name="adj1"/>
                            <a:gd fmla="val 50000" name="adj2"/>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800100</wp:posOffset>
                </wp:positionV>
                <wp:extent cx="1059375" cy="159043"/>
                <wp:effectExtent b="0" l="0" r="0" t="0"/>
                <wp:wrapNone/>
                <wp:docPr id="5" name="image50.png"/>
                <a:graphic>
                  <a:graphicData uri="http://schemas.openxmlformats.org/drawingml/2006/picture">
                    <pic:pic>
                      <pic:nvPicPr>
                        <pic:cNvPr id="0" name="image50.png"/>
                        <pic:cNvPicPr preferRelativeResize="0"/>
                      </pic:nvPicPr>
                      <pic:blipFill>
                        <a:blip r:embed="rId42"/>
                        <a:srcRect/>
                        <a:stretch>
                          <a:fillRect/>
                        </a:stretch>
                      </pic:blipFill>
                      <pic:spPr>
                        <a:xfrm>
                          <a:off x="0" y="0"/>
                          <a:ext cx="1059375" cy="1590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635000</wp:posOffset>
                </wp:positionV>
                <wp:extent cx="551131" cy="227574"/>
                <wp:effectExtent b="0" l="0" r="0" t="0"/>
                <wp:wrapNone/>
                <wp:docPr id="7" name=""/>
                <a:graphic>
                  <a:graphicData uri="http://schemas.microsoft.com/office/word/2010/wordprocessingShape">
                    <wps:wsp>
                      <wps:cNvSpPr/>
                      <wps:cNvPr id="8" name="Shape 8"/>
                      <wps:spPr>
                        <a:xfrm>
                          <a:off x="5075197" y="3670976"/>
                          <a:ext cx="541606" cy="218049"/>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0"/>
                                <w:vertAlign w:val="baseline"/>
                              </w:rPr>
                              <w:t xml:space="preserve">Zoom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635000</wp:posOffset>
                </wp:positionV>
                <wp:extent cx="551131" cy="227574"/>
                <wp:effectExtent b="0" l="0" r="0" t="0"/>
                <wp:wrapNone/>
                <wp:docPr id="7" name="image52.png"/>
                <a:graphic>
                  <a:graphicData uri="http://schemas.openxmlformats.org/drawingml/2006/picture">
                    <pic:pic>
                      <pic:nvPicPr>
                        <pic:cNvPr id="0" name="image52.png"/>
                        <pic:cNvPicPr preferRelativeResize="0"/>
                      </pic:nvPicPr>
                      <pic:blipFill>
                        <a:blip r:embed="rId43"/>
                        <a:srcRect/>
                        <a:stretch>
                          <a:fillRect/>
                        </a:stretch>
                      </pic:blipFill>
                      <pic:spPr>
                        <a:xfrm>
                          <a:off x="0" y="0"/>
                          <a:ext cx="551131" cy="227574"/>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 differences between positive correlations are small, but when correlation is lower, the p-envelope becomes narrower and the methodology becomes a little bit stricter.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green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644136" cy="1795307"/>
            <wp:effectExtent b="0" l="0" r="0" t="0"/>
            <wp:docPr id="16"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644136" cy="179530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yellow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637281" cy="1790840"/>
            <wp:effectExtent b="0" l="0" r="0" t="0"/>
            <wp:docPr id="17"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4637281" cy="179084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red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948178" cy="1923025"/>
            <wp:effectExtent b="0" l="0" r="0" t="0"/>
            <wp:docPr id="18"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4948178" cy="19230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ind w:left="709" w:hanging="709"/>
        <w:rPr/>
      </w:pPr>
      <w:bookmarkStart w:colFirst="0" w:colLast="0" w:name="_heading=h.44sinio" w:id="17"/>
      <w:bookmarkEnd w:id="17"/>
      <w:r w:rsidDel="00000000" w:rsidR="00000000" w:rsidRPr="00000000">
        <w:rPr>
          <w:rtl w:val="0"/>
        </w:rPr>
        <w:t xml:space="preserve">3.3. Example 2: A Call Option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In this example we introduce the volatility in the pricing of the portfolio. This time the portfolio used is one at-the-money call option: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558800</wp:posOffset>
                </wp:positionV>
                <wp:extent cx="4064000" cy="1026160"/>
                <wp:effectExtent b="0" l="0" r="0" t="0"/>
                <wp:wrapNone/>
                <wp:docPr id="4" name=""/>
                <a:graphic>
                  <a:graphicData uri="http://schemas.microsoft.com/office/word/2010/wordprocessingShape">
                    <wps:wsp>
                      <wps:cNvSpPr/>
                      <wps:cNvPr id="5" name="Shape 5"/>
                      <wps:spPr>
                        <a:xfrm>
                          <a:off x="3326700" y="3279620"/>
                          <a:ext cx="4038600" cy="1000760"/>
                        </a:xfrm>
                        <a:prstGeom prst="roundRect">
                          <a:avLst>
                            <a:gd fmla="val 16667" name="adj"/>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p-Envelope: </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Call: strike 10, maturity 1 year, weight=50%</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Bands:  and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558800</wp:posOffset>
                </wp:positionV>
                <wp:extent cx="4064000" cy="1026160"/>
                <wp:effectExtent b="0" l="0" r="0" t="0"/>
                <wp:wrapNone/>
                <wp:docPr id="4" name="image49.png"/>
                <a:graphic>
                  <a:graphicData uri="http://schemas.openxmlformats.org/drawingml/2006/picture">
                    <pic:pic>
                      <pic:nvPicPr>
                        <pic:cNvPr id="0" name="image49.png"/>
                        <pic:cNvPicPr preferRelativeResize="0"/>
                      </pic:nvPicPr>
                      <pic:blipFill>
                        <a:blip r:embed="rId47"/>
                        <a:srcRect/>
                        <a:stretch>
                          <a:fillRect/>
                        </a:stretch>
                      </pic:blipFill>
                      <pic:spPr>
                        <a:xfrm>
                          <a:off x="0" y="0"/>
                          <a:ext cx="4064000" cy="1026160"/>
                        </a:xfrm>
                        <a:prstGeom prst="rect"/>
                        <a:ln/>
                      </pic:spPr>
                    </pic:pic>
                  </a:graphicData>
                </a:graphic>
              </wp:anchor>
            </w:drawing>
          </mc:Fallback>
        </mc:AlternateConten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These are the results using this portfolio: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28298" cy="1761351"/>
            <wp:effectExtent b="0" l="0" r="0" t="0"/>
            <wp:docPr id="19"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28298" cy="1761351"/>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55669" cy="1766922"/>
            <wp:effectExtent b="0" l="0" r="0" t="0"/>
            <wp:docPr id="20"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3255669" cy="176692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4454422" cy="1745540"/>
            <wp:effectExtent b="0" l="0" r="0" t="0"/>
            <wp:docPr id="21"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454422" cy="17455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As can be seen, the p-envelope is narrower in the first time steps with a call than it was in the forward case. This increases the likelihood of the realized paths to get out of the envelope and their tau values are greater, which leads the methodology to be stricter.</w:t>
      </w:r>
    </w:p>
    <w:p w:rsidR="00000000" w:rsidDel="00000000" w:rsidP="00000000" w:rsidRDefault="00000000" w:rsidRPr="00000000" w14:paraId="000000A0">
      <w:pPr>
        <w:pStyle w:val="Heading2"/>
        <w:ind w:left="709" w:hanging="709"/>
        <w:rPr/>
      </w:pPr>
      <w:bookmarkStart w:colFirst="0" w:colLast="0" w:name="_heading=h.2jxsxqh" w:id="18"/>
      <w:bookmarkEnd w:id="18"/>
      <w:r w:rsidDel="00000000" w:rsidR="00000000" w:rsidRPr="00000000">
        <w:rPr>
          <w:rtl w:val="0"/>
        </w:rPr>
        <w:t xml:space="preserve">3.4. Example 3: Two Call Options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As in the forward case, it has also been checked what happens if we apply the test with a portfolio of two ATM call options, to see how the correlation between the underlying assets affect.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This is the portfolio used: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330200</wp:posOffset>
                </wp:positionV>
                <wp:extent cx="4064000" cy="1506960"/>
                <wp:effectExtent b="0" l="0" r="0" t="0"/>
                <wp:wrapNone/>
                <wp:docPr id="2" name=""/>
                <a:graphic>
                  <a:graphicData uri="http://schemas.microsoft.com/office/word/2010/wordprocessingShape">
                    <wps:wsp>
                      <wps:cNvSpPr/>
                      <wps:cNvPr id="3" name="Shape 3"/>
                      <wps:spPr>
                        <a:xfrm>
                          <a:off x="3326700" y="3039220"/>
                          <a:ext cx="4038600" cy="1481560"/>
                        </a:xfrm>
                        <a:prstGeom prst="roundRect">
                          <a:avLst>
                            <a:gd fmla="val 16667" name="adj"/>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p-Envelope: </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Call 1: strike 10, maturity 1 year, weight=50%</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1: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Call 2: strike 10, maturity 1 year, weight=50%</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Underlying 2: lognormal, spot 10, volatility 10%, r=1%</w:t>
                            </w:r>
                          </w:p>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4"/>
                                <w:vertAlign w:val="baseline"/>
                              </w:rPr>
                            </w:r>
                            <w:r w:rsidDel="00000000" w:rsidR="00000000" w:rsidRPr="00000000">
                              <w:rPr>
                                <w:rFonts w:ascii="BBVABentonSansLight" w:cs="BBVABentonSansLight" w:eastAsia="BBVABentonSansLight" w:hAnsi="BBVABentonSansLight"/>
                                <w:b w:val="0"/>
                                <w:i w:val="0"/>
                                <w:smallCaps w:val="0"/>
                                <w:strike w:val="0"/>
                                <w:color w:val="121212"/>
                                <w:sz w:val="24"/>
                                <w:vertAlign w:val="baseline"/>
                              </w:rPr>
                              <w:t xml:space="preserve">Bands:  and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330200</wp:posOffset>
                </wp:positionV>
                <wp:extent cx="4064000" cy="1506960"/>
                <wp:effectExtent b="0" l="0" r="0" t="0"/>
                <wp:wrapNone/>
                <wp:docPr id="2" name="image47.png"/>
                <a:graphic>
                  <a:graphicData uri="http://schemas.openxmlformats.org/drawingml/2006/picture">
                    <pic:pic>
                      <pic:nvPicPr>
                        <pic:cNvPr id="0" name="image47.png"/>
                        <pic:cNvPicPr preferRelativeResize="0"/>
                      </pic:nvPicPr>
                      <pic:blipFill>
                        <a:blip r:embed="rId51"/>
                        <a:srcRect/>
                        <a:stretch>
                          <a:fillRect/>
                        </a:stretch>
                      </pic:blipFill>
                      <pic:spPr>
                        <a:xfrm>
                          <a:off x="0" y="0"/>
                          <a:ext cx="4064000" cy="1506960"/>
                        </a:xfrm>
                        <a:prstGeom prst="rect"/>
                        <a:ln/>
                      </pic:spPr>
                    </pic:pic>
                  </a:graphicData>
                </a:graphic>
              </wp:anchor>
            </w:drawing>
          </mc:Fallback>
        </mc:AlternateConten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And these are the results: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37990" cy="1734454"/>
            <wp:effectExtent b="0" l="0" r="0" t="0"/>
            <wp:docPr id="2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3237990" cy="173445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3229449" cy="1732625"/>
            <wp:effectExtent b="0" l="0" r="0" t="0"/>
            <wp:docPr id="23"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3229449" cy="1732625"/>
                    </a:xfrm>
                    <a:prstGeom prst="rect"/>
                    <a:ln/>
                  </pic:spPr>
                </pic:pic>
              </a:graphicData>
            </a:graphic>
          </wp:inline>
        </w:drawing>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ab/>
        <w:tab/>
        <w:tab/>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1806112" cy="1739410"/>
            <wp:effectExtent b="0" l="0" r="0" t="0"/>
            <wp:docPr id="10"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1806112" cy="17394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800100</wp:posOffset>
                </wp:positionV>
                <wp:extent cx="1059375" cy="159043"/>
                <wp:effectExtent b="0" l="0" r="0" t="0"/>
                <wp:wrapNone/>
                <wp:docPr id="6" name=""/>
                <a:graphic>
                  <a:graphicData uri="http://schemas.microsoft.com/office/word/2010/wordprocessingShape">
                    <wps:wsp>
                      <wps:cNvSpPr/>
                      <wps:cNvPr id="7" name="Shape 7"/>
                      <wps:spPr>
                        <a:xfrm>
                          <a:off x="4829013" y="3713179"/>
                          <a:ext cx="1033975" cy="133643"/>
                        </a:xfrm>
                        <a:prstGeom prst="rightArrow">
                          <a:avLst>
                            <a:gd fmla="val 50000" name="adj1"/>
                            <a:gd fmla="val 50000" name="adj2"/>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800100</wp:posOffset>
                </wp:positionV>
                <wp:extent cx="1059375" cy="159043"/>
                <wp:effectExtent b="0" l="0" r="0" t="0"/>
                <wp:wrapNone/>
                <wp:docPr id="6" name="image51.png"/>
                <a:graphic>
                  <a:graphicData uri="http://schemas.openxmlformats.org/drawingml/2006/picture">
                    <pic:pic>
                      <pic:nvPicPr>
                        <pic:cNvPr id="0" name="image51.png"/>
                        <pic:cNvPicPr preferRelativeResize="0"/>
                      </pic:nvPicPr>
                      <pic:blipFill>
                        <a:blip r:embed="rId55"/>
                        <a:srcRect/>
                        <a:stretch>
                          <a:fillRect/>
                        </a:stretch>
                      </pic:blipFill>
                      <pic:spPr>
                        <a:xfrm>
                          <a:off x="0" y="0"/>
                          <a:ext cx="1059375" cy="1590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635000</wp:posOffset>
                </wp:positionV>
                <wp:extent cx="551131" cy="227574"/>
                <wp:effectExtent b="0" l="0" r="0" t="0"/>
                <wp:wrapNone/>
                <wp:docPr id="3" name=""/>
                <a:graphic>
                  <a:graphicData uri="http://schemas.microsoft.com/office/word/2010/wordprocessingShape">
                    <wps:wsp>
                      <wps:cNvSpPr/>
                      <wps:cNvPr id="4" name="Shape 4"/>
                      <wps:spPr>
                        <a:xfrm>
                          <a:off x="5075197" y="3670976"/>
                          <a:ext cx="541606" cy="218049"/>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BBVABentonSansLight" w:cs="BBVABentonSansLight" w:eastAsia="BBVABentonSansLight" w:hAnsi="BBVABentonSansLight"/>
                                <w:b w:val="0"/>
                                <w:i w:val="0"/>
                                <w:smallCaps w:val="0"/>
                                <w:strike w:val="0"/>
                                <w:color w:val="121212"/>
                                <w:sz w:val="20"/>
                                <w:vertAlign w:val="baseline"/>
                              </w:rPr>
                              <w:t xml:space="preserve">Zoom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635000</wp:posOffset>
                </wp:positionV>
                <wp:extent cx="551131" cy="227574"/>
                <wp:effectExtent b="0" l="0" r="0" t="0"/>
                <wp:wrapNone/>
                <wp:docPr id="3" name="image48.png"/>
                <a:graphic>
                  <a:graphicData uri="http://schemas.openxmlformats.org/drawingml/2006/picture">
                    <pic:pic>
                      <pic:nvPicPr>
                        <pic:cNvPr id="0" name="image48.png"/>
                        <pic:cNvPicPr preferRelativeResize="0"/>
                      </pic:nvPicPr>
                      <pic:blipFill>
                        <a:blip r:embed="rId56"/>
                        <a:srcRect/>
                        <a:stretch>
                          <a:fillRect/>
                        </a:stretch>
                      </pic:blipFill>
                      <pic:spPr>
                        <a:xfrm>
                          <a:off x="0" y="0"/>
                          <a:ext cx="551131" cy="227574"/>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As happens in the two forward case, tau values are greater as correlation lowers, which leads the methodology to be stricter. The results in this case (two calls) are even more pronounced.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It can also be seen that the results with two call options are pretty much stricter than the forwards case as realized volatilities move away from the volatility of the model.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green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5188049" cy="1808318"/>
            <wp:effectExtent b="0" l="0" r="0" t="0"/>
            <wp:docPr id="11"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188049" cy="180831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yellow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5079671" cy="1801902"/>
            <wp:effectExtent b="0" l="0" r="0" t="0"/>
            <wp:docPr id="12"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5079671" cy="180190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tl w:val="0"/>
        </w:rPr>
        <w:t xml:space="preserve">Probability of being in the red zone:  </w:t>
      </w:r>
      <w:r w:rsidDel="00000000" w:rsidR="00000000" w:rsidRPr="00000000">
        <w:rPr>
          <w:rFonts w:ascii="BBVABentonSansLight" w:cs="BBVABentonSansLight" w:eastAsia="BBVABentonSansLight" w:hAnsi="BBVABentonSansLight"/>
          <w:b w:val="0"/>
          <w:i w:val="0"/>
          <w:smallCaps w:val="0"/>
          <w:strike w:val="0"/>
          <w:color w:val="121212"/>
          <w:sz w:val="24"/>
          <w:szCs w:val="24"/>
          <w:u w:val="none"/>
          <w:shd w:fill="auto" w:val="clear"/>
          <w:vertAlign w:val="baseline"/>
        </w:rPr>
        <w:drawing>
          <wp:inline distB="0" distT="0" distL="0" distR="0">
            <wp:extent cx="5110049" cy="1818687"/>
            <wp:effectExtent b="0" l="0" r="0" t="0"/>
            <wp:docPr id="13"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5110049" cy="181868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rFonts w:ascii="BBVABentonSansLight" w:cs="BBVABentonSansLight" w:eastAsia="BBVABentonSansLight" w:hAnsi="BBVABentonSansLight"/>
          <w:b w:val="0"/>
          <w:i w:val="0"/>
          <w:smallCaps w:val="0"/>
          <w:strike w:val="0"/>
          <w:color w:val="1212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headerReference r:id="rId60" w:type="default"/>
      <w:pgSz w:h="16838" w:w="11906" w:orient="portrait"/>
      <w:pgMar w:bottom="1701" w:top="2835" w:left="737" w:right="964" w:header="73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mbria"/>
  <w:font w:name="Courier New"/>
  <w:font w:name="BBVABentonSans"/>
  <w:font w:name="BBVABentonSansLight"/>
  <w:font w:name="Noto Sans Symbols">
    <w:embedRegular w:fontKey="{00000000-0000-0000-0000-000000000000}" r:id="rId1" w:subsetted="0"/>
    <w:embedBold w:fontKey="{00000000-0000-0000-0000-000000000000}" r:id="rId2" w:subsetted="0"/>
  </w:font>
  <w:font w:name="Stag Sans Light"/>
  <w:font w:name="Cambria Math">
    <w:embedRegular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BBVABentonSansLight" w:cs="BBVABentonSansLight" w:eastAsia="BBVABentonSansLight" w:hAnsi="BBVABentonSansLight"/>
          <w:b w:val="0"/>
          <w:i w:val="0"/>
          <w:smallCaps w:val="0"/>
          <w:strike w:val="0"/>
          <w:color w:val="121212"/>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 https://www.iruizconsulting.com/wp-content/uploads/2012/10/iRuiz_Backtesting_counterparty_risk_models1.pdf</w:t>
      </w:r>
    </w:p>
  </w:footnote>
  <w:footnote w:id="1">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BBVABentonSansLight" w:cs="BBVABentonSansLight" w:eastAsia="BBVABentonSansLight" w:hAnsi="BBVABentonSansLight"/>
          <w:b w:val="0"/>
          <w:i w:val="1"/>
          <w:smallCaps w:val="0"/>
          <w:strike w:val="0"/>
          <w:color w:val="121212"/>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 Notice that </w:t>
      </w:r>
      <w:r w:rsidDel="00000000" w:rsidR="00000000" w:rsidRPr="00000000">
        <w:rPr>
          <w:rFonts w:ascii="Cambria Math" w:cs="Cambria Math" w:eastAsia="Cambria Math" w:hAnsi="Cambria Math"/>
          <w:b w:val="0"/>
          <w:i w:val="0"/>
          <w:smallCaps w:val="0"/>
          <w:strike w:val="0"/>
          <w:color w:val="121212"/>
          <w:sz w:val="20"/>
          <w:szCs w:val="20"/>
          <w:u w:val="none"/>
          <w:shd w:fill="auto" w:val="clear"/>
          <w:vertAlign w:val="baseline"/>
          <w:rtl w:val="0"/>
        </w:rPr>
        <w:t xml:space="preserve">1-pb</w:t>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 must be strictly greater than </w:t>
      </w:r>
      <w:r w:rsidDel="00000000" w:rsidR="00000000" w:rsidRPr="00000000">
        <w:rPr>
          <w:rFonts w:ascii="Cambria Math" w:cs="Cambria Math" w:eastAsia="Cambria Math" w:hAnsi="Cambria Math"/>
          <w:b w:val="0"/>
          <w:i w:val="0"/>
          <w:smallCaps w:val="0"/>
          <w:strike w:val="0"/>
          <w:color w:val="121212"/>
          <w:sz w:val="20"/>
          <w:szCs w:val="20"/>
          <w:u w:val="none"/>
          <w:shd w:fill="auto" w:val="clear"/>
          <w:vertAlign w:val="baseline"/>
          <w:rtl w:val="0"/>
        </w:rPr>
        <w:t xml:space="preserve">pc</w:t>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 In our examples, </w:t>
      </w:r>
      <w:r w:rsidDel="00000000" w:rsidR="00000000" w:rsidRPr="00000000">
        <w:rPr>
          <w:rFonts w:ascii="Cambria Math" w:cs="Cambria Math" w:eastAsia="Cambria Math" w:hAnsi="Cambria Math"/>
          <w:b w:val="0"/>
          <w:i w:val="0"/>
          <w:smallCaps w:val="0"/>
          <w:strike w:val="0"/>
          <w:color w:val="121212"/>
          <w:sz w:val="20"/>
          <w:szCs w:val="20"/>
          <w:u w:val="none"/>
          <w:shd w:fill="auto" w:val="clear"/>
          <w:vertAlign w:val="baseline"/>
          <w:rtl w:val="0"/>
        </w:rPr>
        <w:t xml:space="preserve">pb</w:t>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 should be lower than </w:t>
      </w:r>
      <w:r w:rsidDel="00000000" w:rsidR="00000000" w:rsidRPr="00000000">
        <w:rPr>
          <w:rFonts w:ascii="Cambria Math" w:cs="Cambria Math" w:eastAsia="Cambria Math" w:hAnsi="Cambria Math"/>
          <w:b w:val="0"/>
          <w:i w:val="0"/>
          <w:smallCaps w:val="0"/>
          <w:strike w:val="0"/>
          <w:color w:val="121212"/>
          <w:sz w:val="20"/>
          <w:szCs w:val="20"/>
          <w:u w:val="none"/>
          <w:shd w:fill="auto" w:val="clear"/>
          <w:vertAlign w:val="baseline"/>
          <w:rtl w:val="0"/>
        </w:rPr>
        <w:t xml:space="preserve">5%</w:t>
      </w:r>
      <w:r w:rsidDel="00000000" w:rsidR="00000000" w:rsidRPr="00000000">
        <w:rPr>
          <w:rFonts w:ascii="BBVABentonSansLight" w:cs="BBVABentonSansLight" w:eastAsia="BBVABentonSansLight" w:hAnsi="BBVABentonSansLight"/>
          <w:b w:val="0"/>
          <w:i w:val="0"/>
          <w:smallCaps w:val="0"/>
          <w:strike w:val="0"/>
          <w:color w:val="121212"/>
          <w:sz w:val="20"/>
          <w:szCs w:val="20"/>
          <w:u w:val="none"/>
          <w:shd w:fill="auto" w:val="clear"/>
          <w:vertAlign w:val="baseline"/>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14605</wp:posOffset>
          </wp:positionH>
          <wp:positionV relativeFrom="paragraph">
            <wp:posOffset>0</wp:posOffset>
          </wp:positionV>
          <wp:extent cx="1823031" cy="468000"/>
          <wp:effectExtent b="0" l="0" r="0" t="0"/>
          <wp:wrapNone/>
          <wp:docPr descr="C:\Users\e049688\Desktop\__NEW BEGINING\02_LOGOS\BBVA CON TAGLINE\BBVA TAGLINE ESPANOL\RGB\BBVA_TAGLINE_ESP_RGB_LEFT.png" id="9" name="image45.png"/>
          <a:graphic>
            <a:graphicData uri="http://schemas.openxmlformats.org/drawingml/2006/picture">
              <pic:pic>
                <pic:nvPicPr>
                  <pic:cNvPr descr="C:\Users\e049688\Desktop\__NEW BEGINING\02_LOGOS\BBVA CON TAGLINE\BBVA TAGLINE ESPANOL\RGB\BBVA_TAGLINE_ESP_RGB_LEFT.png" id="0" name="image45.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747" w:hanging="360"/>
      </w:pPr>
      <w:rPr/>
    </w:lvl>
    <w:lvl w:ilvl="1">
      <w:start w:val="1"/>
      <w:numFmt w:val="decimal"/>
      <w:lvlText w:val="%1.%2."/>
      <w:lvlJc w:val="left"/>
      <w:pPr>
        <w:ind w:left="6107" w:hanging="720"/>
      </w:pPr>
      <w:rPr/>
    </w:lvl>
    <w:lvl w:ilvl="2">
      <w:start w:val="1"/>
      <w:numFmt w:val="decimal"/>
      <w:lvlText w:val="%1.%2.%3."/>
      <w:lvlJc w:val="left"/>
      <w:pPr>
        <w:ind w:left="6107" w:hanging="720"/>
      </w:pPr>
      <w:rPr/>
    </w:lvl>
    <w:lvl w:ilvl="3">
      <w:start w:val="1"/>
      <w:numFmt w:val="decimal"/>
      <w:lvlText w:val="%1.%2.%3.%4."/>
      <w:lvlJc w:val="left"/>
      <w:pPr>
        <w:ind w:left="6467" w:hanging="1080"/>
      </w:pPr>
      <w:rPr/>
    </w:lvl>
    <w:lvl w:ilvl="4">
      <w:start w:val="1"/>
      <w:numFmt w:val="decimal"/>
      <w:lvlText w:val="%1.%2.%3.%4.%5."/>
      <w:lvlJc w:val="left"/>
      <w:pPr>
        <w:ind w:left="6827" w:hanging="1440"/>
      </w:pPr>
      <w:rPr/>
    </w:lvl>
    <w:lvl w:ilvl="5">
      <w:start w:val="1"/>
      <w:numFmt w:val="decimal"/>
      <w:lvlText w:val="%1.%2.%3.%4.%5.%6."/>
      <w:lvlJc w:val="left"/>
      <w:pPr>
        <w:ind w:left="6827" w:hanging="1440"/>
      </w:pPr>
      <w:rPr/>
    </w:lvl>
    <w:lvl w:ilvl="6">
      <w:start w:val="1"/>
      <w:numFmt w:val="decimal"/>
      <w:lvlText w:val="%1.%2.%3.%4.%5.%6.%7."/>
      <w:lvlJc w:val="left"/>
      <w:pPr>
        <w:ind w:left="7187" w:hanging="1800"/>
      </w:pPr>
      <w:rPr/>
    </w:lvl>
    <w:lvl w:ilvl="7">
      <w:start w:val="1"/>
      <w:numFmt w:val="decimal"/>
      <w:lvlText w:val="%1.%2.%3.%4.%5.%6.%7.%8."/>
      <w:lvlJc w:val="left"/>
      <w:pPr>
        <w:ind w:left="7547" w:hanging="2160"/>
      </w:pPr>
      <w:rPr/>
    </w:lvl>
    <w:lvl w:ilvl="8">
      <w:start w:val="1"/>
      <w:numFmt w:val="decimal"/>
      <w:lvlText w:val="%1.%2.%3.%4.%5.%6.%7.%8.%9."/>
      <w:lvlJc w:val="left"/>
      <w:pPr>
        <w:ind w:left="7547" w:hanging="2160"/>
      </w:pPr>
      <w:rPr/>
    </w:lvl>
  </w:abstractNum>
  <w:abstractNum w:abstractNumId="2">
    <w:lvl w:ilvl="0">
      <w:start w:val="1"/>
      <w:numFmt w:val="bullet"/>
      <w:lvlText w:val="●"/>
      <w:lvlJc w:val="left"/>
      <w:pPr>
        <w:ind w:left="8440" w:hanging="360"/>
      </w:pPr>
      <w:rPr>
        <w:rFonts w:ascii="Noto Sans Symbols" w:cs="Noto Sans Symbols" w:eastAsia="Noto Sans Symbols" w:hAnsi="Noto Sans Symbols"/>
        <w:color w:val="000000"/>
        <w:sz w:val="16"/>
        <w:szCs w:val="16"/>
        <w:u w:val="no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BVABentonSansLight" w:cs="BBVABentonSansLight" w:eastAsia="BBVABentonSansLight" w:hAnsi="BBVABentonSansLight"/>
        <w:color w:val="121212"/>
        <w:sz w:val="24"/>
        <w:szCs w:val="24"/>
        <w:lang w:val="en-US"/>
      </w:rPr>
    </w:rPrDefault>
    <w:pPrDefault>
      <w:pPr>
        <w:spacing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1"/>
      <w:ind w:left="5747" w:hanging="360"/>
    </w:pPr>
    <w:rPr>
      <w:rFonts w:ascii="BBVABentonSans" w:cs="BBVABentonSans" w:eastAsia="BBVABentonSans" w:hAnsi="BBVABentonSans"/>
      <w:color w:val="02a5a5"/>
      <w:sz w:val="44"/>
      <w:szCs w:val="44"/>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502" w:right="0" w:hanging="720"/>
      <w:jc w:val="left"/>
    </w:pPr>
    <w:rPr>
      <w:rFonts w:ascii="BBVABentonSansLight" w:cs="BBVABentonSansLight" w:eastAsia="BBVABentonSansLight" w:hAnsi="BBVABentonSansLight"/>
      <w:b w:val="1"/>
      <w:i w:val="0"/>
      <w:smallCaps w:val="0"/>
      <w:strike w:val="0"/>
      <w:color w:val="072146"/>
      <w:sz w:val="28"/>
      <w:szCs w:val="28"/>
      <w:u w:val="none"/>
      <w:shd w:fill="auto" w:val="clear"/>
      <w:vertAlign w:val="baseline"/>
    </w:rPr>
  </w:style>
  <w:style w:type="paragraph" w:styleId="Heading3">
    <w:name w:val="heading 3"/>
    <w:basedOn w:val="Normal"/>
    <w:next w:val="Normal"/>
    <w:pPr>
      <w:keepNext w:val="1"/>
      <w:keepLines w:val="1"/>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BBVABentonSansLight" w:cs="BBVABentonSansLight" w:eastAsia="BBVABentonSansLight" w:hAnsi="BBVABentonSansLight"/>
      <w:b w:val="1"/>
      <w:i w:val="0"/>
      <w:smallCaps w:val="0"/>
      <w:strike w:val="0"/>
      <w:color w:val="1973b8"/>
      <w:sz w:val="24"/>
      <w:szCs w:val="24"/>
      <w:u w:val="none"/>
      <w:shd w:fill="auto" w:val="clear"/>
      <w:vertAlign w:val="baseline"/>
    </w:rPr>
  </w:style>
  <w:style w:type="paragraph" w:styleId="Heading5">
    <w:name w:val="heading 5"/>
    <w:basedOn w:val="Normal"/>
    <w:next w:val="Normal"/>
    <w:pPr>
      <w:spacing w:after="60" w:before="240" w:line="240" w:lineRule="auto"/>
    </w:pPr>
    <w:rPr>
      <w:rFonts w:ascii="Stag Sans Light" w:cs="Stag Sans Light" w:eastAsia="Stag Sans Light" w:hAnsi="Stag Sans Light"/>
      <w:b w:val="1"/>
      <w:i w:val="1"/>
      <w:color w:val="474b50"/>
      <w:sz w:val="26"/>
      <w:szCs w:val="26"/>
    </w:rPr>
  </w:style>
  <w:style w:type="paragraph" w:styleId="Heading6">
    <w:name w:val="heading 6"/>
    <w:basedOn w:val="Normal"/>
    <w:next w:val="Normal"/>
    <w:pPr>
      <w:spacing w:after="60" w:before="240" w:line="240" w:lineRule="auto"/>
    </w:pPr>
    <w:rPr>
      <w:rFonts w:ascii="Times New Roman" w:cs="Times New Roman" w:eastAsia="Times New Roman" w:hAnsi="Times New Roman"/>
      <w:b w:val="1"/>
      <w:color w:val="474b50"/>
      <w:sz w:val="22"/>
      <w:szCs w:val="22"/>
    </w:rPr>
  </w:style>
  <w:style w:type="paragraph" w:styleId="Title">
    <w:name w:val="Title"/>
    <w:basedOn w:val="Normal"/>
    <w:next w:val="Normal"/>
    <w:pPr>
      <w:spacing w:line="240" w:lineRule="auto"/>
    </w:pPr>
    <w:rPr>
      <w:rFonts w:ascii="BBVABentonSans" w:cs="BBVABentonSans" w:eastAsia="BBVABentonSans" w:hAnsi="BBVABentonSans"/>
      <w:color w:val="000000"/>
      <w:sz w:val="56"/>
      <w:szCs w:val="56"/>
    </w:rPr>
  </w:style>
  <w:style w:type="paragraph" w:styleId="Subtitle">
    <w:name w:val="Subtitle"/>
    <w:basedOn w:val="Normal"/>
    <w:next w:val="Normal"/>
    <w:pPr>
      <w:spacing w:after="60" w:line="240" w:lineRule="auto"/>
      <w:jc w:val="center"/>
    </w:pPr>
    <w:rPr>
      <w:rFonts w:ascii="Cambria" w:cs="Cambria" w:eastAsia="Cambria" w:hAnsi="Cambria"/>
      <w:color w:val="474b5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50.png"/><Relationship Id="rId41" Type="http://schemas.openxmlformats.org/officeDocument/2006/relationships/image" Target="media/image1.png"/><Relationship Id="rId44" Type="http://schemas.openxmlformats.org/officeDocument/2006/relationships/image" Target="media/image23.png"/><Relationship Id="rId43" Type="http://schemas.openxmlformats.org/officeDocument/2006/relationships/image" Target="media/image52.png"/><Relationship Id="rId46" Type="http://schemas.openxmlformats.org/officeDocument/2006/relationships/image" Target="media/image8.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4.png"/><Relationship Id="rId48" Type="http://schemas.openxmlformats.org/officeDocument/2006/relationships/image" Target="media/image4.png"/><Relationship Id="rId47" Type="http://schemas.openxmlformats.org/officeDocument/2006/relationships/image" Target="media/image49.png"/><Relationship Id="rId4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4.png"/><Relationship Id="rId31" Type="http://schemas.openxmlformats.org/officeDocument/2006/relationships/image" Target="media/image14.png"/><Relationship Id="rId30" Type="http://schemas.openxmlformats.org/officeDocument/2006/relationships/image" Target="media/image16.png"/><Relationship Id="rId33" Type="http://schemas.openxmlformats.org/officeDocument/2006/relationships/image" Target="media/image19.png"/><Relationship Id="rId32"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22.png"/><Relationship Id="rId37" Type="http://schemas.openxmlformats.org/officeDocument/2006/relationships/image" Target="media/image17.png"/><Relationship Id="rId36" Type="http://schemas.openxmlformats.org/officeDocument/2006/relationships/image" Target="media/image18.png"/><Relationship Id="rId39" Type="http://schemas.openxmlformats.org/officeDocument/2006/relationships/image" Target="media/image26.png"/><Relationship Id="rId38" Type="http://schemas.openxmlformats.org/officeDocument/2006/relationships/image" Target="media/image53.png"/><Relationship Id="rId20" Type="http://schemas.openxmlformats.org/officeDocument/2006/relationships/image" Target="media/image35.png"/><Relationship Id="rId22" Type="http://schemas.openxmlformats.org/officeDocument/2006/relationships/image" Target="media/image37.png"/><Relationship Id="rId21" Type="http://schemas.openxmlformats.org/officeDocument/2006/relationships/image" Target="media/image42.png"/><Relationship Id="rId24" Type="http://schemas.openxmlformats.org/officeDocument/2006/relationships/image" Target="media/image44.png"/><Relationship Id="rId23" Type="http://schemas.openxmlformats.org/officeDocument/2006/relationships/image" Target="media/image39.png"/><Relationship Id="rId60" Type="http://schemas.openxmlformats.org/officeDocument/2006/relationships/header" Target="header1.xml"/><Relationship Id="rId26" Type="http://schemas.openxmlformats.org/officeDocument/2006/relationships/image" Target="media/image43.png"/><Relationship Id="rId25" Type="http://schemas.openxmlformats.org/officeDocument/2006/relationships/image" Target="media/image36.png"/><Relationship Id="rId28" Type="http://schemas.openxmlformats.org/officeDocument/2006/relationships/image" Target="media/image38.png"/><Relationship Id="rId27" Type="http://schemas.openxmlformats.org/officeDocument/2006/relationships/image" Target="media/image40.png"/><Relationship Id="rId29" Type="http://schemas.openxmlformats.org/officeDocument/2006/relationships/image" Target="media/image7.png"/><Relationship Id="rId51" Type="http://schemas.openxmlformats.org/officeDocument/2006/relationships/image" Target="media/image47.png"/><Relationship Id="rId50" Type="http://schemas.openxmlformats.org/officeDocument/2006/relationships/image" Target="media/image10.png"/><Relationship Id="rId53" Type="http://schemas.openxmlformats.org/officeDocument/2006/relationships/image" Target="media/image9.png"/><Relationship Id="rId52" Type="http://schemas.openxmlformats.org/officeDocument/2006/relationships/image" Target="media/image11.png"/><Relationship Id="rId11" Type="http://schemas.openxmlformats.org/officeDocument/2006/relationships/image" Target="media/image46.png"/><Relationship Id="rId55" Type="http://schemas.openxmlformats.org/officeDocument/2006/relationships/image" Target="media/image51.png"/><Relationship Id="rId10" Type="http://schemas.openxmlformats.org/officeDocument/2006/relationships/image" Target="media/image28.png"/><Relationship Id="rId54" Type="http://schemas.openxmlformats.org/officeDocument/2006/relationships/image" Target="media/image5.png"/><Relationship Id="rId13" Type="http://schemas.openxmlformats.org/officeDocument/2006/relationships/image" Target="media/image29.png"/><Relationship Id="rId57" Type="http://schemas.openxmlformats.org/officeDocument/2006/relationships/image" Target="media/image13.png"/><Relationship Id="rId12" Type="http://schemas.openxmlformats.org/officeDocument/2006/relationships/image" Target="media/image27.png"/><Relationship Id="rId56" Type="http://schemas.openxmlformats.org/officeDocument/2006/relationships/image" Target="media/image48.png"/><Relationship Id="rId15" Type="http://schemas.openxmlformats.org/officeDocument/2006/relationships/image" Target="media/image32.png"/><Relationship Id="rId59" Type="http://schemas.openxmlformats.org/officeDocument/2006/relationships/image" Target="media/image15.png"/><Relationship Id="rId14" Type="http://schemas.openxmlformats.org/officeDocument/2006/relationships/image" Target="media/image41.png"/><Relationship Id="rId58" Type="http://schemas.openxmlformats.org/officeDocument/2006/relationships/image" Target="media/image3.png"/><Relationship Id="rId17" Type="http://schemas.openxmlformats.org/officeDocument/2006/relationships/image" Target="media/image30.png"/><Relationship Id="rId16" Type="http://schemas.openxmlformats.org/officeDocument/2006/relationships/image" Target="media/image25.png"/><Relationship Id="rId19" Type="http://schemas.openxmlformats.org/officeDocument/2006/relationships/image" Target="media/image31.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roqUyGSI8Q0aR3t8vJOhV6iw==">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