
<file path=[Content_Types].xml><?xml version="1.0" encoding="utf-8"?>
<Types xmlns="http://schemas.openxmlformats.org/package/2006/content-types">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before="0" w:line="276" w:lineRule="auto"/>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0" w:line="276" w:lineRule="auto"/>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0" w:line="276" w:lineRule="auto"/>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0" w:line="276" w:lineRule="auto"/>
        <w:rPr>
          <w:color w:val="000000"/>
          <w:sz w:val="22"/>
          <w:szCs w:val="22"/>
        </w:rPr>
      </w:pPr>
      <w:r w:rsidDel="00000000" w:rsidR="00000000" w:rsidRPr="00000000">
        <w:rPr>
          <w:rtl w:val="0"/>
        </w:rPr>
      </w:r>
    </w:p>
    <w:tbl>
      <w:tblPr>
        <w:tblStyle w:val="Table1"/>
        <w:tblW w:w="85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8"/>
        <w:gridCol w:w="1083"/>
        <w:gridCol w:w="1687"/>
        <w:gridCol w:w="1529"/>
        <w:gridCol w:w="1685"/>
        <w:tblGridChange w:id="0">
          <w:tblGrid>
            <w:gridCol w:w="2588"/>
            <w:gridCol w:w="1083"/>
            <w:gridCol w:w="1687"/>
            <w:gridCol w:w="1529"/>
            <w:gridCol w:w="1685"/>
          </w:tblGrid>
        </w:tblGridChange>
      </w:tblGrid>
      <w:tr>
        <w:trPr>
          <w:cantSplit w:val="0"/>
          <w:tblHeader w:val="0"/>
        </w:trPr>
        <w:tc>
          <w:tcPr/>
          <w:p w:rsidR="00000000" w:rsidDel="00000000" w:rsidP="00000000" w:rsidRDefault="00000000" w:rsidRPr="00000000" w14:paraId="00000006">
            <w:pPr>
              <w:rPr>
                <w:sz w:val="26"/>
                <w:szCs w:val="26"/>
                <w:vertAlign w:val="subscript"/>
              </w:rPr>
            </w:pPr>
            <w:r w:rsidDel="00000000" w:rsidR="00000000" w:rsidRPr="00000000">
              <w:rPr>
                <w:b w:val="1"/>
                <w:sz w:val="26"/>
                <w:szCs w:val="26"/>
                <w:vertAlign w:val="subscript"/>
                <w:rtl w:val="0"/>
              </w:rPr>
              <w:t xml:space="preserve">Ámbito </w:t>
            </w:r>
            <w:r w:rsidDel="00000000" w:rsidR="00000000" w:rsidRPr="00000000">
              <w:rPr>
                <w:color w:val="ff0000"/>
                <w:sz w:val="36"/>
                <w:szCs w:val="36"/>
                <w:vertAlign w:val="subscript"/>
                <w:rtl w:val="0"/>
              </w:rPr>
              <w:t xml:space="preserve">🗹  </w:t>
            </w:r>
            <w:r w:rsidDel="00000000" w:rsidR="00000000" w:rsidRPr="00000000">
              <w:rPr>
                <w:sz w:val="26"/>
                <w:szCs w:val="26"/>
                <w:vertAlign w:val="subscript"/>
                <w:rtl w:val="0"/>
              </w:rPr>
              <w:t xml:space="preserve">     </w:t>
            </w:r>
          </w:p>
          <w:p w:rsidR="00000000" w:rsidDel="00000000" w:rsidP="00000000" w:rsidRDefault="00000000" w:rsidRPr="00000000" w14:paraId="00000007">
            <w:pPr>
              <w:rPr/>
            </w:pPr>
            <w:r w:rsidDel="00000000" w:rsidR="00000000" w:rsidRPr="00000000">
              <w:rPr>
                <w:sz w:val="26"/>
                <w:szCs w:val="26"/>
                <w:vertAlign w:val="subscript"/>
                <w:rtl w:val="0"/>
              </w:rPr>
              <w:t xml:space="preserve">        Algorithmics</w:t>
            </w:r>
            <w:r w:rsidDel="00000000" w:rsidR="00000000" w:rsidRPr="00000000">
              <w:rPr>
                <w:rtl w:val="0"/>
              </w:rPr>
            </w:r>
          </w:p>
        </w:tc>
        <w:tc>
          <w:tcPr>
            <w:gridSpan w:val="4"/>
          </w:tcPr>
          <w:p w:rsidR="00000000" w:rsidDel="00000000" w:rsidP="00000000" w:rsidRDefault="00000000" w:rsidRPr="00000000" w14:paraId="00000008">
            <w:pPr>
              <w:tabs>
                <w:tab w:val="left" w:leader="none" w:pos="140"/>
              </w:tabs>
              <w:ind w:left="-108" w:firstLine="0"/>
              <w:rPr>
                <w:color w:val="ff0000"/>
                <w:sz w:val="36"/>
                <w:szCs w:val="36"/>
                <w:vertAlign w:val="subscript"/>
              </w:rPr>
            </w:pPr>
            <w:r w:rsidDel="00000000" w:rsidR="00000000" w:rsidRPr="00000000">
              <w:rPr>
                <w:b w:val="1"/>
                <w:sz w:val="26"/>
                <w:szCs w:val="26"/>
                <w:vertAlign w:val="subscript"/>
                <w:rtl w:val="0"/>
              </w:rPr>
              <w:t xml:space="preserve">  Nombre </w:t>
            </w:r>
            <w:r w:rsidDel="00000000" w:rsidR="00000000" w:rsidRPr="00000000">
              <w:rPr>
                <w:color w:val="ff0000"/>
                <w:sz w:val="36"/>
                <w:szCs w:val="36"/>
                <w:vertAlign w:val="subscript"/>
                <w:rtl w:val="0"/>
              </w:rPr>
              <w:t xml:space="preserve">🗹 </w:t>
            </w:r>
          </w:p>
          <w:p w:rsidR="00000000" w:rsidDel="00000000" w:rsidP="00000000" w:rsidRDefault="00000000" w:rsidRPr="00000000" w14:paraId="00000009">
            <w:pPr>
              <w:rPr>
                <w:i w:val="1"/>
                <w:color w:val="000000"/>
                <w:highlight w:val="white"/>
              </w:rPr>
            </w:pPr>
            <w:r w:rsidDel="00000000" w:rsidR="00000000" w:rsidRPr="00000000">
              <w:rPr>
                <w:i w:val="1"/>
                <w:rtl w:val="0"/>
              </w:rPr>
              <w:t xml:space="preserve">IMM – Exposure backtesting</w:t>
            </w:r>
            <w:r w:rsidDel="00000000" w:rsidR="00000000" w:rsidRPr="00000000">
              <w:rPr>
                <w:rtl w:val="0"/>
              </w:rPr>
            </w:r>
          </w:p>
        </w:tc>
      </w:tr>
      <w:tr>
        <w:trPr>
          <w:cantSplit w:val="0"/>
          <w:trHeight w:val="556" w:hRule="atLeast"/>
          <w:tblHeader w:val="0"/>
        </w:trPr>
        <w:tc>
          <w:tcPr>
            <w:gridSpan w:val="2"/>
          </w:tcPr>
          <w:p w:rsidR="00000000" w:rsidDel="00000000" w:rsidP="00000000" w:rsidRDefault="00000000" w:rsidRPr="00000000" w14:paraId="0000000D">
            <w:pPr>
              <w:rPr>
                <w:sz w:val="26"/>
                <w:szCs w:val="26"/>
                <w:vertAlign w:val="subscript"/>
              </w:rPr>
            </w:pPr>
            <w:r w:rsidDel="00000000" w:rsidR="00000000" w:rsidRPr="00000000">
              <w:rPr>
                <w:b w:val="1"/>
                <w:sz w:val="26"/>
                <w:szCs w:val="26"/>
                <w:vertAlign w:val="subscript"/>
                <w:rtl w:val="0"/>
              </w:rPr>
              <w:t xml:space="preserve">Creado por  </w:t>
            </w:r>
            <w:r w:rsidDel="00000000" w:rsidR="00000000" w:rsidRPr="00000000">
              <w:rPr>
                <w:color w:val="ff0000"/>
                <w:sz w:val="36"/>
                <w:szCs w:val="36"/>
                <w:vertAlign w:val="subscript"/>
                <w:rtl w:val="0"/>
              </w:rPr>
              <w:t xml:space="preserve">🗹</w:t>
            </w:r>
            <w:r w:rsidDel="00000000" w:rsidR="00000000" w:rsidRPr="00000000">
              <w:rPr>
                <w:rtl w:val="0"/>
              </w:rPr>
            </w:r>
          </w:p>
          <w:p w:rsidR="00000000" w:rsidDel="00000000" w:rsidP="00000000" w:rsidRDefault="00000000" w:rsidRPr="00000000" w14:paraId="0000000E">
            <w:pPr>
              <w:rPr/>
            </w:pPr>
            <w:r w:rsidDel="00000000" w:rsidR="00000000" w:rsidRPr="00000000">
              <w:rPr>
                <w:sz w:val="26"/>
                <w:szCs w:val="26"/>
                <w:vertAlign w:val="subscript"/>
                <w:rtl w:val="0"/>
              </w:rPr>
              <w:t xml:space="preserve">SS&amp;C Algorithmics</w:t>
            </w:r>
            <w:r w:rsidDel="00000000" w:rsidR="00000000" w:rsidRPr="00000000">
              <w:rPr>
                <w:rtl w:val="0"/>
              </w:rPr>
            </w:r>
          </w:p>
        </w:tc>
        <w:tc>
          <w:tcPr/>
          <w:p w:rsidR="00000000" w:rsidDel="00000000" w:rsidP="00000000" w:rsidRDefault="00000000" w:rsidRPr="00000000" w14:paraId="00000010">
            <w:pPr>
              <w:rPr>
                <w:sz w:val="26"/>
                <w:szCs w:val="26"/>
                <w:vertAlign w:val="subscript"/>
              </w:rPr>
            </w:pPr>
            <w:r w:rsidDel="00000000" w:rsidR="00000000" w:rsidRPr="00000000">
              <w:rPr>
                <w:b w:val="1"/>
                <w:sz w:val="26"/>
                <w:szCs w:val="26"/>
                <w:vertAlign w:val="subscript"/>
                <w:rtl w:val="0"/>
              </w:rPr>
              <w:t xml:space="preserve">Fecha Última Actualización </w:t>
            </w:r>
            <w:r w:rsidDel="00000000" w:rsidR="00000000" w:rsidRPr="00000000">
              <w:rPr>
                <w:color w:val="ff0000"/>
                <w:sz w:val="36"/>
                <w:szCs w:val="36"/>
                <w:vertAlign w:val="subscript"/>
                <w:rtl w:val="0"/>
              </w:rPr>
              <w:t xml:space="preserve">🗹</w:t>
            </w:r>
            <w:r w:rsidDel="00000000" w:rsidR="00000000" w:rsidRPr="00000000">
              <w:rPr>
                <w:rtl w:val="0"/>
              </w:rPr>
            </w:r>
          </w:p>
          <w:p w:rsidR="00000000" w:rsidDel="00000000" w:rsidP="00000000" w:rsidRDefault="00000000" w:rsidRPr="00000000" w14:paraId="00000011">
            <w:pPr>
              <w:rPr/>
            </w:pPr>
            <w:r w:rsidDel="00000000" w:rsidR="00000000" w:rsidRPr="00000000">
              <w:rPr>
                <w:sz w:val="26"/>
                <w:szCs w:val="26"/>
                <w:vertAlign w:val="subscript"/>
                <w:rtl w:val="0"/>
              </w:rPr>
              <w:t xml:space="preserve">     30/11/2023</w:t>
            </w:r>
            <w:r w:rsidDel="00000000" w:rsidR="00000000" w:rsidRPr="00000000">
              <w:rPr>
                <w:rtl w:val="0"/>
              </w:rPr>
            </w:r>
          </w:p>
        </w:tc>
        <w:tc>
          <w:tcPr/>
          <w:p w:rsidR="00000000" w:rsidDel="00000000" w:rsidP="00000000" w:rsidRDefault="00000000" w:rsidRPr="00000000" w14:paraId="00000012">
            <w:pPr>
              <w:rPr/>
            </w:pPr>
            <w:r w:rsidDel="00000000" w:rsidR="00000000" w:rsidRPr="00000000">
              <w:rPr>
                <w:b w:val="1"/>
                <w:sz w:val="26"/>
                <w:szCs w:val="26"/>
                <w:vertAlign w:val="subscript"/>
                <w:rtl w:val="0"/>
              </w:rPr>
              <w:t xml:space="preserve">Nº de versión </w:t>
            </w:r>
            <w:r w:rsidDel="00000000" w:rsidR="00000000" w:rsidRPr="00000000">
              <w:rPr>
                <w:color w:val="ff0000"/>
                <w:sz w:val="36"/>
                <w:szCs w:val="36"/>
                <w:vertAlign w:val="subscript"/>
                <w:rtl w:val="0"/>
              </w:rPr>
              <w:t xml:space="preserve">🗹   </w:t>
            </w:r>
            <w:r w:rsidDel="00000000" w:rsidR="00000000" w:rsidRPr="00000000">
              <w:rPr>
                <w:sz w:val="26"/>
                <w:szCs w:val="26"/>
                <w:vertAlign w:val="subscript"/>
                <w:rtl w:val="0"/>
              </w:rPr>
              <w:t xml:space="preserve">     1.0</w:t>
            </w:r>
            <w:r w:rsidDel="00000000" w:rsidR="00000000" w:rsidRPr="00000000">
              <w:rPr>
                <w:rtl w:val="0"/>
              </w:rPr>
            </w:r>
          </w:p>
        </w:tc>
        <w:tc>
          <w:tcPr/>
          <w:p w:rsidR="00000000" w:rsidDel="00000000" w:rsidP="00000000" w:rsidRDefault="00000000" w:rsidRPr="00000000" w14:paraId="00000013">
            <w:pPr>
              <w:rPr>
                <w:color w:val="ff0000"/>
                <w:sz w:val="36"/>
                <w:szCs w:val="36"/>
                <w:vertAlign w:val="subscript"/>
              </w:rPr>
            </w:pPr>
            <w:r w:rsidDel="00000000" w:rsidR="00000000" w:rsidRPr="00000000">
              <w:rPr>
                <w:b w:val="1"/>
                <w:sz w:val="26"/>
                <w:szCs w:val="26"/>
                <w:vertAlign w:val="subscript"/>
                <w:rtl w:val="0"/>
              </w:rPr>
              <w:t xml:space="preserve">País  </w:t>
            </w:r>
            <w:r w:rsidDel="00000000" w:rsidR="00000000" w:rsidRPr="00000000">
              <w:rPr>
                <w:color w:val="ff0000"/>
                <w:sz w:val="36"/>
                <w:szCs w:val="36"/>
                <w:vertAlign w:val="subscript"/>
                <w:rtl w:val="0"/>
              </w:rPr>
              <w:t xml:space="preserve">🗹</w:t>
            </w:r>
          </w:p>
          <w:p w:rsidR="00000000" w:rsidDel="00000000" w:rsidP="00000000" w:rsidRDefault="00000000" w:rsidRPr="00000000" w14:paraId="00000014">
            <w:pPr>
              <w:rPr/>
            </w:pPr>
            <w:r w:rsidDel="00000000" w:rsidR="00000000" w:rsidRPr="00000000">
              <w:rPr>
                <w:sz w:val="26"/>
                <w:szCs w:val="26"/>
                <w:vertAlign w:val="subscript"/>
                <w:rtl w:val="0"/>
              </w:rPr>
              <w:t xml:space="preserve">     ESPAÑA</w:t>
              <w:tab/>
            </w:r>
            <w:r w:rsidDel="00000000" w:rsidR="00000000" w:rsidRPr="00000000">
              <w:rPr>
                <w:rtl w:val="0"/>
              </w:rPr>
            </w:r>
          </w:p>
        </w:tc>
      </w:tr>
    </w:tbl>
    <w:p w:rsidR="00000000" w:rsidDel="00000000" w:rsidP="00000000" w:rsidRDefault="00000000" w:rsidRPr="00000000" w14:paraId="00000015">
      <w:pPr>
        <w:pStyle w:val="Heading1"/>
        <w:numPr>
          <w:ilvl w:val="0"/>
          <w:numId w:val="6"/>
        </w:numPr>
        <w:tabs>
          <w:tab w:val="left" w:leader="none" w:pos="142"/>
          <w:tab w:val="left" w:leader="none" w:pos="426"/>
        </w:tabs>
        <w:ind w:left="0" w:firstLine="0"/>
        <w:rPr/>
      </w:pPr>
      <w:bookmarkStart w:colFirst="0" w:colLast="0" w:name="_heading=h.gjdgxs" w:id="0"/>
      <w:bookmarkEnd w:id="0"/>
      <w:r w:rsidDel="00000000" w:rsidR="00000000" w:rsidRPr="00000000">
        <w:rPr>
          <w:rtl w:val="0"/>
        </w:rPr>
        <w:t xml:space="preserve">Índice</w:t>
      </w:r>
    </w:p>
    <w:sdt>
      <w:sdtPr>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left" w:leader="none" w:pos="1985"/>
              <w:tab w:val="right" w:leader="none" w:pos="8467"/>
            </w:tabs>
            <w:spacing w:after="0" w:before="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w:t>
            </w:r>
          </w:hyperlink>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_heading=h.gjdgxs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Índice</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left" w:leader="none" w:pos="1985"/>
              <w:tab w:val="right" w:leader="none" w:pos="8467"/>
            </w:tabs>
            <w:spacing w:after="0" w:before="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w:t>
            </w:r>
          </w:hyperlink>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Introducción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left" w:leader="none" w:pos="1985"/>
              <w:tab w:val="right" w:leader="none" w:pos="8467"/>
            </w:tabs>
            <w:spacing w:after="0" w:before="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Requerimientos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left" w:leader="none" w:pos="1985"/>
              <w:tab w:val="right" w:leader="none" w:pos="8467"/>
            </w:tabs>
            <w:spacing w:after="0" w:before="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Requisitos para la implantación del modelo</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left" w:leader="none" w:pos="1985"/>
              <w:tab w:val="right" w:leader="none" w:pos="8467"/>
            </w:tabs>
            <w:spacing w:after="0" w:before="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w:t>
            </w:r>
          </w:hyperlink>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Definiciones y conceptos regulatorios relevantes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left" w:leader="none" w:pos="1985"/>
              <w:tab w:val="right" w:leader="none" w:pos="8467"/>
            </w:tabs>
            <w:spacing w:after="0" w:before="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w:t>
            </w:r>
          </w:hyperlink>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Composición de la cartera representativa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left" w:leader="none" w:pos="1985"/>
              <w:tab w:val="right" w:leader="none" w:pos="8467"/>
            </w:tabs>
            <w:spacing w:after="0" w:before="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Modelo operativo (workflow)</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left" w:leader="none" w:pos="1985"/>
              <w:tab w:val="right" w:leader="none" w:pos="8467"/>
            </w:tabs>
            <w:spacing w:after="0" w:before="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w:t>
            </w:r>
          </w:hyperlink>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Valores reportados en los informes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pStyle w:val="Heading1"/>
        <w:numPr>
          <w:ilvl w:val="0"/>
          <w:numId w:val="6"/>
        </w:numPr>
        <w:tabs>
          <w:tab w:val="left" w:leader="none" w:pos="142"/>
          <w:tab w:val="left" w:leader="none" w:pos="426"/>
        </w:tabs>
        <w:ind w:left="0" w:firstLine="0"/>
        <w:rPr/>
      </w:pPr>
      <w:bookmarkStart w:colFirst="0" w:colLast="0" w:name="_heading=h.30j0zll" w:id="1"/>
      <w:bookmarkEnd w:id="1"/>
      <w:r w:rsidDel="00000000" w:rsidR="00000000" w:rsidRPr="00000000">
        <w:rPr>
          <w:rtl w:val="0"/>
        </w:rPr>
        <w:t xml:space="preserve">Introducción</w:t>
      </w:r>
    </w:p>
    <w:p w:rsidR="00000000" w:rsidDel="00000000" w:rsidP="00000000" w:rsidRDefault="00000000" w:rsidRPr="00000000" w14:paraId="00000020">
      <w:pPr>
        <w:jc w:val="both"/>
        <w:rPr/>
      </w:pPr>
      <w:r w:rsidDel="00000000" w:rsidR="00000000" w:rsidRPr="00000000">
        <w:rPr>
          <w:rtl w:val="0"/>
        </w:rPr>
        <w:t xml:space="preserve">El cálculo de riesgo de crédito de contrapartida en Algorithmics, para cumplir con los criterios necesarios para satisfacer los requisitos del modelo interno, necesita comparar de forma periódica los resultados de las exposiciones teóricas calculadas contra las exposiciones reales. Este proceso se denomina backtesting de exposiciones.</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El proceso de backtesting puede resultar complejo debido a la variabilidad de la cartera con el paso del tiempo. Es por ello que se requiere utilizar tanto una cartera representativa como una completa.</w:t>
      </w:r>
    </w:p>
    <w:p w:rsidR="00000000" w:rsidDel="00000000" w:rsidP="00000000" w:rsidRDefault="00000000" w:rsidRPr="00000000" w14:paraId="00000023">
      <w:pPr>
        <w:pStyle w:val="Heading1"/>
        <w:numPr>
          <w:ilvl w:val="0"/>
          <w:numId w:val="6"/>
        </w:numPr>
        <w:tabs>
          <w:tab w:val="left" w:leader="none" w:pos="142"/>
          <w:tab w:val="left" w:leader="none" w:pos="426"/>
        </w:tabs>
        <w:ind w:left="0" w:firstLine="0"/>
        <w:rPr/>
      </w:pPr>
      <w:bookmarkStart w:colFirst="0" w:colLast="0" w:name="_heading=h.1fob9te" w:id="2"/>
      <w:bookmarkEnd w:id="2"/>
      <w:r w:rsidDel="00000000" w:rsidR="00000000" w:rsidRPr="00000000">
        <w:rPr>
          <w:rtl w:val="0"/>
        </w:rPr>
        <w:t xml:space="preserve">Requerimientos</w:t>
      </w:r>
    </w:p>
    <w:p w:rsidR="00000000" w:rsidDel="00000000" w:rsidP="00000000" w:rsidRDefault="00000000" w:rsidRPr="00000000" w14:paraId="00000024">
      <w:pPr>
        <w:ind w:firstLine="720"/>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Los requerimientos funcionales son:</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pacing w:before="0" w:line="276" w:lineRule="auto"/>
        <w:ind w:left="720" w:hanging="360"/>
        <w:jc w:val="both"/>
        <w:rPr/>
      </w:pPr>
      <w:r w:rsidDel="00000000" w:rsidR="00000000" w:rsidRPr="00000000">
        <w:rPr>
          <w:rtl w:val="0"/>
        </w:rPr>
        <w:t xml:space="preserve">Cálculo de la exposición de backtesting de un año completo</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0" w:line="276" w:lineRule="auto"/>
        <w:ind w:left="720" w:firstLine="0"/>
        <w:jc w:val="both"/>
        <w:rPr/>
      </w:pPr>
      <w:r w:rsidDel="00000000" w:rsidR="00000000" w:rsidRPr="00000000">
        <w:rPr>
          <w:rtl w:val="0"/>
        </w:rPr>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pacing w:before="0" w:line="276" w:lineRule="auto"/>
        <w:ind w:left="720" w:hanging="360"/>
        <w:jc w:val="both"/>
        <w:rPr/>
      </w:pPr>
      <w:r w:rsidDel="00000000" w:rsidR="00000000" w:rsidRPr="00000000">
        <w:rPr>
          <w:rtl w:val="0"/>
        </w:rPr>
        <w:t xml:space="preserve">Modelización de métricas de envolventes Tau según varios intervalos de confianza</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before="0" w:line="276" w:lineRule="auto"/>
        <w:ind w:left="720" w:firstLine="0"/>
        <w:jc w:val="both"/>
        <w:rPr/>
      </w:pPr>
      <w:r w:rsidDel="00000000" w:rsidR="00000000" w:rsidRPr="00000000">
        <w:rPr>
          <w:rtl w:val="0"/>
        </w:rPr>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pacing w:before="0" w:line="276" w:lineRule="auto"/>
        <w:ind w:left="720" w:hanging="360"/>
        <w:jc w:val="both"/>
        <w:rPr/>
      </w:pPr>
      <w:r w:rsidDel="00000000" w:rsidR="00000000" w:rsidRPr="00000000">
        <w:rPr>
          <w:rtl w:val="0"/>
        </w:rPr>
        <w:t xml:space="preserve">Medición del número de veces que la ejecución realizada supera a la simulada, así como de la distancia entre ambas cada vez que ocurra lo anterior</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before="0" w:line="276" w:lineRule="auto"/>
        <w:ind w:left="720" w:firstLine="0"/>
        <w:jc w:val="both"/>
        <w:rPr/>
      </w:pPr>
      <w:r w:rsidDel="00000000" w:rsidR="00000000" w:rsidRPr="00000000">
        <w:rPr>
          <w:rtl w:val="0"/>
        </w:rPr>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pacing w:before="0" w:line="276" w:lineRule="auto"/>
        <w:ind w:left="720" w:hanging="360"/>
        <w:jc w:val="both"/>
        <w:rPr/>
      </w:pPr>
      <w:r w:rsidDel="00000000" w:rsidR="00000000" w:rsidRPr="00000000">
        <w:rPr>
          <w:rtl w:val="0"/>
        </w:rPr>
        <w:t xml:space="preserve">Cálculo para la cartera completa y para una cartera representativa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pacing w:before="0" w:line="276" w:lineRule="auto"/>
        <w:ind w:left="720" w:hanging="360"/>
        <w:jc w:val="both"/>
        <w:rPr/>
      </w:pPr>
      <w:r w:rsidDel="00000000" w:rsidR="00000000" w:rsidRPr="00000000">
        <w:rPr>
          <w:rtl w:val="0"/>
        </w:rPr>
        <w:t xml:space="preserve">Modelización de synthetic netting sets para la cartera completa. Es decir, la distribución de los atributos de colateral y variation margin debe realizarse de la misma forma que en la modelización general de la exposición para modelo interno.</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before="0" w:line="276" w:lineRule="auto"/>
        <w:jc w:val="both"/>
        <w:rPr/>
      </w:pPr>
      <w:r w:rsidDel="00000000" w:rsidR="00000000" w:rsidRPr="00000000">
        <w:rPr>
          <w:rtl w:val="0"/>
        </w:rPr>
      </w:r>
    </w:p>
    <w:p w:rsidR="00000000" w:rsidDel="00000000" w:rsidP="00000000" w:rsidRDefault="00000000" w:rsidRPr="00000000" w14:paraId="00000031">
      <w:pPr>
        <w:pStyle w:val="Heading1"/>
        <w:numPr>
          <w:ilvl w:val="0"/>
          <w:numId w:val="6"/>
        </w:numPr>
        <w:tabs>
          <w:tab w:val="left" w:leader="none" w:pos="142"/>
          <w:tab w:val="left" w:leader="none" w:pos="426"/>
        </w:tabs>
        <w:ind w:left="0" w:firstLine="0"/>
        <w:rPr/>
      </w:pPr>
      <w:bookmarkStart w:colFirst="0" w:colLast="0" w:name="_heading=h.3znysh7" w:id="3"/>
      <w:bookmarkEnd w:id="3"/>
      <w:r w:rsidDel="00000000" w:rsidR="00000000" w:rsidRPr="00000000">
        <w:rPr>
          <w:rtl w:val="0"/>
        </w:rPr>
        <w:t xml:space="preserve">Requisitos para la implantación del modelo</w:t>
      </w:r>
    </w:p>
    <w:p w:rsidR="00000000" w:rsidDel="00000000" w:rsidP="00000000" w:rsidRDefault="00000000" w:rsidRPr="00000000" w14:paraId="00000032">
      <w:pPr>
        <w:jc w:val="both"/>
        <w:rPr/>
      </w:pPr>
      <w:r w:rsidDel="00000000" w:rsidR="00000000" w:rsidRPr="00000000">
        <w:rPr>
          <w:rtl w:val="0"/>
        </w:rPr>
        <w:t xml:space="preserve">Requisitos funcionales para la implementación del modelo de colateral:</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pacing w:before="0" w:line="276" w:lineRule="auto"/>
        <w:ind w:left="720" w:hanging="360"/>
        <w:jc w:val="both"/>
        <w:rPr>
          <w:color w:val="000000"/>
        </w:rPr>
      </w:pPr>
      <w:r w:rsidDel="00000000" w:rsidR="00000000" w:rsidRPr="00000000">
        <w:rPr>
          <w:color w:val="000000"/>
          <w:rtl w:val="0"/>
        </w:rPr>
        <w:t xml:space="preserve">Disponibilidad de los siguientes datos al inicio del año sobre el que se quiere realizar la medición de backtesting:</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before="0" w:line="276" w:lineRule="auto"/>
        <w:ind w:left="720" w:firstLine="0"/>
        <w:jc w:val="both"/>
        <w:rPr>
          <w:color w:val="000000"/>
        </w:rPr>
      </w:pPr>
      <w:r w:rsidDel="00000000" w:rsidR="00000000" w:rsidRPr="00000000">
        <w:rPr>
          <w:rtl w:val="0"/>
        </w:rPr>
      </w:r>
    </w:p>
    <w:p w:rsidR="00000000" w:rsidDel="00000000" w:rsidP="00000000" w:rsidRDefault="00000000" w:rsidRPr="00000000" w14:paraId="00000036">
      <w:pPr>
        <w:numPr>
          <w:ilvl w:val="1"/>
          <w:numId w:val="5"/>
        </w:numPr>
        <w:pBdr>
          <w:top w:space="0" w:sz="0" w:val="nil"/>
          <w:left w:space="0" w:sz="0" w:val="nil"/>
          <w:bottom w:space="0" w:sz="0" w:val="nil"/>
          <w:right w:space="0" w:sz="0" w:val="nil"/>
          <w:between w:space="0" w:sz="0" w:val="nil"/>
        </w:pBdr>
        <w:spacing w:before="0" w:line="276" w:lineRule="auto"/>
        <w:ind w:left="1440" w:hanging="360"/>
        <w:jc w:val="both"/>
        <w:rPr>
          <w:color w:val="000000"/>
        </w:rPr>
      </w:pPr>
      <w:r w:rsidDel="00000000" w:rsidR="00000000" w:rsidRPr="00000000">
        <w:rPr>
          <w:color w:val="000000"/>
          <w:rtl w:val="0"/>
        </w:rPr>
        <w:t xml:space="preserve">Valor de los datos de mercado y factores de riesgo</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0" w:line="276" w:lineRule="auto"/>
        <w:ind w:left="1440" w:firstLine="0"/>
        <w:jc w:val="both"/>
        <w:rPr>
          <w:color w:val="000000"/>
        </w:rPr>
      </w:pPr>
      <w:r w:rsidDel="00000000" w:rsidR="00000000" w:rsidRPr="00000000">
        <w:rPr>
          <w:rtl w:val="0"/>
        </w:rPr>
      </w:r>
    </w:p>
    <w:p w:rsidR="00000000" w:rsidDel="00000000" w:rsidP="00000000" w:rsidRDefault="00000000" w:rsidRPr="00000000" w14:paraId="00000038">
      <w:pPr>
        <w:numPr>
          <w:ilvl w:val="1"/>
          <w:numId w:val="5"/>
        </w:numPr>
        <w:pBdr>
          <w:top w:space="0" w:sz="0" w:val="nil"/>
          <w:left w:space="0" w:sz="0" w:val="nil"/>
          <w:bottom w:space="0" w:sz="0" w:val="nil"/>
          <w:right w:space="0" w:sz="0" w:val="nil"/>
          <w:between w:space="0" w:sz="0" w:val="nil"/>
        </w:pBdr>
        <w:spacing w:before="0" w:line="276" w:lineRule="auto"/>
        <w:ind w:left="1440" w:hanging="360"/>
        <w:jc w:val="both"/>
        <w:rPr>
          <w:color w:val="000000"/>
        </w:rPr>
      </w:pPr>
      <w:r w:rsidDel="00000000" w:rsidR="00000000" w:rsidRPr="00000000">
        <w:rPr>
          <w:color w:val="000000"/>
          <w:rtl w:val="0"/>
        </w:rPr>
        <w:t xml:space="preserve">Composición de la cartera completa y representativa</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before="0" w:line="276" w:lineRule="auto"/>
        <w:jc w:val="both"/>
        <w:rPr>
          <w:color w:val="000000"/>
        </w:rPr>
      </w:pPr>
      <w:r w:rsidDel="00000000" w:rsidR="00000000" w:rsidRPr="00000000">
        <w:rPr>
          <w:rtl w:val="0"/>
        </w:rPr>
      </w:r>
    </w:p>
    <w:p w:rsidR="00000000" w:rsidDel="00000000" w:rsidP="00000000" w:rsidRDefault="00000000" w:rsidRPr="00000000" w14:paraId="0000003A">
      <w:pPr>
        <w:numPr>
          <w:ilvl w:val="1"/>
          <w:numId w:val="5"/>
        </w:numPr>
        <w:pBdr>
          <w:top w:space="0" w:sz="0" w:val="nil"/>
          <w:left w:space="0" w:sz="0" w:val="nil"/>
          <w:bottom w:space="0" w:sz="0" w:val="nil"/>
          <w:right w:space="0" w:sz="0" w:val="nil"/>
          <w:between w:space="0" w:sz="0" w:val="nil"/>
        </w:pBdr>
        <w:spacing w:before="0" w:line="276" w:lineRule="auto"/>
        <w:ind w:left="1440" w:hanging="360"/>
        <w:jc w:val="both"/>
        <w:rPr>
          <w:color w:val="000000"/>
        </w:rPr>
      </w:pPr>
      <w:r w:rsidDel="00000000" w:rsidR="00000000" w:rsidRPr="00000000">
        <w:rPr>
          <w:color w:val="000000"/>
          <w:rtl w:val="0"/>
        </w:rPr>
        <w:t xml:space="preserve">Escenarios simulados</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before="0" w:line="276" w:lineRule="auto"/>
        <w:jc w:val="both"/>
        <w:rPr>
          <w:color w:val="000000"/>
        </w:rPr>
      </w:pPr>
      <w:r w:rsidDel="00000000" w:rsidR="00000000" w:rsidRPr="00000000">
        <w:rPr>
          <w:rtl w:val="0"/>
        </w:rPr>
      </w:r>
    </w:p>
    <w:p w:rsidR="00000000" w:rsidDel="00000000" w:rsidP="00000000" w:rsidRDefault="00000000" w:rsidRPr="00000000" w14:paraId="0000003C">
      <w:pPr>
        <w:numPr>
          <w:ilvl w:val="1"/>
          <w:numId w:val="5"/>
        </w:numPr>
        <w:pBdr>
          <w:top w:space="0" w:sz="0" w:val="nil"/>
          <w:left w:space="0" w:sz="0" w:val="nil"/>
          <w:bottom w:space="0" w:sz="0" w:val="nil"/>
          <w:right w:space="0" w:sz="0" w:val="nil"/>
          <w:between w:space="0" w:sz="0" w:val="nil"/>
        </w:pBdr>
        <w:spacing w:before="0" w:line="276" w:lineRule="auto"/>
        <w:ind w:left="1440" w:hanging="360"/>
        <w:jc w:val="both"/>
        <w:rPr>
          <w:color w:val="000000"/>
        </w:rPr>
      </w:pPr>
      <w:r w:rsidDel="00000000" w:rsidR="00000000" w:rsidRPr="00000000">
        <w:rPr>
          <w:color w:val="000000"/>
          <w:rtl w:val="0"/>
        </w:rPr>
        <w:t xml:space="preserve">Datos estáticos necesarios para el cálculo (jerarquías internas y externa, productos y reglas de asignación)</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before="0" w:line="276" w:lineRule="auto"/>
        <w:jc w:val="both"/>
        <w:rPr>
          <w:color w:val="000000"/>
        </w:rPr>
      </w:pPr>
      <w:r w:rsidDel="00000000" w:rsidR="00000000" w:rsidRPr="00000000">
        <w:rPr>
          <w:rtl w:val="0"/>
        </w:rPr>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pacing w:before="0" w:line="276" w:lineRule="auto"/>
        <w:ind w:left="720" w:hanging="360"/>
        <w:jc w:val="both"/>
        <w:rPr>
          <w:color w:val="000000"/>
        </w:rPr>
      </w:pPr>
      <w:r w:rsidDel="00000000" w:rsidR="00000000" w:rsidRPr="00000000">
        <w:rPr>
          <w:color w:val="000000"/>
          <w:rtl w:val="0"/>
        </w:rPr>
        <w:t xml:space="preserve">Disponibilidad del valor de los factores de riesgo de los escenarios simulados en todos los días hábiles de calendario sobre el año en el que se quiere realizar el backtesting</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before="0" w:line="276" w:lineRule="auto"/>
        <w:ind w:left="720" w:firstLine="0"/>
        <w:jc w:val="both"/>
        <w:rPr>
          <w:color w:val="000000"/>
        </w:rPr>
      </w:pPr>
      <w:r w:rsidDel="00000000" w:rsidR="00000000" w:rsidRPr="00000000">
        <w:rPr>
          <w:rtl w:val="0"/>
        </w:rPr>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pacing w:after="200" w:before="0" w:line="276" w:lineRule="auto"/>
        <w:ind w:left="720" w:hanging="360"/>
        <w:jc w:val="both"/>
        <w:rPr>
          <w:color w:val="000000"/>
        </w:rPr>
      </w:pPr>
      <w:r w:rsidDel="00000000" w:rsidR="00000000" w:rsidRPr="00000000">
        <w:rPr>
          <w:color w:val="000000"/>
          <w:rtl w:val="0"/>
        </w:rPr>
        <w:t xml:space="preserve">Definición de los intervalos de confianza necesarios para la generación de las envolventes Tau</w:t>
      </w:r>
    </w:p>
    <w:p w:rsidR="00000000" w:rsidDel="00000000" w:rsidP="00000000" w:rsidRDefault="00000000" w:rsidRPr="00000000" w14:paraId="00000041">
      <w:pPr>
        <w:pStyle w:val="Heading1"/>
        <w:numPr>
          <w:ilvl w:val="0"/>
          <w:numId w:val="6"/>
        </w:numPr>
        <w:tabs>
          <w:tab w:val="left" w:leader="none" w:pos="142"/>
          <w:tab w:val="left" w:leader="none" w:pos="426"/>
        </w:tabs>
        <w:ind w:left="0" w:firstLine="0"/>
        <w:rPr/>
      </w:pPr>
      <w:bookmarkStart w:colFirst="0" w:colLast="0" w:name="_heading=h.2et92p0" w:id="4"/>
      <w:bookmarkEnd w:id="4"/>
      <w:r w:rsidDel="00000000" w:rsidR="00000000" w:rsidRPr="00000000">
        <w:rPr>
          <w:rtl w:val="0"/>
        </w:rPr>
        <w:t xml:space="preserve">Definiciones y conceptos regulatorios relevantes</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pacing w:after="200" w:before="0" w:line="276" w:lineRule="auto"/>
        <w:ind w:left="720" w:hanging="360"/>
        <w:jc w:val="both"/>
        <w:rPr>
          <w:b w:val="1"/>
          <w:color w:val="000000"/>
        </w:rPr>
      </w:pPr>
      <w:r w:rsidDel="00000000" w:rsidR="00000000" w:rsidRPr="00000000">
        <w:rPr>
          <w:b w:val="1"/>
          <w:color w:val="000000"/>
          <w:rtl w:val="0"/>
        </w:rPr>
        <w:t xml:space="preserve">Escenario realizado</w:t>
      </w:r>
    </w:p>
    <w:p w:rsidR="00000000" w:rsidDel="00000000" w:rsidP="00000000" w:rsidRDefault="00000000" w:rsidRPr="00000000" w14:paraId="00000043">
      <w:pPr>
        <w:jc w:val="both"/>
        <w:rPr/>
      </w:pPr>
      <w:r w:rsidDel="00000000" w:rsidR="00000000" w:rsidRPr="00000000">
        <w:rPr>
          <w:rtl w:val="0"/>
        </w:rPr>
        <w:t xml:space="preserve">El escenario realizado contiene el valor real de todos los factores de riesgo durante el año en el que se realiza la medición de backtesting, con granularidad diaria según calendario de días hábiles</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200" w:before="0" w:line="276" w:lineRule="auto"/>
        <w:ind w:left="720" w:hanging="360"/>
        <w:jc w:val="both"/>
        <w:rPr>
          <w:b w:val="1"/>
          <w:color w:val="000000"/>
        </w:rPr>
      </w:pPr>
      <w:r w:rsidDel="00000000" w:rsidR="00000000" w:rsidRPr="00000000">
        <w:rPr>
          <w:b w:val="1"/>
          <w:color w:val="000000"/>
          <w:rtl w:val="0"/>
        </w:rPr>
        <w:t xml:space="preserve">Cartera real</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200" w:before="0" w:line="276" w:lineRule="auto"/>
        <w:jc w:val="both"/>
        <w:rPr>
          <w:color w:val="000000"/>
        </w:rPr>
      </w:pPr>
      <w:r w:rsidDel="00000000" w:rsidR="00000000" w:rsidRPr="00000000">
        <w:rPr>
          <w:color w:val="000000"/>
          <w:rtl w:val="0"/>
        </w:rPr>
        <w:t xml:space="preserve">La cartera real es el conjunto de instrumentos existentes a la fecha de inicio del proceso de backtesting. Se considera que es semi-estática durante el periodo de backtesting, ya que no se añade ningún instrumento adicional durante este periodo, pero sí se respeta el vencimiento de los instrumentos existentes si éstos ocurrieran en este periodo.</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after="200" w:before="0" w:line="276" w:lineRule="auto"/>
        <w:ind w:left="720" w:hanging="360"/>
        <w:jc w:val="both"/>
        <w:rPr>
          <w:b w:val="1"/>
          <w:color w:val="000000"/>
        </w:rPr>
      </w:pPr>
      <w:r w:rsidDel="00000000" w:rsidR="00000000" w:rsidRPr="00000000">
        <w:rPr>
          <w:b w:val="1"/>
          <w:color w:val="000000"/>
          <w:rtl w:val="0"/>
        </w:rPr>
        <w:t xml:space="preserve">Cartera representativa</w:t>
      </w:r>
    </w:p>
    <w:p w:rsidR="00000000" w:rsidDel="00000000" w:rsidP="00000000" w:rsidRDefault="00000000" w:rsidRPr="00000000" w14:paraId="00000048">
      <w:pPr>
        <w:jc w:val="both"/>
        <w:rPr/>
      </w:pPr>
      <w:r w:rsidDel="00000000" w:rsidR="00000000" w:rsidRPr="00000000">
        <w:rPr>
          <w:rtl w:val="0"/>
        </w:rPr>
        <w:t xml:space="preserve">La cartera representativa es un conjunto de instrumentos que reproducen las tipologías más importantes de la cartera real y sus volúmenes.</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pacing w:before="0" w:line="276" w:lineRule="auto"/>
        <w:ind w:left="720" w:hanging="360"/>
        <w:jc w:val="both"/>
        <w:rPr>
          <w:b w:val="1"/>
          <w:color w:val="000000"/>
        </w:rPr>
      </w:pPr>
      <w:r w:rsidDel="00000000" w:rsidR="00000000" w:rsidRPr="00000000">
        <w:rPr>
          <w:b w:val="1"/>
          <w:color w:val="000000"/>
          <w:rtl w:val="0"/>
        </w:rPr>
        <w:t xml:space="preserve">Métricas de exposure backtesting</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before="0" w:line="276" w:lineRule="auto"/>
        <w:ind w:left="720" w:firstLine="0"/>
        <w:jc w:val="both"/>
        <w:rPr>
          <w:b w:val="1"/>
          <w:color w:val="000000"/>
        </w:rPr>
      </w:pPr>
      <w:r w:rsidDel="00000000" w:rsidR="00000000" w:rsidRPr="00000000">
        <w:rPr>
          <w:rtl w:val="0"/>
        </w:rPr>
      </w:r>
    </w:p>
    <w:p w:rsidR="00000000" w:rsidDel="00000000" w:rsidP="00000000" w:rsidRDefault="00000000" w:rsidRPr="00000000" w14:paraId="0000004C">
      <w:pPr>
        <w:numPr>
          <w:ilvl w:val="1"/>
          <w:numId w:val="3"/>
        </w:numPr>
        <w:pBdr>
          <w:top w:space="0" w:sz="0" w:val="nil"/>
          <w:left w:space="0" w:sz="0" w:val="nil"/>
          <w:bottom w:space="0" w:sz="0" w:val="nil"/>
          <w:right w:space="0" w:sz="0" w:val="nil"/>
          <w:between w:space="0" w:sz="0" w:val="nil"/>
        </w:pBdr>
        <w:spacing w:before="0" w:line="276" w:lineRule="auto"/>
        <w:ind w:left="1440" w:hanging="360"/>
        <w:jc w:val="both"/>
        <w:rPr>
          <w:color w:val="000000"/>
        </w:rPr>
      </w:pPr>
      <w:r w:rsidDel="00000000" w:rsidR="00000000" w:rsidRPr="00000000">
        <w:rPr>
          <w:b w:val="1"/>
          <w:color w:val="000000"/>
          <w:rtl w:val="0"/>
        </w:rPr>
        <w:t xml:space="preserve">Simulated TAU</w:t>
      </w:r>
      <w:r w:rsidDel="00000000" w:rsidR="00000000" w:rsidRPr="00000000">
        <w:rPr>
          <w:color w:val="000000"/>
          <w:rtl w:val="0"/>
        </w:rPr>
        <w:t xml:space="preserve">: Envolvente de las exposiciones simuladas en cada uno de los timesteps según un cierto intervalo de confianza</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before="0" w:line="276" w:lineRule="auto"/>
        <w:ind w:left="1440" w:firstLine="0"/>
        <w:jc w:val="both"/>
        <w:rPr>
          <w:color w:val="000000"/>
        </w:rPr>
      </w:pPr>
      <w:r w:rsidDel="00000000" w:rsidR="00000000" w:rsidRPr="00000000">
        <w:rPr>
          <w:rtl w:val="0"/>
        </w:rPr>
      </w:r>
    </w:p>
    <w:p w:rsidR="00000000" w:rsidDel="00000000" w:rsidP="00000000" w:rsidRDefault="00000000" w:rsidRPr="00000000" w14:paraId="0000004E">
      <w:pPr>
        <w:numPr>
          <w:ilvl w:val="1"/>
          <w:numId w:val="3"/>
        </w:numPr>
        <w:pBdr>
          <w:top w:space="0" w:sz="0" w:val="nil"/>
          <w:left w:space="0" w:sz="0" w:val="nil"/>
          <w:bottom w:space="0" w:sz="0" w:val="nil"/>
          <w:right w:space="0" w:sz="0" w:val="nil"/>
          <w:between w:space="0" w:sz="0" w:val="nil"/>
        </w:pBdr>
        <w:spacing w:before="0" w:line="276" w:lineRule="auto"/>
        <w:ind w:left="1440" w:hanging="360"/>
        <w:jc w:val="both"/>
        <w:rPr>
          <w:color w:val="000000"/>
        </w:rPr>
      </w:pPr>
      <w:r w:rsidDel="00000000" w:rsidR="00000000" w:rsidRPr="00000000">
        <w:rPr>
          <w:b w:val="1"/>
          <w:color w:val="000000"/>
          <w:rtl w:val="0"/>
        </w:rPr>
        <w:t xml:space="preserve">Realized TAU</w:t>
      </w:r>
      <w:r w:rsidDel="00000000" w:rsidR="00000000" w:rsidRPr="00000000">
        <w:rPr>
          <w:color w:val="000000"/>
          <w:rtl w:val="0"/>
        </w:rPr>
        <w:t xml:space="preserve">: Valor de la exposición real en cada uno de los timesteps</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before="0" w:line="276" w:lineRule="auto"/>
        <w:ind w:left="1440" w:firstLine="0"/>
        <w:jc w:val="cente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pacing w:after="200" w:before="0" w:line="276" w:lineRule="auto"/>
        <w:ind w:left="720" w:hanging="360"/>
        <w:jc w:val="both"/>
        <w:rPr>
          <w:b w:val="1"/>
          <w:color w:val="000000"/>
        </w:rPr>
      </w:pPr>
      <w:r w:rsidDel="00000000" w:rsidR="00000000" w:rsidRPr="00000000">
        <w:rPr>
          <w:b w:val="1"/>
          <w:color w:val="000000"/>
          <w:rtl w:val="0"/>
        </w:rPr>
        <w:t xml:space="preserve">Tipos de expresiones TAU</w:t>
      </w:r>
    </w:p>
    <w:p w:rsidR="00000000" w:rsidDel="00000000" w:rsidP="00000000" w:rsidRDefault="00000000" w:rsidRPr="00000000" w14:paraId="00000051">
      <w:pPr>
        <w:numPr>
          <w:ilvl w:val="1"/>
          <w:numId w:val="3"/>
        </w:numPr>
        <w:pBdr>
          <w:top w:space="0" w:sz="0" w:val="nil"/>
          <w:left w:space="0" w:sz="0" w:val="nil"/>
          <w:bottom w:space="0" w:sz="0" w:val="nil"/>
          <w:right w:space="0" w:sz="0" w:val="nil"/>
          <w:between w:space="0" w:sz="0" w:val="nil"/>
        </w:pBdr>
        <w:spacing w:after="200" w:before="0" w:line="276" w:lineRule="auto"/>
        <w:ind w:left="1440" w:hanging="360"/>
        <w:jc w:val="both"/>
        <w:rPr>
          <w:b w:val="1"/>
          <w:color w:val="000000"/>
        </w:rPr>
      </w:pPr>
      <w:r w:rsidDel="00000000" w:rsidR="00000000" w:rsidRPr="00000000">
        <w:rPr>
          <w:b w:val="1"/>
          <w:color w:val="000000"/>
          <w:rtl w:val="0"/>
        </w:rPr>
        <w:t xml:space="preserve">Count: </w:t>
      </w:r>
      <w:r w:rsidDel="00000000" w:rsidR="00000000" w:rsidRPr="00000000">
        <w:rPr>
          <w:color w:val="000000"/>
          <w:rtl w:val="0"/>
        </w:rPr>
        <w:t xml:space="preserve">Número de veces que la medición real de la exposición supera a la simulada según un cierto intervalo de confianza</w:t>
      </w:r>
      <w:r w:rsidDel="00000000" w:rsidR="00000000" w:rsidRPr="00000000">
        <w:rPr>
          <w:rtl w:val="0"/>
        </w:rPr>
      </w:r>
    </w:p>
    <w:p w:rsidR="00000000" w:rsidDel="00000000" w:rsidP="00000000" w:rsidRDefault="00000000" w:rsidRPr="00000000" w14:paraId="00000052">
      <w:pPr>
        <w:numPr>
          <w:ilvl w:val="1"/>
          <w:numId w:val="3"/>
        </w:numPr>
        <w:pBdr>
          <w:top w:space="0" w:sz="0" w:val="nil"/>
          <w:left w:space="0" w:sz="0" w:val="nil"/>
          <w:bottom w:space="0" w:sz="0" w:val="nil"/>
          <w:right w:space="0" w:sz="0" w:val="nil"/>
          <w:between w:space="0" w:sz="0" w:val="nil"/>
        </w:pBdr>
        <w:spacing w:after="200" w:before="0" w:line="276" w:lineRule="auto"/>
        <w:ind w:left="1440" w:hanging="360"/>
        <w:jc w:val="both"/>
        <w:rPr>
          <w:b w:val="1"/>
          <w:color w:val="000000"/>
        </w:rPr>
      </w:pPr>
      <w:r w:rsidDel="00000000" w:rsidR="00000000" w:rsidRPr="00000000">
        <w:rPr>
          <w:b w:val="1"/>
          <w:color w:val="000000"/>
          <w:rtl w:val="0"/>
        </w:rPr>
        <w:t xml:space="preserve">Distancia: </w:t>
      </w:r>
      <w:r w:rsidDel="00000000" w:rsidR="00000000" w:rsidRPr="00000000">
        <w:rPr>
          <w:color w:val="000000"/>
          <w:rtl w:val="0"/>
        </w:rPr>
        <w:t xml:space="preserve">Diferencia de valor entre la exposición realizada y la simulada en aquellos puntos en que la realizada es mayor a la simulada.</w:t>
      </w:r>
      <w:r w:rsidDel="00000000" w:rsidR="00000000" w:rsidRPr="00000000">
        <w:rPr>
          <w:rtl w:val="0"/>
        </w:rPr>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pacing w:after="200" w:before="0" w:line="276" w:lineRule="auto"/>
        <w:ind w:left="720" w:hanging="360"/>
        <w:jc w:val="both"/>
        <w:rPr>
          <w:b w:val="1"/>
          <w:color w:val="000000"/>
        </w:rPr>
      </w:pPr>
      <w:r w:rsidDel="00000000" w:rsidR="00000000" w:rsidRPr="00000000">
        <w:rPr>
          <w:b w:val="1"/>
          <w:color w:val="000000"/>
          <w:rtl w:val="0"/>
        </w:rPr>
        <w:t xml:space="preserve">Timeweight</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200" w:before="0" w:line="276" w:lineRule="auto"/>
        <w:jc w:val="both"/>
        <w:rPr>
          <w:color w:val="000000"/>
        </w:rPr>
      </w:pPr>
      <w:r w:rsidDel="00000000" w:rsidR="00000000" w:rsidRPr="00000000">
        <w:rPr>
          <w:color w:val="000000"/>
          <w:rtl w:val="0"/>
        </w:rPr>
        <w:t xml:space="preserve">Escalar que se obtiene como la multiplicación del valor en cada timestep por un peso dependiente de la diferencia entre el día que representa el timestep y la fecha inicio de backtesting</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200" w:before="0" w:line="276" w:lineRule="auto"/>
        <w:jc w:val="both"/>
        <w:rPr/>
      </w:pPr>
      <w:r w:rsidDel="00000000" w:rsidR="00000000" w:rsidRPr="00000000">
        <w:rPr>
          <w:rtl w:val="0"/>
        </w:rPr>
      </w:r>
    </w:p>
    <w:p w:rsidR="00000000" w:rsidDel="00000000" w:rsidP="00000000" w:rsidRDefault="00000000" w:rsidRPr="00000000" w14:paraId="00000056">
      <w:pPr>
        <w:pStyle w:val="Heading1"/>
        <w:numPr>
          <w:ilvl w:val="0"/>
          <w:numId w:val="6"/>
        </w:numPr>
        <w:tabs>
          <w:tab w:val="left" w:leader="none" w:pos="142"/>
          <w:tab w:val="left" w:leader="none" w:pos="426"/>
        </w:tabs>
        <w:ind w:left="0" w:firstLine="0"/>
        <w:rPr/>
      </w:pPr>
      <w:bookmarkStart w:colFirst="0" w:colLast="0" w:name="_heading=h.tyjcwt" w:id="5"/>
      <w:bookmarkEnd w:id="5"/>
      <w:r w:rsidDel="00000000" w:rsidR="00000000" w:rsidRPr="00000000">
        <w:rPr>
          <w:rtl w:val="0"/>
        </w:rPr>
        <w:t xml:space="preserve">Composición de la cartera representativa</w:t>
      </w:r>
    </w:p>
    <w:p w:rsidR="00000000" w:rsidDel="00000000" w:rsidP="00000000" w:rsidRDefault="00000000" w:rsidRPr="00000000" w14:paraId="00000057">
      <w:pPr>
        <w:spacing w:after="120" w:lineRule="auto"/>
        <w:jc w:val="both"/>
        <w:rPr/>
      </w:pPr>
      <w:r w:rsidDel="00000000" w:rsidR="00000000" w:rsidRPr="00000000">
        <w:rPr>
          <w:rtl w:val="0"/>
        </w:rPr>
        <w:t xml:space="preserve">La cartera representativa se define en base a dos dimensiones:</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pacing w:after="200" w:before="0" w:line="276" w:lineRule="auto"/>
        <w:ind w:left="720" w:hanging="360"/>
        <w:jc w:val="both"/>
        <w:rPr>
          <w:b w:val="1"/>
          <w:color w:val="000000"/>
        </w:rPr>
      </w:pPr>
      <w:r w:rsidDel="00000000" w:rsidR="00000000" w:rsidRPr="00000000">
        <w:rPr>
          <w:b w:val="1"/>
          <w:color w:val="000000"/>
          <w:rtl w:val="0"/>
        </w:rPr>
        <w:t xml:space="preserve">Instrumentos </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200" w:before="0" w:line="276" w:lineRule="auto"/>
        <w:ind w:left="720" w:firstLine="0"/>
        <w:jc w:val="both"/>
        <w:rPr>
          <w:color w:val="000000"/>
        </w:rPr>
      </w:pPr>
      <w:r w:rsidDel="00000000" w:rsidR="00000000" w:rsidRPr="00000000">
        <w:rPr>
          <w:color w:val="000000"/>
          <w:rtl w:val="0"/>
        </w:rPr>
        <w:t xml:space="preserve">Son un conjunto de instrumentos de diferentes tipologías capaces de generar una representatividad razonable de la cartera real.</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200" w:before="0" w:line="276" w:lineRule="auto"/>
        <w:ind w:left="720" w:firstLine="0"/>
        <w:jc w:val="both"/>
        <w:rPr/>
      </w:pPr>
      <w:r w:rsidDel="00000000" w:rsidR="00000000" w:rsidRPr="00000000">
        <w:rPr>
          <w:color w:val="000000"/>
          <w:rtl w:val="0"/>
        </w:rPr>
        <w:t xml:space="preserve">Estos instrumentos se asumen constantes durante el periodo de backtesting. Es decir, han sido contratados antes o a la fecha de inicio de backtesting, y deben vencer después o en la fecha de fin de backtesting</w:t>
      </w:r>
      <w:r w:rsidDel="00000000" w:rsidR="00000000" w:rsidRPr="00000000">
        <w:rPr>
          <w:rtl w:val="0"/>
        </w:rPr>
        <w:t xml:space="preserv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pacing w:after="200" w:before="0" w:line="276" w:lineRule="auto"/>
        <w:ind w:left="720" w:hanging="360"/>
        <w:jc w:val="both"/>
        <w:rPr>
          <w:b w:val="1"/>
          <w:color w:val="000000"/>
        </w:rPr>
      </w:pPr>
      <w:r w:rsidDel="00000000" w:rsidR="00000000" w:rsidRPr="00000000">
        <w:rPr>
          <w:b w:val="1"/>
          <w:color w:val="000000"/>
          <w:rtl w:val="0"/>
        </w:rPr>
        <w:t xml:space="preserve">Contrapartidas</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200" w:before="0" w:line="276" w:lineRule="auto"/>
        <w:ind w:left="720" w:firstLine="0"/>
        <w:jc w:val="both"/>
        <w:rPr>
          <w:color w:val="000000"/>
        </w:rPr>
      </w:pPr>
      <w:r w:rsidDel="00000000" w:rsidR="00000000" w:rsidRPr="00000000">
        <w:rPr>
          <w:color w:val="000000"/>
          <w:rtl w:val="0"/>
        </w:rPr>
        <w:t xml:space="preserve">Son un conjunto ficticio de contrapartidas que representan distintas mitigaciones de la exposición aplicadas a las reales:</w:t>
      </w:r>
    </w:p>
    <w:p w:rsidR="00000000" w:rsidDel="00000000" w:rsidP="00000000" w:rsidRDefault="00000000" w:rsidRPr="00000000" w14:paraId="0000005E">
      <w:pPr>
        <w:numPr>
          <w:ilvl w:val="1"/>
          <w:numId w:val="3"/>
        </w:numPr>
        <w:pBdr>
          <w:top w:space="0" w:sz="0" w:val="nil"/>
          <w:left w:space="0" w:sz="0" w:val="nil"/>
          <w:bottom w:space="0" w:sz="0" w:val="nil"/>
          <w:right w:space="0" w:sz="0" w:val="nil"/>
          <w:between w:space="0" w:sz="0" w:val="nil"/>
        </w:pBdr>
        <w:spacing w:after="200" w:before="0" w:line="276" w:lineRule="auto"/>
        <w:ind w:left="1440" w:hanging="360"/>
        <w:jc w:val="both"/>
        <w:rPr>
          <w:color w:val="000000"/>
        </w:rPr>
      </w:pPr>
      <w:r w:rsidDel="00000000" w:rsidR="00000000" w:rsidRPr="00000000">
        <w:rPr>
          <w:color w:val="000000"/>
          <w:rtl w:val="0"/>
        </w:rPr>
        <w:t xml:space="preserve">Contrato de colateral bilateral</w:t>
      </w:r>
    </w:p>
    <w:p w:rsidR="00000000" w:rsidDel="00000000" w:rsidP="00000000" w:rsidRDefault="00000000" w:rsidRPr="00000000" w14:paraId="0000005F">
      <w:pPr>
        <w:numPr>
          <w:ilvl w:val="2"/>
          <w:numId w:val="3"/>
        </w:numPr>
        <w:pBdr>
          <w:top w:space="0" w:sz="0" w:val="nil"/>
          <w:left w:space="0" w:sz="0" w:val="nil"/>
          <w:bottom w:space="0" w:sz="0" w:val="nil"/>
          <w:right w:space="0" w:sz="0" w:val="nil"/>
          <w:between w:space="0" w:sz="0" w:val="nil"/>
        </w:pBdr>
        <w:spacing w:after="200" w:before="0" w:line="276" w:lineRule="auto"/>
        <w:ind w:left="2160" w:hanging="360"/>
        <w:jc w:val="both"/>
        <w:rPr>
          <w:color w:val="000000"/>
        </w:rPr>
      </w:pPr>
      <w:r w:rsidDel="00000000" w:rsidR="00000000" w:rsidRPr="00000000">
        <w:rPr>
          <w:color w:val="000000"/>
          <w:rtl w:val="0"/>
        </w:rPr>
        <w:t xml:space="preserve">Threshold = 0</w:t>
      </w:r>
    </w:p>
    <w:p w:rsidR="00000000" w:rsidDel="00000000" w:rsidP="00000000" w:rsidRDefault="00000000" w:rsidRPr="00000000" w14:paraId="00000060">
      <w:pPr>
        <w:numPr>
          <w:ilvl w:val="2"/>
          <w:numId w:val="3"/>
        </w:numPr>
        <w:pBdr>
          <w:top w:space="0" w:sz="0" w:val="nil"/>
          <w:left w:space="0" w:sz="0" w:val="nil"/>
          <w:bottom w:space="0" w:sz="0" w:val="nil"/>
          <w:right w:space="0" w:sz="0" w:val="nil"/>
          <w:between w:space="0" w:sz="0" w:val="nil"/>
        </w:pBdr>
        <w:spacing w:after="200" w:before="0" w:line="276" w:lineRule="auto"/>
        <w:ind w:left="2160" w:hanging="360"/>
        <w:jc w:val="both"/>
        <w:rPr>
          <w:color w:val="000000"/>
        </w:rPr>
      </w:pPr>
      <w:r w:rsidDel="00000000" w:rsidR="00000000" w:rsidRPr="00000000">
        <w:rPr>
          <w:color w:val="000000"/>
          <w:rtl w:val="0"/>
        </w:rPr>
        <w:t xml:space="preserve">Minimum Transfer Amount = 0</w:t>
      </w:r>
    </w:p>
    <w:p w:rsidR="00000000" w:rsidDel="00000000" w:rsidP="00000000" w:rsidRDefault="00000000" w:rsidRPr="00000000" w14:paraId="00000061">
      <w:pPr>
        <w:numPr>
          <w:ilvl w:val="2"/>
          <w:numId w:val="3"/>
        </w:numPr>
        <w:pBdr>
          <w:top w:space="0" w:sz="0" w:val="nil"/>
          <w:left w:space="0" w:sz="0" w:val="nil"/>
          <w:bottom w:space="0" w:sz="0" w:val="nil"/>
          <w:right w:space="0" w:sz="0" w:val="nil"/>
          <w:between w:space="0" w:sz="0" w:val="nil"/>
        </w:pBdr>
        <w:spacing w:after="200" w:before="0" w:line="276" w:lineRule="auto"/>
        <w:ind w:left="2160" w:hanging="360"/>
        <w:jc w:val="both"/>
        <w:rPr>
          <w:color w:val="000000"/>
        </w:rPr>
      </w:pPr>
      <w:r w:rsidDel="00000000" w:rsidR="00000000" w:rsidRPr="00000000">
        <w:rPr>
          <w:color w:val="000000"/>
          <w:rtl w:val="0"/>
        </w:rPr>
        <w:t xml:space="preserve">Reposición diaria</w:t>
      </w:r>
    </w:p>
    <w:p w:rsidR="00000000" w:rsidDel="00000000" w:rsidP="00000000" w:rsidRDefault="00000000" w:rsidRPr="00000000" w14:paraId="00000062">
      <w:pPr>
        <w:numPr>
          <w:ilvl w:val="2"/>
          <w:numId w:val="3"/>
        </w:numPr>
        <w:pBdr>
          <w:top w:space="0" w:sz="0" w:val="nil"/>
          <w:left w:space="0" w:sz="0" w:val="nil"/>
          <w:bottom w:space="0" w:sz="0" w:val="nil"/>
          <w:right w:space="0" w:sz="0" w:val="nil"/>
          <w:between w:space="0" w:sz="0" w:val="nil"/>
        </w:pBdr>
        <w:spacing w:after="200" w:before="0" w:line="276" w:lineRule="auto"/>
        <w:ind w:left="2160" w:hanging="360"/>
        <w:jc w:val="both"/>
        <w:rPr>
          <w:color w:val="000000"/>
        </w:rPr>
      </w:pPr>
      <w:r w:rsidDel="00000000" w:rsidR="00000000" w:rsidRPr="00000000">
        <w:rPr>
          <w:color w:val="000000"/>
          <w:rtl w:val="0"/>
        </w:rPr>
        <w:t xml:space="preserve">Variation margin inicial (balance de colateral) = NPV</w:t>
      </w:r>
    </w:p>
    <w:p w:rsidR="00000000" w:rsidDel="00000000" w:rsidP="00000000" w:rsidRDefault="00000000" w:rsidRPr="00000000" w14:paraId="00000063">
      <w:pPr>
        <w:numPr>
          <w:ilvl w:val="1"/>
          <w:numId w:val="3"/>
        </w:numPr>
        <w:pBdr>
          <w:top w:space="0" w:sz="0" w:val="nil"/>
          <w:left w:space="0" w:sz="0" w:val="nil"/>
          <w:bottom w:space="0" w:sz="0" w:val="nil"/>
          <w:right w:space="0" w:sz="0" w:val="nil"/>
          <w:between w:space="0" w:sz="0" w:val="nil"/>
        </w:pBdr>
        <w:spacing w:after="200" w:before="0" w:line="276" w:lineRule="auto"/>
        <w:ind w:left="1440" w:hanging="360"/>
        <w:jc w:val="both"/>
        <w:rPr>
          <w:color w:val="000000"/>
        </w:rPr>
      </w:pPr>
      <w:r w:rsidDel="00000000" w:rsidR="00000000" w:rsidRPr="00000000">
        <w:rPr>
          <w:color w:val="000000"/>
          <w:rtl w:val="0"/>
        </w:rPr>
        <w:t xml:space="preserve">Contrato de colateral unilateral</w:t>
      </w:r>
    </w:p>
    <w:p w:rsidR="00000000" w:rsidDel="00000000" w:rsidP="00000000" w:rsidRDefault="00000000" w:rsidRPr="00000000" w14:paraId="00000064">
      <w:pPr>
        <w:numPr>
          <w:ilvl w:val="2"/>
          <w:numId w:val="3"/>
        </w:numPr>
        <w:pBdr>
          <w:top w:space="0" w:sz="0" w:val="nil"/>
          <w:left w:space="0" w:sz="0" w:val="nil"/>
          <w:bottom w:space="0" w:sz="0" w:val="nil"/>
          <w:right w:space="0" w:sz="0" w:val="nil"/>
          <w:between w:space="0" w:sz="0" w:val="nil"/>
        </w:pBdr>
        <w:spacing w:after="200" w:before="0" w:line="276" w:lineRule="auto"/>
        <w:ind w:left="2160" w:hanging="360"/>
        <w:jc w:val="both"/>
        <w:rPr>
          <w:color w:val="000000"/>
        </w:rPr>
      </w:pPr>
      <w:r w:rsidDel="00000000" w:rsidR="00000000" w:rsidRPr="00000000">
        <w:rPr>
          <w:color w:val="000000"/>
          <w:rtl w:val="0"/>
        </w:rPr>
        <w:t xml:space="preserve">Contrato unilateral</w:t>
      </w:r>
    </w:p>
    <w:p w:rsidR="00000000" w:rsidDel="00000000" w:rsidP="00000000" w:rsidRDefault="00000000" w:rsidRPr="00000000" w14:paraId="00000065">
      <w:pPr>
        <w:numPr>
          <w:ilvl w:val="2"/>
          <w:numId w:val="3"/>
        </w:numPr>
        <w:pBdr>
          <w:top w:space="0" w:sz="0" w:val="nil"/>
          <w:left w:space="0" w:sz="0" w:val="nil"/>
          <w:bottom w:space="0" w:sz="0" w:val="nil"/>
          <w:right w:space="0" w:sz="0" w:val="nil"/>
          <w:between w:space="0" w:sz="0" w:val="nil"/>
        </w:pBdr>
        <w:spacing w:after="200" w:before="0" w:line="276" w:lineRule="auto"/>
        <w:ind w:left="2160" w:hanging="360"/>
        <w:jc w:val="both"/>
        <w:rPr>
          <w:color w:val="000000"/>
        </w:rPr>
      </w:pPr>
      <w:sdt>
        <w:sdtPr>
          <w:tag w:val="goog_rdk_0"/>
        </w:sdtPr>
        <w:sdtContent>
          <w:commentRangeStart w:id="0"/>
        </w:sdtContent>
      </w:sdt>
      <w:r w:rsidDel="00000000" w:rsidR="00000000" w:rsidRPr="00000000">
        <w:rPr>
          <w:color w:val="000000"/>
          <w:rtl w:val="0"/>
        </w:rPr>
        <w:t xml:space="preserve">Threshold &gt; 0</w:t>
      </w:r>
    </w:p>
    <w:p w:rsidR="00000000" w:rsidDel="00000000" w:rsidP="00000000" w:rsidRDefault="00000000" w:rsidRPr="00000000" w14:paraId="00000066">
      <w:pPr>
        <w:numPr>
          <w:ilvl w:val="2"/>
          <w:numId w:val="3"/>
        </w:numPr>
        <w:pBdr>
          <w:top w:space="0" w:sz="0" w:val="nil"/>
          <w:left w:space="0" w:sz="0" w:val="nil"/>
          <w:bottom w:space="0" w:sz="0" w:val="nil"/>
          <w:right w:space="0" w:sz="0" w:val="nil"/>
          <w:between w:space="0" w:sz="0" w:val="nil"/>
        </w:pBdr>
        <w:spacing w:after="200" w:before="0" w:line="276" w:lineRule="auto"/>
        <w:ind w:left="2160" w:hanging="360"/>
        <w:jc w:val="both"/>
        <w:rPr>
          <w:color w:val="000000"/>
        </w:rPr>
      </w:pPr>
      <w:r w:rsidDel="00000000" w:rsidR="00000000" w:rsidRPr="00000000">
        <w:rPr>
          <w:color w:val="000000"/>
          <w:rtl w:val="0"/>
        </w:rPr>
        <w:t xml:space="preserve">MTA &gt; 0</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7">
      <w:pPr>
        <w:numPr>
          <w:ilvl w:val="2"/>
          <w:numId w:val="3"/>
        </w:numPr>
        <w:pBdr>
          <w:top w:space="0" w:sz="0" w:val="nil"/>
          <w:left w:space="0" w:sz="0" w:val="nil"/>
          <w:bottom w:space="0" w:sz="0" w:val="nil"/>
          <w:right w:space="0" w:sz="0" w:val="nil"/>
          <w:between w:space="0" w:sz="0" w:val="nil"/>
        </w:pBdr>
        <w:spacing w:after="200" w:before="0" w:line="276" w:lineRule="auto"/>
        <w:ind w:left="2160" w:hanging="360"/>
        <w:jc w:val="both"/>
        <w:rPr>
          <w:color w:val="000000"/>
        </w:rPr>
      </w:pPr>
      <w:r w:rsidDel="00000000" w:rsidR="00000000" w:rsidRPr="00000000">
        <w:rPr>
          <w:color w:val="000000"/>
          <w:rtl w:val="0"/>
        </w:rPr>
        <w:t xml:space="preserve">Reposición mensual</w:t>
      </w:r>
    </w:p>
    <w:p w:rsidR="00000000" w:rsidDel="00000000" w:rsidP="00000000" w:rsidRDefault="00000000" w:rsidRPr="00000000" w14:paraId="00000068">
      <w:pPr>
        <w:numPr>
          <w:ilvl w:val="1"/>
          <w:numId w:val="3"/>
        </w:numPr>
        <w:pBdr>
          <w:top w:space="0" w:sz="0" w:val="nil"/>
          <w:left w:space="0" w:sz="0" w:val="nil"/>
          <w:bottom w:space="0" w:sz="0" w:val="nil"/>
          <w:right w:space="0" w:sz="0" w:val="nil"/>
          <w:between w:space="0" w:sz="0" w:val="nil"/>
        </w:pBdr>
        <w:spacing w:after="200" w:before="0" w:line="276" w:lineRule="auto"/>
        <w:ind w:left="1440" w:hanging="360"/>
        <w:jc w:val="both"/>
        <w:rPr>
          <w:color w:val="000000"/>
        </w:rPr>
      </w:pPr>
      <w:r w:rsidDel="00000000" w:rsidR="00000000" w:rsidRPr="00000000">
        <w:rPr>
          <w:color w:val="000000"/>
          <w:rtl w:val="0"/>
        </w:rPr>
        <w:t xml:space="preserve">Master agreement pero sin contrato de colateral</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200" w:before="0" w:line="276" w:lineRule="auto"/>
        <w:ind w:left="720" w:firstLine="0"/>
        <w:jc w:val="both"/>
        <w:rPr>
          <w:color w:val="000000"/>
        </w:rPr>
      </w:pPr>
      <w:r w:rsidDel="00000000" w:rsidR="00000000" w:rsidRPr="00000000">
        <w:rPr>
          <w:color w:val="000000"/>
          <w:rtl w:val="0"/>
        </w:rPr>
        <w:t xml:space="preserve">Las contrapartidas colateralizadas carecerán de contratos de initial margin y de independent amounts</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200" w:before="0" w:line="276" w:lineRule="auto"/>
        <w:ind w:left="720" w:firstLine="0"/>
        <w:jc w:val="both"/>
        <w:rPr>
          <w:color w:val="000000"/>
        </w:rPr>
      </w:pPr>
      <w:r w:rsidDel="00000000" w:rsidR="00000000" w:rsidRPr="00000000">
        <w:rPr>
          <w:color w:val="000000"/>
          <w:rtl w:val="0"/>
        </w:rPr>
        <w:t xml:space="preserve">Se crearán cuatro subtipos de contrapartidas colateralizadas para cada una de las tipologías identificadas, donde este subtipo se define en función de la longitud del Margin Period of Risk del que se quiere backtestear la exposición:</w:t>
      </w:r>
    </w:p>
    <w:p w:rsidR="00000000" w:rsidDel="00000000" w:rsidP="00000000" w:rsidRDefault="00000000" w:rsidRPr="00000000" w14:paraId="0000006B">
      <w:pPr>
        <w:numPr>
          <w:ilvl w:val="1"/>
          <w:numId w:val="3"/>
        </w:numPr>
        <w:pBdr>
          <w:top w:space="0" w:sz="0" w:val="nil"/>
          <w:left w:space="0" w:sz="0" w:val="nil"/>
          <w:bottom w:space="0" w:sz="0" w:val="nil"/>
          <w:right w:space="0" w:sz="0" w:val="nil"/>
          <w:between w:space="0" w:sz="0" w:val="nil"/>
        </w:pBdr>
        <w:spacing w:after="200" w:before="0" w:line="276" w:lineRule="auto"/>
        <w:ind w:left="1440" w:hanging="360"/>
        <w:jc w:val="both"/>
        <w:rPr>
          <w:color w:val="000000"/>
        </w:rPr>
      </w:pPr>
      <w:sdt>
        <w:sdtPr>
          <w:tag w:val="goog_rdk_1"/>
        </w:sdtPr>
        <w:sdtContent>
          <w:commentRangeStart w:id="1"/>
        </w:sdtContent>
      </w:sdt>
      <w:r w:rsidDel="00000000" w:rsidR="00000000" w:rsidRPr="00000000">
        <w:rPr>
          <w:color w:val="000000"/>
          <w:rtl w:val="0"/>
        </w:rPr>
        <w:t xml:space="preserve">1 semana</w:t>
      </w:r>
    </w:p>
    <w:p w:rsidR="00000000" w:rsidDel="00000000" w:rsidP="00000000" w:rsidRDefault="00000000" w:rsidRPr="00000000" w14:paraId="0000006C">
      <w:pPr>
        <w:numPr>
          <w:ilvl w:val="1"/>
          <w:numId w:val="3"/>
        </w:numPr>
        <w:pBdr>
          <w:top w:space="0" w:sz="0" w:val="nil"/>
          <w:left w:space="0" w:sz="0" w:val="nil"/>
          <w:bottom w:space="0" w:sz="0" w:val="nil"/>
          <w:right w:space="0" w:sz="0" w:val="nil"/>
          <w:between w:space="0" w:sz="0" w:val="nil"/>
        </w:pBdr>
        <w:spacing w:after="200" w:before="0" w:line="276" w:lineRule="auto"/>
        <w:ind w:left="1440" w:hanging="360"/>
        <w:jc w:val="both"/>
        <w:rPr>
          <w:color w:val="000000"/>
        </w:rPr>
      </w:pPr>
      <w:r w:rsidDel="00000000" w:rsidR="00000000" w:rsidRPr="00000000">
        <w:rPr>
          <w:color w:val="000000"/>
          <w:rtl w:val="0"/>
        </w:rPr>
        <w:t xml:space="preserve">2 semanas</w:t>
      </w:r>
    </w:p>
    <w:p w:rsidR="00000000" w:rsidDel="00000000" w:rsidP="00000000" w:rsidRDefault="00000000" w:rsidRPr="00000000" w14:paraId="0000006D">
      <w:pPr>
        <w:numPr>
          <w:ilvl w:val="1"/>
          <w:numId w:val="3"/>
        </w:numPr>
        <w:pBdr>
          <w:top w:space="0" w:sz="0" w:val="nil"/>
          <w:left w:space="0" w:sz="0" w:val="nil"/>
          <w:bottom w:space="0" w:sz="0" w:val="nil"/>
          <w:right w:space="0" w:sz="0" w:val="nil"/>
          <w:between w:space="0" w:sz="0" w:val="nil"/>
        </w:pBdr>
        <w:spacing w:after="200" w:before="0" w:line="276" w:lineRule="auto"/>
        <w:ind w:left="1440" w:hanging="360"/>
        <w:jc w:val="both"/>
        <w:rPr>
          <w:color w:val="000000"/>
        </w:rPr>
      </w:pPr>
      <w:r w:rsidDel="00000000" w:rsidR="00000000" w:rsidRPr="00000000">
        <w:rPr>
          <w:color w:val="000000"/>
          <w:rtl w:val="0"/>
        </w:rPr>
        <w:t xml:space="preserve">1 mes</w:t>
      </w:r>
    </w:p>
    <w:p w:rsidR="00000000" w:rsidDel="00000000" w:rsidP="00000000" w:rsidRDefault="00000000" w:rsidRPr="00000000" w14:paraId="0000006E">
      <w:pPr>
        <w:numPr>
          <w:ilvl w:val="1"/>
          <w:numId w:val="3"/>
        </w:numPr>
        <w:pBdr>
          <w:top w:space="0" w:sz="0" w:val="nil"/>
          <w:left w:space="0" w:sz="0" w:val="nil"/>
          <w:bottom w:space="0" w:sz="0" w:val="nil"/>
          <w:right w:space="0" w:sz="0" w:val="nil"/>
          <w:between w:space="0" w:sz="0" w:val="nil"/>
        </w:pBdr>
        <w:spacing w:after="200" w:before="0" w:line="276" w:lineRule="auto"/>
        <w:ind w:left="1440" w:hanging="360"/>
        <w:jc w:val="both"/>
        <w:rPr>
          <w:color w:val="000000"/>
        </w:rPr>
      </w:pPr>
      <w:r w:rsidDel="00000000" w:rsidR="00000000" w:rsidRPr="00000000">
        <w:rPr>
          <w:color w:val="000000"/>
          <w:rtl w:val="0"/>
        </w:rPr>
        <w:t xml:space="preserve">3 meses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200" w:before="0" w:line="276" w:lineRule="auto"/>
        <w:ind w:left="720" w:firstLine="0"/>
        <w:rPr>
          <w:color w:val="000000"/>
        </w:rPr>
      </w:pPr>
      <w:r w:rsidDel="00000000" w:rsidR="00000000" w:rsidRPr="00000000">
        <w:rPr>
          <w:rtl w:val="0"/>
        </w:rPr>
      </w:r>
    </w:p>
    <w:p w:rsidR="00000000" w:rsidDel="00000000" w:rsidP="00000000" w:rsidRDefault="00000000" w:rsidRPr="00000000" w14:paraId="00000070">
      <w:pPr>
        <w:pStyle w:val="Heading1"/>
        <w:numPr>
          <w:ilvl w:val="0"/>
          <w:numId w:val="6"/>
        </w:numPr>
        <w:tabs>
          <w:tab w:val="left" w:leader="none" w:pos="142"/>
          <w:tab w:val="left" w:leader="none" w:pos="426"/>
        </w:tabs>
        <w:ind w:left="0" w:firstLine="0"/>
        <w:rPr/>
      </w:pPr>
      <w:bookmarkStart w:colFirst="0" w:colLast="0" w:name="_heading=h.1t3h5sf" w:id="6"/>
      <w:bookmarkEnd w:id="6"/>
      <w:r w:rsidDel="00000000" w:rsidR="00000000" w:rsidRPr="00000000">
        <w:rPr>
          <w:rtl w:val="0"/>
        </w:rPr>
        <w:t xml:space="preserve">Modelo operativo (workflow)</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200" w:before="0" w:line="276" w:lineRule="auto"/>
        <w:rPr/>
      </w:pPr>
      <w:r w:rsidDel="00000000" w:rsidR="00000000" w:rsidRPr="00000000">
        <w:rPr>
          <w:rtl w:val="0"/>
        </w:rPr>
        <w:t xml:space="preserve">La ejecución de backtesting debe ser al menos anual (CRR art. 293, TRIM párrafo 61 de riesgo de contrapartida). </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200" w:before="0" w:line="276" w:lineRule="auto"/>
        <w:rPr/>
      </w:pPr>
      <w:r w:rsidDel="00000000" w:rsidR="00000000" w:rsidRPr="00000000">
        <w:rPr>
          <w:rtl w:val="0"/>
        </w:rPr>
        <w:t xml:space="preserve">La ventana de ejecución de backtesting será de un año.</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200" w:before="0" w:line="276" w:lineRule="auto"/>
        <w:rPr/>
      </w:pPr>
      <w:r w:rsidDel="00000000" w:rsidR="00000000" w:rsidRPr="00000000">
        <w:rPr>
          <w:rtl w:val="0"/>
        </w:rPr>
        <w:t xml:space="preserve">Todos los datos se obtendrán de backups realizados y archivados en filesystem, excepto dos:</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pacing w:after="200" w:before="0" w:line="276" w:lineRule="auto"/>
        <w:ind w:left="720" w:hanging="360"/>
        <w:rPr/>
      </w:pPr>
      <w:r w:rsidDel="00000000" w:rsidR="00000000" w:rsidRPr="00000000">
        <w:rPr>
          <w:rtl w:val="0"/>
        </w:rPr>
        <w:t xml:space="preserve">Cartera representativa: se generará a día de hoy y “desplazará al pasado” hasta la fecha de ejecución de backtesting</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pacing w:after="200" w:before="0" w:line="276" w:lineRule="auto"/>
        <w:ind w:left="720" w:hanging="360"/>
        <w:rPr/>
      </w:pPr>
      <w:r w:rsidDel="00000000" w:rsidR="00000000" w:rsidRPr="00000000">
        <w:rPr>
          <w:rtl w:val="0"/>
        </w:rPr>
        <w:t xml:space="preserve">Escenarios: tanto el escenario backtest como el realized se generarán a día de hoy con la fecha de business date correspondiente al inicio de la ventana de backtesting</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200" w:before="0" w:line="276" w:lineRule="auto"/>
        <w:jc w:val="both"/>
        <w:rPr/>
      </w:pPr>
      <w:r w:rsidDel="00000000" w:rsidR="00000000" w:rsidRPr="00000000">
        <w:rPr>
          <w:rtl w:val="0"/>
        </w:rPr>
        <w:t xml:space="preserve">La ejecución de backtesting se realizará con periodicidad mensual y de forma automatizada, integrada en el mismo entorno principal de modelo interno, y modelada como un flag adicional de la ejecución mensual. Por tanto, su ejecución deberá ser secuencial con respecto a la de fin de mes del cálculo principal de IMM. Asimismo, una vez comenzada la ejecución de backtesting, no podrá desencadenarse ninguna ejecución del cálculo principal de IMM hasta que haya finalizado el de backtesting de fin de mes.</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200" w:before="0" w:line="276" w:lineRule="auto"/>
        <w:jc w:val="both"/>
        <w:rPr/>
      </w:pPr>
      <w:r w:rsidDel="00000000" w:rsidR="00000000" w:rsidRPr="00000000">
        <w:rPr>
          <w:rtl w:val="0"/>
        </w:rPr>
        <w:t xml:space="preserve">La ejecución de backtesting se realizará de forma consecutiva para la cartera real y representativa.</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200" w:before="0" w:line="276" w:lineRule="auto"/>
        <w:rPr/>
      </w:pPr>
      <w:r w:rsidDel="00000000" w:rsidR="00000000" w:rsidRPr="00000000">
        <w:rPr>
          <w:rtl w:val="0"/>
        </w:rPr>
        <w:t xml:space="preserve">La ejecución de backtesting, al estar integrada dentro del cálculo principal de IMM, tendrá la misma versión de producto y configuración que el cálculo principal, aunque se corresponda con un business date del pasado.</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200" w:before="0" w:line="276" w:lineRule="auto"/>
        <w:rPr/>
      </w:pPr>
      <w:r w:rsidDel="00000000" w:rsidR="00000000" w:rsidRPr="00000000">
        <w:rPr>
          <w:rtl w:val="0"/>
        </w:rPr>
        <w:t xml:space="preserve">Ejemplo: </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pacing w:after="200" w:before="0" w:line="276" w:lineRule="auto"/>
        <w:ind w:left="720" w:hanging="360"/>
        <w:rPr/>
      </w:pPr>
      <w:r w:rsidDel="00000000" w:rsidR="00000000" w:rsidRPr="00000000">
        <w:rPr>
          <w:rtl w:val="0"/>
        </w:rPr>
        <w:t xml:space="preserve">Fecha actual: 30 de Junio de 2023</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pacing w:after="200" w:before="0" w:line="276" w:lineRule="auto"/>
        <w:ind w:left="720" w:hanging="360"/>
        <w:rPr/>
      </w:pPr>
      <w:r w:rsidDel="00000000" w:rsidR="00000000" w:rsidRPr="00000000">
        <w:rPr>
          <w:rtl w:val="0"/>
        </w:rPr>
        <w:t xml:space="preserve">Ventana backtesting: 30 de Junio de 2022 a 30 de Junio de 2023</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pacing w:after="200" w:before="0" w:line="276" w:lineRule="auto"/>
        <w:ind w:left="720" w:hanging="360"/>
        <w:rPr/>
      </w:pPr>
      <w:r w:rsidDel="00000000" w:rsidR="00000000" w:rsidRPr="00000000">
        <w:rPr>
          <w:rtl w:val="0"/>
        </w:rPr>
        <w:t xml:space="preserve">Ejecución principal de IMM: flag I + III con business date 30 de Junio de 2023</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pacing w:after="200" w:before="0" w:line="276" w:lineRule="auto"/>
        <w:ind w:left="720" w:hanging="360"/>
        <w:rPr/>
      </w:pPr>
      <w:r w:rsidDel="00000000" w:rsidR="00000000" w:rsidRPr="00000000">
        <w:rPr>
          <w:rtl w:val="0"/>
        </w:rPr>
        <w:t xml:space="preserve">Ejecución backtesting: flag IV con business date 30 de Junio de 2022</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200" w:before="0" w:line="276" w:lineRule="auto"/>
        <w:ind w:left="720" w:firstLine="0"/>
        <w:rPr>
          <w:color w:val="000000"/>
        </w:rPr>
      </w:pPr>
      <w:r w:rsidDel="00000000" w:rsidR="00000000" w:rsidRPr="00000000">
        <w:rPr>
          <w:rtl w:val="0"/>
        </w:rPr>
      </w:r>
    </w:p>
    <w:p w:rsidR="00000000" w:rsidDel="00000000" w:rsidP="00000000" w:rsidRDefault="00000000" w:rsidRPr="00000000" w14:paraId="0000007F">
      <w:pPr>
        <w:pStyle w:val="Heading1"/>
        <w:numPr>
          <w:ilvl w:val="0"/>
          <w:numId w:val="6"/>
        </w:numPr>
        <w:tabs>
          <w:tab w:val="left" w:leader="none" w:pos="142"/>
          <w:tab w:val="left" w:leader="none" w:pos="426"/>
        </w:tabs>
        <w:ind w:left="0" w:firstLine="0"/>
        <w:rPr/>
      </w:pPr>
      <w:bookmarkStart w:colFirst="0" w:colLast="0" w:name="_heading=h.4d34og8" w:id="7"/>
      <w:bookmarkEnd w:id="7"/>
      <w:r w:rsidDel="00000000" w:rsidR="00000000" w:rsidRPr="00000000">
        <w:rPr>
          <w:rtl w:val="0"/>
        </w:rPr>
        <w:t xml:space="preserve">Valores reportados en los informes</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before="0" w:line="276" w:lineRule="auto"/>
        <w:jc w:val="both"/>
        <w:rPr>
          <w:color w:val="000000"/>
        </w:rPr>
      </w:pPr>
      <w:r w:rsidDel="00000000" w:rsidR="00000000" w:rsidRPr="00000000">
        <w:rPr>
          <w:color w:val="000000"/>
          <w:rtl w:val="0"/>
        </w:rPr>
        <w:t xml:space="preserve">Se reportarán las siguientes métricas de exposición de backtesting para cada contrapartida: </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before="0" w:line="276" w:lineRule="auto"/>
        <w:ind w:left="720" w:firstLine="0"/>
        <w:jc w:val="both"/>
        <w:rPr>
          <w:color w:val="000000"/>
        </w:rPr>
      </w:pPr>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pacing w:after="200" w:before="0" w:line="276" w:lineRule="auto"/>
        <w:ind w:left="720" w:hanging="360"/>
        <w:rPr/>
      </w:pPr>
      <w:r w:rsidDel="00000000" w:rsidR="00000000" w:rsidRPr="00000000">
        <w:rPr>
          <w:rtl w:val="0"/>
        </w:rPr>
        <w:t xml:space="preserve">TAU simulada timeweighted, tipo count y distancia en los intervalos de confianza de un envolvente siempre al 95%:</w:t>
      </w:r>
    </w:p>
    <w:p w:rsidR="00000000" w:rsidDel="00000000" w:rsidP="00000000" w:rsidRDefault="00000000" w:rsidRPr="00000000" w14:paraId="00000083">
      <w:pPr>
        <w:numPr>
          <w:ilvl w:val="1"/>
          <w:numId w:val="3"/>
        </w:numPr>
        <w:pBdr>
          <w:top w:space="0" w:sz="0" w:val="nil"/>
          <w:left w:space="0" w:sz="0" w:val="nil"/>
          <w:bottom w:space="0" w:sz="0" w:val="nil"/>
          <w:right w:space="0" w:sz="0" w:val="nil"/>
          <w:between w:space="0" w:sz="0" w:val="nil"/>
        </w:pBdr>
        <w:spacing w:after="200" w:before="0" w:line="276" w:lineRule="auto"/>
        <w:ind w:left="1440" w:hanging="360"/>
        <w:jc w:val="both"/>
        <w:rPr>
          <w:color w:val="000000"/>
        </w:rPr>
      </w:pPr>
      <w:r w:rsidDel="00000000" w:rsidR="00000000" w:rsidRPr="00000000">
        <w:rPr>
          <w:color w:val="000000"/>
          <w:rtl w:val="0"/>
        </w:rPr>
        <w:t xml:space="preserve">95%</w:t>
      </w:r>
    </w:p>
    <w:p w:rsidR="00000000" w:rsidDel="00000000" w:rsidP="00000000" w:rsidRDefault="00000000" w:rsidRPr="00000000" w14:paraId="00000084">
      <w:pPr>
        <w:numPr>
          <w:ilvl w:val="1"/>
          <w:numId w:val="3"/>
        </w:numPr>
        <w:pBdr>
          <w:top w:space="0" w:sz="0" w:val="nil"/>
          <w:left w:space="0" w:sz="0" w:val="nil"/>
          <w:bottom w:space="0" w:sz="0" w:val="nil"/>
          <w:right w:space="0" w:sz="0" w:val="nil"/>
          <w:between w:space="0" w:sz="0" w:val="nil"/>
        </w:pBdr>
        <w:spacing w:after="200" w:before="0" w:line="276" w:lineRule="auto"/>
        <w:ind w:left="1440" w:hanging="360"/>
        <w:jc w:val="both"/>
        <w:rPr>
          <w:color w:val="000000"/>
        </w:rPr>
      </w:pPr>
      <w:r w:rsidDel="00000000" w:rsidR="00000000" w:rsidRPr="00000000">
        <w:rPr>
          <w:color w:val="000000"/>
          <w:rtl w:val="0"/>
        </w:rPr>
        <w:t xml:space="preserve">97.5%</w:t>
      </w:r>
    </w:p>
    <w:p w:rsidR="00000000" w:rsidDel="00000000" w:rsidP="00000000" w:rsidRDefault="00000000" w:rsidRPr="00000000" w14:paraId="00000085">
      <w:pPr>
        <w:numPr>
          <w:ilvl w:val="1"/>
          <w:numId w:val="3"/>
        </w:numPr>
        <w:pBdr>
          <w:top w:space="0" w:sz="0" w:val="nil"/>
          <w:left w:space="0" w:sz="0" w:val="nil"/>
          <w:bottom w:space="0" w:sz="0" w:val="nil"/>
          <w:right w:space="0" w:sz="0" w:val="nil"/>
          <w:between w:space="0" w:sz="0" w:val="nil"/>
        </w:pBdr>
        <w:spacing w:after="200" w:before="0" w:line="276" w:lineRule="auto"/>
        <w:ind w:left="1440" w:hanging="360"/>
        <w:jc w:val="both"/>
        <w:rPr>
          <w:color w:val="000000"/>
        </w:rPr>
      </w:pPr>
      <w:r w:rsidDel="00000000" w:rsidR="00000000" w:rsidRPr="00000000">
        <w:rPr>
          <w:color w:val="000000"/>
          <w:rtl w:val="0"/>
        </w:rPr>
        <w:t xml:space="preserve">99%</w:t>
      </w:r>
    </w:p>
    <w:p w:rsidR="00000000" w:rsidDel="00000000" w:rsidP="00000000" w:rsidRDefault="00000000" w:rsidRPr="00000000" w14:paraId="00000086">
      <w:pPr>
        <w:numPr>
          <w:ilvl w:val="1"/>
          <w:numId w:val="3"/>
        </w:numPr>
        <w:pBdr>
          <w:top w:space="0" w:sz="0" w:val="nil"/>
          <w:left w:space="0" w:sz="0" w:val="nil"/>
          <w:bottom w:space="0" w:sz="0" w:val="nil"/>
          <w:right w:space="0" w:sz="0" w:val="nil"/>
          <w:between w:space="0" w:sz="0" w:val="nil"/>
        </w:pBdr>
        <w:spacing w:after="200" w:before="0" w:line="276" w:lineRule="auto"/>
        <w:ind w:left="1440" w:hanging="360"/>
        <w:jc w:val="both"/>
        <w:rPr>
          <w:color w:val="000000"/>
        </w:rPr>
      </w:pPr>
      <w:r w:rsidDel="00000000" w:rsidR="00000000" w:rsidRPr="00000000">
        <w:rPr>
          <w:color w:val="000000"/>
          <w:rtl w:val="0"/>
        </w:rPr>
        <w:t xml:space="preserve">100%</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pacing w:after="200" w:before="0" w:line="276" w:lineRule="auto"/>
        <w:ind w:left="720" w:hanging="360"/>
        <w:rPr/>
      </w:pPr>
      <w:r w:rsidDel="00000000" w:rsidR="00000000" w:rsidRPr="00000000">
        <w:rPr>
          <w:rtl w:val="0"/>
        </w:rPr>
        <w:t xml:space="preserve">TAU realizada timeweighted, tipo count y distancia, sobre cada uno de los intervalos de confianza definidos para la TAU simulada</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before="0" w:line="276" w:lineRule="auto"/>
        <w:ind w:left="2160" w:firstLine="0"/>
        <w:jc w:val="both"/>
        <w:rPr>
          <w:color w:val="000000"/>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 </w:t>
      </w:r>
    </w:p>
    <w:p w:rsidR="00000000" w:rsidDel="00000000" w:rsidP="00000000" w:rsidRDefault="00000000" w:rsidRPr="00000000" w14:paraId="0000008A">
      <w:pPr>
        <w:rPr>
          <w:sz w:val="22"/>
          <w:szCs w:val="22"/>
        </w:rPr>
      </w:pPr>
      <w:r w:rsidDel="00000000" w:rsidR="00000000" w:rsidRPr="00000000">
        <w:rPr>
          <w:rtl w:val="0"/>
        </w:rPr>
      </w:r>
    </w:p>
    <w:sectPr>
      <w:headerReference r:id="rId11" w:type="default"/>
      <w:footerReference r:id="rId12" w:type="default"/>
      <w:pgSz w:h="16838" w:w="11906" w:orient="portrait"/>
      <w:pgMar w:bottom="1440" w:top="448" w:left="1588" w:right="173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Daniel Mengual Martin" w:id="1" w:date="2023-10-30T10:23:00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Cureperiod = 4</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Cure period = 11</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Cure period = 25</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Cure period = 87</w:t>
      </w:r>
    </w:p>
  </w:comment>
  <w:comment w:author="Daniel Mengual Martin" w:id="0" w:date="2023-10-30T10:20:00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Acordar con BBVA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98" w15:done="0"/>
  <w15:commentEx w15:paraId="0000009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Courier New"/>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153"/>
        <w:tab w:val="right" w:leader="none" w:pos="8306"/>
      </w:tabs>
      <w:rPr>
        <w:color w:val="000000"/>
      </w:rPr>
    </w:pPr>
    <w:r w:rsidDel="00000000" w:rsidR="00000000" w:rsidRPr="00000000">
      <w:rPr>
        <w:rtl w:val="0"/>
      </w:rPr>
    </w:r>
  </w:p>
  <w:tbl>
    <w:tblPr>
      <w:tblStyle w:val="Table3"/>
      <w:tblW w:w="87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79"/>
      <w:gridCol w:w="3900"/>
      <w:tblGridChange w:id="0">
        <w:tblGrid>
          <w:gridCol w:w="4879"/>
          <w:gridCol w:w="3900"/>
        </w:tblGrid>
      </w:tblGridChange>
    </w:tblGrid>
    <w:tr>
      <w:trPr>
        <w:cantSplit w:val="0"/>
        <w:trHeight w:val="738" w:hRule="atLeast"/>
        <w:tblHeader w:val="0"/>
      </w:trPr>
      <w:tc>
        <w:tcPr/>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153"/>
              <w:tab w:val="right" w:leader="none" w:pos="8306"/>
            </w:tabs>
            <w:spacing w:after="60" w:before="120" w:lineRule="auto"/>
            <w:rPr>
              <w:i w:val="1"/>
              <w:color w:val="000000"/>
            </w:rPr>
          </w:pPr>
          <w:r w:rsidDel="00000000" w:rsidR="00000000" w:rsidRPr="00000000">
            <w:rPr>
              <w:rtl w:val="0"/>
            </w:rPr>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153"/>
              <w:tab w:val="right" w:leader="none" w:pos="8306"/>
            </w:tabs>
            <w:spacing w:after="60" w:before="120" w:lineRule="auto"/>
            <w:jc w:val="right"/>
            <w:rPr>
              <w:i w:val="1"/>
              <w:color w:val="000000"/>
              <w:sz w:val="18"/>
              <w:szCs w:val="18"/>
            </w:rPr>
          </w:pPr>
          <w:r w:rsidDel="00000000" w:rsidR="00000000" w:rsidRPr="00000000">
            <w:rPr>
              <w:i w:val="1"/>
              <w:color w:val="000000"/>
              <w:sz w:val="18"/>
              <w:szCs w:val="18"/>
              <w:rtl w:val="0"/>
            </w:rPr>
            <w:t xml:space="preserve">Página </w:t>
          </w:r>
          <w:r w:rsidDel="00000000" w:rsidR="00000000" w:rsidRPr="00000000">
            <w:rPr>
              <w:i w:val="1"/>
              <w:color w:val="000000"/>
              <w:sz w:val="18"/>
              <w:szCs w:val="18"/>
            </w:rPr>
            <w:fldChar w:fldCharType="begin"/>
            <w:instrText xml:space="preserve">PAGE</w:instrText>
            <w:fldChar w:fldCharType="separate"/>
            <w:fldChar w:fldCharType="end"/>
          </w:r>
          <w:r w:rsidDel="00000000" w:rsidR="00000000" w:rsidRPr="00000000">
            <w:rPr>
              <w:i w:val="1"/>
              <w:color w:val="000000"/>
              <w:sz w:val="18"/>
              <w:szCs w:val="18"/>
              <w:rtl w:val="0"/>
            </w:rPr>
            <w:t xml:space="preserve"> de </w:t>
          </w:r>
          <w:r w:rsidDel="00000000" w:rsidR="00000000" w:rsidRPr="00000000">
            <w:rPr>
              <w:i w:val="1"/>
              <w:color w:val="000000"/>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153"/>
        <w:tab w:val="right" w:leader="none" w:pos="8306"/>
        <w:tab w:val="center" w:leader="none" w:pos="4253"/>
      </w:tabs>
      <w:rPr>
        <w:i w:val="1"/>
        <w:color w:val="000000"/>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before="0" w:line="276" w:lineRule="auto"/>
      <w:rPr>
        <w:b w:val="1"/>
      </w:rPr>
    </w:pPr>
    <w:r w:rsidDel="00000000" w:rsidR="00000000" w:rsidRPr="00000000">
      <w:rPr>
        <w:rtl w:val="0"/>
      </w:rPr>
    </w:r>
  </w:p>
  <w:tbl>
    <w:tblPr>
      <w:tblStyle w:val="Table2"/>
      <w:tblW w:w="86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8"/>
      <w:gridCol w:w="5776"/>
      <w:tblGridChange w:id="0">
        <w:tblGrid>
          <w:gridCol w:w="2888"/>
          <w:gridCol w:w="5776"/>
        </w:tblGrid>
      </w:tblGridChange>
    </w:tblGrid>
    <w:tr>
      <w:trPr>
        <w:cantSplit w:val="0"/>
        <w:trHeight w:val="703" w:hRule="atLeast"/>
        <w:tblHeader w:val="0"/>
      </w:trPr>
      <w:tc>
        <w:tcPr/>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153"/>
              <w:tab w:val="right" w:leader="none" w:pos="8306"/>
            </w:tabs>
            <w:rPr>
              <w:color w:val="000000"/>
            </w:rPr>
          </w:pPr>
          <w:r w:rsidDel="00000000" w:rsidR="00000000" w:rsidRPr="00000000">
            <w:rPr>
              <w:rtl w:val="0"/>
            </w:rPr>
          </w:r>
          <w:r w:rsidDel="00000000" w:rsidR="00000000" w:rsidRPr="00000000">
            <w:pict>
              <v:shape id="_x0000_s2049" style="position:absolute;margin-left:8.55pt;margin-top:4.85pt;width:83.1pt;height:24.5pt;z-index:251657728;mso-position-horizontal:absolute;mso-position-horizontal-relative:margin;mso-position-vertical:absolute;mso-position-vertical-relative:text" o:allowincell="f" fillcolor="#618ffd" type="#_x0000_t75">
                <v:imagedata r:id="rId1" o:title=""/>
                <v:shadow color="#919191"/>
                <w10:wrap type="topAndBottom"/>
              </v:shape>
              <o:OLEObject DrawAspect="Content" r:id="rId2" ObjectID="_1762860506" ProgID="StaticMetafile" ShapeID="_x0000_s2049" Type="Embed"/>
            </w:pict>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153"/>
              <w:tab w:val="right" w:leader="none" w:pos="8306"/>
            </w:tabs>
            <w:jc w:val="center"/>
            <w:rPr>
              <w:color w:val="000000"/>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153"/>
              <w:tab w:val="right" w:leader="none" w:pos="8306"/>
            </w:tabs>
            <w:jc w:val="right"/>
            <w:rPr>
              <w:i w:val="1"/>
              <w:color w:val="000000"/>
              <w:sz w:val="16"/>
              <w:szCs w:val="16"/>
            </w:rPr>
          </w:pPr>
          <w:r w:rsidDel="00000000" w:rsidR="00000000" w:rsidRPr="00000000">
            <w:rPr>
              <w:i w:val="1"/>
              <w:color w:val="000000"/>
              <w:rtl w:val="0"/>
            </w:rPr>
            <w:t xml:space="preserve">IMM - Backtesting</w: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153"/>
              <w:tab w:val="right" w:leader="none" w:pos="8306"/>
            </w:tabs>
            <w:rPr>
              <w:b w:val="1"/>
              <w:i w:val="1"/>
              <w:color w:val="000000"/>
            </w:rPr>
          </w:pPr>
          <w:r w:rsidDel="00000000" w:rsidR="00000000" w:rsidRPr="00000000">
            <w:rPr>
              <w:rtl w:val="0"/>
            </w:rPr>
          </w:r>
        </w:p>
      </w:tc>
    </w:tr>
  </w:tbl>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153"/>
        <w:tab w:val="right" w:leader="none" w:pos="8306"/>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0" w:firstLine="0"/>
      </w:pPr>
      <w:rPr>
        <w:b w:val="1"/>
        <w:i w:val="0"/>
      </w:rPr>
    </w:lvl>
    <w:lvl w:ilvl="1">
      <w:start w:val="1"/>
      <w:numFmt w:val="decimal"/>
      <w:lvlText w:val="%1.%2."/>
      <w:lvlJc w:val="left"/>
      <w:pPr>
        <w:ind w:left="934" w:hanging="792"/>
      </w:pPr>
      <w:rPr>
        <w:color w:val="000000"/>
      </w:rPr>
    </w:lvl>
    <w:lvl w:ilvl="2">
      <w:start w:val="1"/>
      <w:numFmt w:val="decimal"/>
      <w:lvlText w:val="%1.%2.%3."/>
      <w:lvlJc w:val="left"/>
      <w:pPr>
        <w:ind w:left="1224" w:hanging="1224"/>
      </w:pPr>
      <w:rPr/>
    </w:lvl>
    <w:lvl w:ilvl="3">
      <w:start w:val="1"/>
      <w:numFmt w:val="decimal"/>
      <w:lvlText w:val="%1.%2.%3.%4."/>
      <w:lvlJc w:val="left"/>
      <w:pPr>
        <w:ind w:left="1728" w:hanging="1728"/>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s-ES_tradnl"/>
      </w:rPr>
    </w:rPrDefault>
    <w:pPrDefault>
      <w:pPr>
        <w:spacing w:before="4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Bdr>
        <w:top w:color="000000" w:space="1" w:sz="4" w:val="single"/>
        <w:left w:color="000000" w:space="4" w:sz="4" w:val="single"/>
        <w:bottom w:color="000000" w:space="1" w:sz="4" w:val="single"/>
        <w:right w:color="000000" w:space="4" w:sz="4" w:val="single"/>
      </w:pBdr>
      <w:shd w:fill="f2f2f2" w:val="clear"/>
      <w:tabs>
        <w:tab w:val="left" w:leader="none" w:pos="142"/>
        <w:tab w:val="left" w:leader="none" w:pos="426"/>
      </w:tabs>
      <w:spacing w:after="120" w:before="240" w:lineRule="auto"/>
      <w:ind w:left="720" w:hanging="360"/>
    </w:pPr>
    <w:rPr>
      <w:b w:val="1"/>
      <w:smallCaps w:val="1"/>
      <w:sz w:val="22"/>
      <w:szCs w:val="22"/>
    </w:rPr>
  </w:style>
  <w:style w:type="paragraph" w:styleId="Heading2">
    <w:name w:val="heading 2"/>
    <w:basedOn w:val="Normal"/>
    <w:next w:val="Normal"/>
    <w:pPr>
      <w:keepNext w:val="1"/>
      <w:spacing w:after="60" w:before="120" w:lineRule="auto"/>
      <w:ind w:left="1440" w:hanging="360"/>
    </w:pPr>
    <w:rPr>
      <w:b w:val="1"/>
      <w:smallCaps w:val="1"/>
    </w:rPr>
  </w:style>
  <w:style w:type="paragraph" w:styleId="Heading3">
    <w:name w:val="heading 3"/>
    <w:basedOn w:val="Normal"/>
    <w:next w:val="Normal"/>
    <w:pPr>
      <w:keepNext w:val="1"/>
      <w:spacing w:after="60" w:before="120" w:lineRule="auto"/>
      <w:jc w:val="both"/>
    </w:pPr>
    <w:rPr>
      <w:b w:val="1"/>
    </w:rPr>
  </w:style>
  <w:style w:type="paragraph" w:styleId="Heading4">
    <w:name w:val="heading 4"/>
    <w:basedOn w:val="Normal"/>
    <w:next w:val="Normal"/>
    <w:pPr>
      <w:keepNext w:val="1"/>
      <w:tabs>
        <w:tab w:val="left" w:leader="none" w:pos="1162"/>
        <w:tab w:val="left" w:leader="none" w:pos="1728"/>
      </w:tabs>
      <w:spacing w:after="60" w:before="240" w:lineRule="auto"/>
      <w:ind w:left="1729" w:hanging="1729"/>
    </w:pPr>
    <w:rPr>
      <w:b w:val="1"/>
    </w:rPr>
  </w:style>
  <w:style w:type="paragraph" w:styleId="Heading5">
    <w:name w:val="heading 5"/>
    <w:basedOn w:val="Normal"/>
    <w:next w:val="Normal"/>
    <w:pPr>
      <w:spacing w:after="60" w:before="240" w:lineRule="auto"/>
      <w:ind w:left="2232" w:hanging="791.9999999999999"/>
    </w:pPr>
    <w:rPr>
      <w:sz w:val="22"/>
      <w:szCs w:val="22"/>
    </w:rPr>
  </w:style>
  <w:style w:type="paragraph" w:styleId="Heading6">
    <w:name w:val="heading 6"/>
    <w:basedOn w:val="Normal"/>
    <w:next w:val="Normal"/>
    <w:pPr>
      <w:spacing w:after="60" w:before="240" w:lineRule="auto"/>
      <w:ind w:left="2736" w:hanging="934"/>
    </w:pPr>
    <w:rPr>
      <w:i w:val="1"/>
      <w:sz w:val="22"/>
      <w:szCs w:val="22"/>
    </w:rPr>
  </w:style>
  <w:style w:type="paragraph" w:styleId="Title">
    <w:name w:val="Title"/>
    <w:basedOn w:val="Normal"/>
    <w:next w:val="Normal"/>
    <w:pPr>
      <w:jc w:val="center"/>
    </w:pPr>
    <w:rPr>
      <w:b w:val="1"/>
      <w:sz w:val="28"/>
      <w:szCs w:val="28"/>
    </w:rPr>
  </w:style>
  <w:style w:type="paragraph" w:styleId="Normal" w:default="1">
    <w:name w:val="Normal"/>
    <w:qFormat w:val="1"/>
    <w:rsid w:val="00615D58"/>
    <w:rPr>
      <w:lang w:eastAsia="es-ES"/>
    </w:rPr>
  </w:style>
  <w:style w:type="paragraph" w:styleId="Heading1">
    <w:name w:val="heading 1"/>
    <w:basedOn w:val="Normal"/>
    <w:next w:val="Normal"/>
    <w:qFormat w:val="1"/>
    <w:rsid w:val="001F3883"/>
    <w:pPr>
      <w:keepNext w:val="1"/>
      <w:numPr>
        <w:numId w:val="7"/>
      </w:numPr>
      <w:pBdr>
        <w:top w:color="auto" w:space="1" w:sz="4" w:val="single"/>
        <w:left w:color="auto" w:space="4" w:sz="4" w:val="single"/>
        <w:bottom w:color="auto" w:space="1" w:sz="4" w:val="single"/>
        <w:right w:color="auto" w:space="4" w:sz="4" w:val="single"/>
      </w:pBdr>
      <w:shd w:color="auto" w:fill="ffffff" w:val="pct5"/>
      <w:tabs>
        <w:tab w:val="left" w:pos="142"/>
        <w:tab w:val="left" w:pos="426"/>
      </w:tabs>
      <w:spacing w:after="120" w:before="240"/>
      <w:outlineLvl w:val="0"/>
    </w:pPr>
    <w:rPr>
      <w:b w:val="1"/>
      <w:caps w:val="1"/>
      <w:sz w:val="22"/>
    </w:rPr>
  </w:style>
  <w:style w:type="paragraph" w:styleId="Heading2">
    <w:name w:val="heading 2"/>
    <w:aliases w:val="Heading 2 Char2,Heading 2 Char Char1,Heading 2 Char1 Char Char1,Heading 2 Char Char Char Char,Heading 2 Char1 Char Char Char Char,Heading 2 Char Char Char Char Char Char,Heading 2 Char1 Char1 Char,Heading 2 Char Char Char1 Char"/>
    <w:basedOn w:val="Normal"/>
    <w:next w:val="Normal"/>
    <w:autoRedefine w:val="1"/>
    <w:qFormat w:val="1"/>
    <w:rsid w:val="0056362C"/>
    <w:pPr>
      <w:keepNext w:val="1"/>
      <w:numPr>
        <w:ilvl w:val="1"/>
        <w:numId w:val="1"/>
      </w:numPr>
      <w:spacing w:after="60" w:before="120"/>
      <w:outlineLvl w:val="1"/>
    </w:pPr>
    <w:rPr>
      <w:b w:val="1"/>
      <w:caps w:val="1"/>
    </w:rPr>
  </w:style>
  <w:style w:type="paragraph" w:styleId="Heading3">
    <w:name w:val="heading 3"/>
    <w:basedOn w:val="Normal"/>
    <w:next w:val="Normal"/>
    <w:autoRedefine w:val="1"/>
    <w:qFormat w:val="1"/>
    <w:rsid w:val="000B7F03"/>
    <w:pPr>
      <w:keepNext w:val="1"/>
      <w:spacing w:after="60" w:before="120"/>
      <w:jc w:val="both"/>
      <w:outlineLvl w:val="2"/>
    </w:pPr>
    <w:rPr>
      <w:b w:val="1"/>
    </w:rPr>
  </w:style>
  <w:style w:type="paragraph" w:styleId="Heading4">
    <w:name w:val="heading 4"/>
    <w:basedOn w:val="Normal"/>
    <w:next w:val="Normal"/>
    <w:qFormat w:val="1"/>
    <w:pPr>
      <w:keepNext w:val="1"/>
      <w:numPr>
        <w:ilvl w:val="3"/>
        <w:numId w:val="1"/>
      </w:numPr>
      <w:tabs>
        <w:tab w:val="left" w:pos="1162"/>
        <w:tab w:val="left" w:pos="1728"/>
      </w:tabs>
      <w:spacing w:after="60" w:before="240"/>
      <w:ind w:left="1729" w:hanging="1729"/>
      <w:outlineLvl w:val="3"/>
    </w:pPr>
    <w:rPr>
      <w:b w:val="1"/>
    </w:rPr>
  </w:style>
  <w:style w:type="paragraph" w:styleId="Heading5">
    <w:name w:val="heading 5"/>
    <w:basedOn w:val="Normal"/>
    <w:next w:val="Normal"/>
    <w:qFormat w:val="1"/>
    <w:pPr>
      <w:numPr>
        <w:ilvl w:val="4"/>
        <w:numId w:val="2"/>
      </w:numPr>
      <w:spacing w:after="60" w:before="240"/>
      <w:outlineLvl w:val="4"/>
    </w:pPr>
    <w:rPr>
      <w:sz w:val="22"/>
    </w:rPr>
  </w:style>
  <w:style w:type="paragraph" w:styleId="Heading6">
    <w:name w:val="heading 6"/>
    <w:basedOn w:val="Normal"/>
    <w:next w:val="Normal"/>
    <w:qFormat w:val="1"/>
    <w:pPr>
      <w:numPr>
        <w:ilvl w:val="5"/>
        <w:numId w:val="2"/>
      </w:numPr>
      <w:spacing w:after="60" w:before="240"/>
      <w:outlineLvl w:val="5"/>
    </w:pPr>
    <w:rPr>
      <w:i w:val="1"/>
      <w:sz w:val="22"/>
    </w:rPr>
  </w:style>
  <w:style w:type="paragraph" w:styleId="Heading7">
    <w:name w:val="heading 7"/>
    <w:basedOn w:val="Normal"/>
    <w:next w:val="Normal"/>
    <w:qFormat w:val="1"/>
    <w:pPr>
      <w:numPr>
        <w:ilvl w:val="6"/>
        <w:numId w:val="2"/>
      </w:numPr>
      <w:spacing w:after="60" w:before="240"/>
      <w:outlineLvl w:val="6"/>
    </w:pPr>
  </w:style>
  <w:style w:type="paragraph" w:styleId="Heading8">
    <w:name w:val="heading 8"/>
    <w:basedOn w:val="Normal"/>
    <w:next w:val="Normal"/>
    <w:qFormat w:val="1"/>
    <w:pPr>
      <w:numPr>
        <w:ilvl w:val="7"/>
        <w:numId w:val="2"/>
      </w:numPr>
      <w:spacing w:after="60" w:before="240"/>
      <w:outlineLvl w:val="7"/>
    </w:pPr>
    <w:rPr>
      <w:i w:val="1"/>
    </w:rPr>
  </w:style>
  <w:style w:type="paragraph" w:styleId="Heading9">
    <w:name w:val="heading 9"/>
    <w:basedOn w:val="Normal"/>
    <w:next w:val="Normal"/>
    <w:qFormat w:val="1"/>
    <w:pPr>
      <w:numPr>
        <w:ilvl w:val="8"/>
        <w:numId w:val="2"/>
      </w:numPr>
      <w:spacing w:after="60" w:before="240"/>
      <w:outlineLvl w:val="8"/>
    </w:pPr>
    <w:rPr>
      <w:b w:val="1"/>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pPr>
      <w:jc w:val="center"/>
    </w:pPr>
    <w:rPr>
      <w:b w:val="1"/>
      <w:sz w:val="28"/>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Subtitle">
    <w:name w:val="Subtitle"/>
    <w:basedOn w:val="Normal"/>
    <w:next w:val="Normal"/>
    <w:pPr>
      <w:pBdr>
        <w:top w:color="000000" w:space="1" w:sz="4" w:val="single"/>
        <w:left w:color="000000" w:space="0" w:sz="4" w:val="single"/>
        <w:bottom w:color="000000" w:space="1" w:sz="4" w:val="single"/>
        <w:right w:color="000000" w:space="31" w:sz="4" w:val="single"/>
      </w:pBdr>
      <w:shd w:color="auto" w:fill="d9d9d9" w:val="clear"/>
      <w:ind w:left="180"/>
      <w:jc w:val="center"/>
    </w:pPr>
    <w:rPr>
      <w:b w:val="1"/>
      <w:color w:val="0000f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val="1"/>
    <w:pPr>
      <w:shd w:color="auto" w:fill="000080" w:val="clear"/>
    </w:pPr>
    <w:rPr>
      <w:rFonts w:ascii="Tahoma" w:hAnsi="Tahoma"/>
    </w:rPr>
  </w:style>
  <w:style w:type="paragraph" w:styleId="HeadingLevel3" w:customStyle="1">
    <w:name w:val="Heading Level 3"/>
    <w:basedOn w:val="Normal"/>
  </w:style>
  <w:style w:type="paragraph" w:styleId="BodyText">
    <w:name w:val="Body Text"/>
    <w:basedOn w:val="Normal"/>
    <w:pPr>
      <w:pBdr>
        <w:top w:color="auto" w:space="1" w:sz="6" w:val="single"/>
        <w:left w:color="auto" w:space="9" w:sz="6" w:val="single"/>
        <w:bottom w:color="auto" w:space="1" w:sz="6" w:val="single"/>
        <w:right w:color="auto" w:space="10" w:sz="6" w:val="single"/>
      </w:pBdr>
      <w:jc w:val="both"/>
    </w:pPr>
  </w:style>
  <w:style w:type="paragraph" w:styleId="BodyText2">
    <w:name w:val="Body Text 2"/>
    <w:basedOn w:val="Normal"/>
    <w:pPr>
      <w:pBdr>
        <w:top w:color="auto" w:space="1" w:sz="6" w:val="single"/>
        <w:left w:color="auto" w:space="7" w:sz="6" w:val="single"/>
        <w:bottom w:color="auto" w:space="1" w:sz="6" w:val="single"/>
        <w:right w:color="auto" w:space="4" w:sz="6" w:val="single"/>
      </w:pBdr>
      <w:jc w:val="both"/>
    </w:pPr>
  </w:style>
  <w:style w:type="paragraph" w:styleId="BodyText3">
    <w:name w:val="Body Text 3"/>
    <w:basedOn w:val="Normal"/>
    <w:pPr>
      <w:pBdr>
        <w:top w:color="auto" w:space="1" w:sz="6" w:val="single"/>
        <w:left w:color="auto" w:space="10" w:sz="6" w:val="single"/>
        <w:bottom w:color="auto" w:space="1" w:sz="6" w:val="single"/>
        <w:right w:color="auto" w:space="4" w:sz="6" w:val="single"/>
      </w:pBdr>
      <w:jc w:val="both"/>
    </w:pPr>
  </w:style>
  <w:style w:type="paragraph" w:styleId="TOC1">
    <w:name w:val="toc 1"/>
    <w:basedOn w:val="Normal"/>
    <w:next w:val="Normal"/>
    <w:autoRedefine w:val="1"/>
    <w:uiPriority w:val="39"/>
    <w:rsid w:val="00AE6230"/>
    <w:pPr>
      <w:tabs>
        <w:tab w:val="left" w:pos="600"/>
        <w:tab w:val="left" w:pos="1985"/>
        <w:tab w:val="right" w:leader="dot" w:pos="8467"/>
      </w:tabs>
    </w:pPr>
  </w:style>
  <w:style w:type="paragraph" w:styleId="TOC2">
    <w:name w:val="toc 2"/>
    <w:basedOn w:val="Normal"/>
    <w:next w:val="Normal"/>
    <w:autoRedefine w:val="1"/>
    <w:uiPriority w:val="39"/>
    <w:pPr>
      <w:ind w:left="200"/>
    </w:pPr>
  </w:style>
  <w:style w:type="paragraph" w:styleId="TOC3">
    <w:name w:val="toc 3"/>
    <w:basedOn w:val="Normal"/>
    <w:next w:val="Normal"/>
    <w:autoRedefine w:val="1"/>
    <w:semiHidden w:val="1"/>
    <w:pPr>
      <w:ind w:left="400"/>
    </w:pPr>
  </w:style>
  <w:style w:type="paragraph" w:styleId="TOC4">
    <w:name w:val="toc 4"/>
    <w:basedOn w:val="Normal"/>
    <w:next w:val="Normal"/>
    <w:autoRedefine w:val="1"/>
    <w:semiHidden w:val="1"/>
    <w:pPr>
      <w:ind w:left="600"/>
    </w:pPr>
  </w:style>
  <w:style w:type="paragraph" w:styleId="TOC5">
    <w:name w:val="toc 5"/>
    <w:basedOn w:val="Normal"/>
    <w:next w:val="Normal"/>
    <w:autoRedefine w:val="1"/>
    <w:semiHidden w:val="1"/>
    <w:pPr>
      <w:ind w:left="800"/>
    </w:pPr>
  </w:style>
  <w:style w:type="paragraph" w:styleId="TOC6">
    <w:name w:val="toc 6"/>
    <w:basedOn w:val="Normal"/>
    <w:next w:val="Normal"/>
    <w:autoRedefine w:val="1"/>
    <w:semiHidden w:val="1"/>
    <w:pPr>
      <w:ind w:left="1000"/>
    </w:pPr>
  </w:style>
  <w:style w:type="paragraph" w:styleId="TOC7">
    <w:name w:val="toc 7"/>
    <w:basedOn w:val="Normal"/>
    <w:next w:val="Normal"/>
    <w:autoRedefine w:val="1"/>
    <w:semiHidden w:val="1"/>
    <w:pPr>
      <w:ind w:left="1200"/>
    </w:pPr>
  </w:style>
  <w:style w:type="paragraph" w:styleId="TOC8">
    <w:name w:val="toc 8"/>
    <w:basedOn w:val="Normal"/>
    <w:next w:val="Normal"/>
    <w:autoRedefine w:val="1"/>
    <w:semiHidden w:val="1"/>
    <w:pPr>
      <w:ind w:left="1400"/>
    </w:pPr>
  </w:style>
  <w:style w:type="paragraph" w:styleId="TOC9">
    <w:name w:val="toc 9"/>
    <w:basedOn w:val="Normal"/>
    <w:next w:val="Normal"/>
    <w:autoRedefine w:val="1"/>
    <w:semiHidden w:val="1"/>
    <w:pPr>
      <w:ind w:left="1600"/>
    </w:pPr>
  </w:style>
  <w:style w:type="table" w:styleId="TableGrid">
    <w:name w:val="Table Grid"/>
    <w:basedOn w:val="TableNormal"/>
    <w:rsid w:val="001A2A9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semiHidden w:val="1"/>
    <w:rsid w:val="00F86269"/>
    <w:rPr>
      <w:rFonts w:ascii="Tahoma" w:cs="Tahoma" w:hAnsi="Tahoma"/>
      <w:sz w:val="16"/>
      <w:szCs w:val="16"/>
    </w:rPr>
  </w:style>
  <w:style w:type="character" w:styleId="CommentReference">
    <w:name w:val="annotation reference"/>
    <w:rsid w:val="008A6727"/>
    <w:rPr>
      <w:sz w:val="16"/>
      <w:szCs w:val="16"/>
    </w:rPr>
  </w:style>
  <w:style w:type="paragraph" w:styleId="CommentText">
    <w:name w:val="annotation text"/>
    <w:basedOn w:val="Normal"/>
    <w:link w:val="CommentTextChar"/>
    <w:rsid w:val="008A6727"/>
  </w:style>
  <w:style w:type="paragraph" w:styleId="CommentSubject">
    <w:name w:val="annotation subject"/>
    <w:basedOn w:val="CommentText"/>
    <w:next w:val="CommentText"/>
    <w:semiHidden w:val="1"/>
    <w:rsid w:val="008A6727"/>
    <w:rPr>
      <w:b w:val="1"/>
      <w:bCs w:val="1"/>
    </w:rPr>
  </w:style>
  <w:style w:type="paragraph" w:styleId="z-BottomofForm">
    <w:name w:val="HTML Bottom of Form"/>
    <w:basedOn w:val="Normal"/>
    <w:next w:val="Normal"/>
    <w:hidden w:val="1"/>
    <w:rsid w:val="00792828"/>
    <w:pPr>
      <w:pBdr>
        <w:top w:color="auto" w:space="1" w:sz="6" w:val="single"/>
      </w:pBdr>
      <w:spacing w:before="0"/>
      <w:jc w:val="center"/>
    </w:pPr>
    <w:rPr>
      <w:vanish w:val="1"/>
      <w:sz w:val="16"/>
      <w:szCs w:val="16"/>
    </w:rPr>
  </w:style>
  <w:style w:type="paragraph" w:styleId="z-TopofForm">
    <w:name w:val="HTML Top of Form"/>
    <w:basedOn w:val="Normal"/>
    <w:next w:val="Normal"/>
    <w:hidden w:val="1"/>
    <w:rsid w:val="00792828"/>
    <w:pPr>
      <w:pBdr>
        <w:bottom w:color="auto" w:space="1" w:sz="6" w:val="single"/>
      </w:pBdr>
      <w:spacing w:before="0"/>
      <w:jc w:val="center"/>
    </w:pPr>
    <w:rPr>
      <w:vanish w:val="1"/>
      <w:sz w:val="16"/>
      <w:szCs w:val="16"/>
    </w:rPr>
  </w:style>
  <w:style w:type="paragraph" w:styleId="BodyTextIndent2">
    <w:name w:val="Body Text Indent 2"/>
    <w:basedOn w:val="Normal"/>
    <w:rsid w:val="00B12971"/>
    <w:pPr>
      <w:spacing w:after="120" w:line="480" w:lineRule="auto"/>
      <w:ind w:left="283"/>
    </w:pPr>
  </w:style>
  <w:style w:type="paragraph" w:styleId="Caption">
    <w:name w:val="caption"/>
    <w:basedOn w:val="Normal"/>
    <w:next w:val="Normal"/>
    <w:qFormat w:val="1"/>
    <w:rsid w:val="00262F72"/>
    <w:pPr>
      <w:suppressAutoHyphens w:val="1"/>
      <w:spacing w:before="0" w:line="360" w:lineRule="auto"/>
    </w:pPr>
    <w:rPr>
      <w:b w:val="1"/>
      <w:bCs w:val="1"/>
      <w:lang w:eastAsia="ar-SA"/>
    </w:rPr>
  </w:style>
  <w:style w:type="paragraph" w:styleId="Revision1" w:customStyle="1">
    <w:name w:val="Revision1"/>
    <w:hidden w:val="1"/>
    <w:uiPriority w:val="99"/>
    <w:semiHidden w:val="1"/>
    <w:rsid w:val="00102E83"/>
    <w:rPr>
      <w:lang w:eastAsia="es-ES"/>
    </w:rPr>
  </w:style>
  <w:style w:type="paragraph" w:styleId="FootnoteText">
    <w:name w:val="footnote text"/>
    <w:basedOn w:val="Normal"/>
    <w:link w:val="FootnoteTextChar"/>
    <w:semiHidden w:val="1"/>
    <w:rsid w:val="0012257E"/>
  </w:style>
  <w:style w:type="character" w:styleId="FootnoteReference">
    <w:name w:val="footnote reference"/>
    <w:semiHidden w:val="1"/>
    <w:rsid w:val="0012257E"/>
    <w:rPr>
      <w:vertAlign w:val="superscript"/>
    </w:rPr>
  </w:style>
  <w:style w:type="paragraph" w:styleId="ListBullet2">
    <w:name w:val="List Bullet 2"/>
    <w:basedOn w:val="Normal"/>
    <w:rsid w:val="006A3583"/>
    <w:pPr>
      <w:numPr>
        <w:numId w:val="3"/>
      </w:numPr>
    </w:pPr>
  </w:style>
  <w:style w:type="paragraph" w:styleId="ListBullet">
    <w:name w:val="List Bullet"/>
    <w:basedOn w:val="Normal"/>
    <w:link w:val="ListBulletChar"/>
    <w:rsid w:val="006966CF"/>
    <w:pPr>
      <w:numPr>
        <w:numId w:val="4"/>
      </w:numPr>
    </w:pPr>
  </w:style>
  <w:style w:type="character" w:styleId="ListBulletChar" w:customStyle="1">
    <w:name w:val="List Bullet Char"/>
    <w:link w:val="ListBullet"/>
    <w:rsid w:val="006966CF"/>
    <w:rPr>
      <w:rFonts w:ascii="Arial" w:hAnsi="Arial"/>
      <w:lang w:eastAsia="es-ES" w:val="es-ES_tradnl"/>
    </w:rPr>
  </w:style>
  <w:style w:type="paragraph" w:styleId="ListParagraph">
    <w:name w:val="List Paragraph"/>
    <w:basedOn w:val="Normal"/>
    <w:uiPriority w:val="34"/>
    <w:qFormat w:val="1"/>
    <w:rsid w:val="006226D7"/>
    <w:pPr>
      <w:spacing w:after="200" w:before="0" w:line="276" w:lineRule="auto"/>
      <w:ind w:left="720"/>
      <w:contextualSpacing w:val="1"/>
    </w:pPr>
    <w:rPr>
      <w:rFonts w:ascii="Calibri" w:eastAsia="Calibri" w:hAnsi="Calibri"/>
      <w:sz w:val="22"/>
      <w:szCs w:val="22"/>
      <w:lang w:eastAsia="en-US" w:val="es-ES"/>
    </w:rPr>
  </w:style>
  <w:style w:type="character" w:styleId="apple-converted-space" w:customStyle="1">
    <w:name w:val="apple-converted-space"/>
    <w:rsid w:val="00DC6C57"/>
  </w:style>
  <w:style w:type="paragraph" w:styleId="NormalWeb">
    <w:name w:val="Normal (Web)"/>
    <w:basedOn w:val="Normal"/>
    <w:uiPriority w:val="99"/>
    <w:unhideWhenUsed w:val="1"/>
    <w:rsid w:val="00BF234F"/>
    <w:pPr>
      <w:spacing w:after="100" w:afterAutospacing="1" w:before="100" w:beforeAutospacing="1"/>
    </w:pPr>
    <w:rPr>
      <w:rFonts w:ascii="Times New Roman" w:hAnsi="Times New Roman"/>
      <w:sz w:val="24"/>
      <w:szCs w:val="24"/>
      <w:lang w:eastAsia="en-US" w:val="en-US"/>
    </w:rPr>
  </w:style>
  <w:style w:type="paragraph" w:styleId="Revision">
    <w:name w:val="Revision"/>
    <w:hidden w:val="1"/>
    <w:uiPriority w:val="99"/>
    <w:semiHidden w:val="1"/>
    <w:rsid w:val="006A2EB7"/>
    <w:rPr>
      <w:lang w:eastAsia="es-ES"/>
    </w:rPr>
  </w:style>
  <w:style w:type="character" w:styleId="il" w:customStyle="1">
    <w:name w:val="il"/>
    <w:basedOn w:val="DefaultParagraphFont"/>
    <w:rsid w:val="00B86A73"/>
  </w:style>
  <w:style w:type="character" w:styleId="PlaceholderText">
    <w:name w:val="Placeholder Text"/>
    <w:basedOn w:val="DefaultParagraphFont"/>
    <w:uiPriority w:val="99"/>
    <w:semiHidden w:val="1"/>
    <w:rsid w:val="00FE5851"/>
    <w:rPr>
      <w:color w:val="808080"/>
    </w:rPr>
  </w:style>
  <w:style w:type="paragraph" w:styleId="NormalArial" w:customStyle="1">
    <w:name w:val="Normal + Arial"/>
    <w:aliases w:val="After:  10 pt"/>
    <w:basedOn w:val="Normal"/>
    <w:rsid w:val="00176B79"/>
    <w:pPr>
      <w:autoSpaceDE w:val="0"/>
      <w:autoSpaceDN w:val="0"/>
      <w:spacing w:after="120" w:before="120"/>
    </w:pPr>
    <w:rPr>
      <w:lang w:eastAsia="en-US" w:val="en-ZA"/>
    </w:rPr>
  </w:style>
  <w:style w:type="character" w:styleId="CommentTextChar" w:customStyle="1">
    <w:name w:val="Comment Text Char"/>
    <w:basedOn w:val="DefaultParagraphFont"/>
    <w:link w:val="CommentText"/>
    <w:rsid w:val="0004566A"/>
    <w:rPr>
      <w:rFonts w:ascii="Arial" w:hAnsi="Arial"/>
      <w:lang w:eastAsia="es-ES" w:val="es-ES_tradnl"/>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character" w:styleId="FootnoteTextChar" w:customStyle="1">
    <w:name w:val="Footnote Text Char"/>
    <w:basedOn w:val="DefaultParagraphFont"/>
    <w:link w:val="FootnoteText"/>
    <w:semiHidden w:val="1"/>
    <w:rsid w:val="00234C09"/>
    <w:rPr>
      <w:lang w:eastAsia="es-ES" w:val="es-ES_tradnl"/>
    </w:r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pBdr>
        <w:top w:color="000000" w:space="1" w:sz="4" w:val="single"/>
        <w:left w:color="000000" w:space="0" w:sz="4" w:val="single"/>
        <w:bottom w:color="000000" w:space="1" w:sz="4" w:val="single"/>
        <w:right w:color="000000" w:space="31" w:sz="4" w:val="single"/>
      </w:pBdr>
      <w:shd w:fill="d9d9d9" w:val="clear"/>
      <w:ind w:left="180"/>
      <w:jc w:val="center"/>
    </w:pPr>
    <w:rPr>
      <w:b w:val="1"/>
      <w:color w:val="0000ff"/>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3" Type="http://schemas.openxmlformats.org/officeDocument/2006/relationships/theme" Target="theme/theme1.xml"/><Relationship Id="rId4" Type="http://schemas.openxmlformats.org/officeDocument/2006/relationships/comments" Target="comments.xml"/><Relationship Id="rId11" Type="http://schemas.openxmlformats.org/officeDocument/2006/relationships/header" Target="header1.xml"/><Relationship Id="rId10" Type="http://schemas.microsoft.com/office/2011/relationships/commentsExtended" Target="commentsExtended.xml"/><Relationship Id="rId12" Type="http://schemas.openxmlformats.org/officeDocument/2006/relationships/footer" Target="footer1.xml"/><Relationship Id="rId9" Type="http://schemas.openxmlformats.org/officeDocument/2006/relationships/customXml" Target="../customXML/item1.xml"/><Relationship Id="rId5" Type="http://schemas.openxmlformats.org/officeDocument/2006/relationships/settings" Target="settings.xml"/><Relationship Id="rId6" Type="http://schemas.openxmlformats.org/officeDocument/2006/relationships/fontTable" Target="fontTable.xml"/><Relationship Id="rId7" Type="http://schemas.openxmlformats.org/officeDocument/2006/relationships/numbering" Target="numbering.xml"/><Relationship Id="rId8"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Z2vWHhPByNqPkfLNMEi5kuZRQ==">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2023-11-30T14:17:00Z</dcterms:created>
  <dc:creator>BBVA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yecto">
    <vt:lpwstr>HCMC</vt:lpwstr>
  </property>
  <property fmtid="{D5CDD505-2E9C-101B-9397-08002B2CF9AE}" pid="3" name="ContentTypeId">
    <vt:lpwstr>0x010100CBA90CBE0681D946BE68148DD4DFF1FB</vt:lpwstr>
  </property>
  <property fmtid="{D5CDD505-2E9C-101B-9397-08002B2CF9AE}" pid="4" name="MediaServiceImageTags">
    <vt:lpwstr/>
  </property>
  <property fmtid="{D5CDD505-2E9C-101B-9397-08002B2CF9AE}" pid="5" name="MediaServiceImageTags">
    <vt:lpwstr>MediaServiceImageTags</vt:lpwstr>
  </property>
  <property fmtid="{D5CDD505-2E9C-101B-9397-08002B2CF9AE}" pid="6" name="Proyecto">
    <vt:lpwstr>HCMC</vt:lpwstr>
  </property>
  <property fmtid="{D5CDD505-2E9C-101B-9397-08002B2CF9AE}" pid="7" name="ContentTypeId">
    <vt:lpwstr>0x010100CBA90CBE0681D946BE68148DD4DFF1FB</vt:lpwstr>
  </property>
</Properties>
</file>