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2">
      <w:pPr>
        <w:widowControl w:val="0"/>
        <w:spacing w:after="0" w:before="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3">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7">
      <w:pPr>
        <w:widowControl w:val="0"/>
        <w:spacing w:after="0" w:before="0" w:line="276"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after="0" w:before="0" w:line="276"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9">
      <w:pPr>
        <w:widowControl w:val="0"/>
        <w:spacing w:after="0" w:before="0" w:line="276" w:lineRule="auto"/>
        <w:ind w:right="855"/>
        <w:jc w:val="center"/>
        <w:rPr>
          <w:rFonts w:ascii="Calibri" w:cs="Calibri" w:eastAsia="Calibri" w:hAnsi="Calibri"/>
          <w:color w:val="1f497d"/>
          <w:sz w:val="72"/>
          <w:szCs w:val="72"/>
        </w:rPr>
      </w:pPr>
      <w:r w:rsidDel="00000000" w:rsidR="00000000" w:rsidRPr="00000000">
        <w:rPr>
          <w:rFonts w:ascii="Calibri" w:cs="Calibri" w:eastAsia="Calibri" w:hAnsi="Calibri"/>
          <w:color w:val="1f497d"/>
          <w:sz w:val="72"/>
          <w:szCs w:val="72"/>
          <w:rtl w:val="0"/>
        </w:rPr>
        <w:t xml:space="preserve">Backtesting Factores de Riesgo</w:t>
      </w:r>
    </w:p>
    <w:p w:rsidR="00000000" w:rsidDel="00000000" w:rsidP="00000000" w:rsidRDefault="00000000" w:rsidRPr="00000000" w14:paraId="0000000A">
      <w:pPr>
        <w:widowControl w:val="0"/>
        <w:spacing w:after="0" w:before="0" w:line="276" w:lineRule="auto"/>
        <w:ind w:right="855"/>
        <w:jc w:val="center"/>
        <w:rPr>
          <w:rFonts w:ascii="Calibri" w:cs="Calibri" w:eastAsia="Calibri" w:hAnsi="Calibri"/>
          <w:color w:val="4f81bd"/>
          <w:sz w:val="66"/>
          <w:szCs w:val="66"/>
        </w:rPr>
      </w:pPr>
      <w:r w:rsidDel="00000000" w:rsidR="00000000" w:rsidRPr="00000000">
        <w:rPr>
          <w:rFonts w:ascii="Calibri" w:cs="Calibri" w:eastAsia="Calibri" w:hAnsi="Calibri"/>
          <w:color w:val="4f81bd"/>
          <w:sz w:val="66"/>
          <w:szCs w:val="66"/>
          <w:rtl w:val="0"/>
        </w:rPr>
        <w:t xml:space="preserve">Internal Model Method (IMM)</w:t>
      </w:r>
    </w:p>
    <w:p w:rsidR="00000000" w:rsidDel="00000000" w:rsidP="00000000" w:rsidRDefault="00000000" w:rsidRPr="00000000" w14:paraId="0000000B">
      <w:pPr>
        <w:widowControl w:val="0"/>
        <w:spacing w:after="0" w:before="0" w:line="276" w:lineRule="auto"/>
        <w:ind w:right="855"/>
        <w:jc w:val="center"/>
        <w:rPr>
          <w:rFonts w:ascii="Calibri" w:cs="Calibri" w:eastAsia="Calibri" w:hAnsi="Calibri"/>
          <w:color w:val="4f81bd"/>
          <w:sz w:val="72"/>
          <w:szCs w:val="72"/>
        </w:rPr>
      </w:pPr>
      <w:r w:rsidDel="00000000" w:rsidR="00000000" w:rsidRPr="00000000">
        <w:rPr>
          <w:rtl w:val="0"/>
        </w:rPr>
      </w:r>
    </w:p>
    <w:p w:rsidR="00000000" w:rsidDel="00000000" w:rsidP="00000000" w:rsidRDefault="00000000" w:rsidRPr="00000000" w14:paraId="0000000C">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before="0" w:line="276" w:lineRule="auto"/>
        <w:jc w:val="left"/>
        <w:rPr>
          <w:rFonts w:ascii="Calibri" w:cs="Calibri" w:eastAsia="Calibri" w:hAnsi="Calibri"/>
          <w:color w:val="3d8bdc"/>
          <w:sz w:val="40"/>
          <w:szCs w:val="40"/>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-914390</wp:posOffset>
            </wp:positionH>
            <wp:positionV relativeFrom="paragraph">
              <wp:posOffset>592455</wp:posOffset>
            </wp:positionV>
            <wp:extent cx="7825740" cy="2381885"/>
            <wp:effectExtent b="0" l="0" r="0" t="0"/>
            <wp:wrapSquare wrapText="bothSides" distB="0" distT="0" distL="114300" distR="114300"/>
            <wp:docPr id="3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825740" cy="2381885"/>
                    </a:xfrm>
                    <a:prstGeom prst="rect"/>
                    <a:ln/>
                  </pic:spPr>
                </pic:pic>
              </a:graphicData>
            </a:graphic>
          </wp:anchor>
        </w:drawing>
      </w:r>
    </w:p>
    <w:p w:rsidR="00000000" w:rsidDel="00000000" w:rsidP="00000000" w:rsidRDefault="00000000" w:rsidRPr="00000000" w14:paraId="0000000F">
      <w:pPr>
        <w:pStyle w:val="Heading1"/>
        <w:jc w:val="center"/>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Índice</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1. Introducción y alcance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3yf7mbbkwxb">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1.1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1.2 Objetivo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icdo76tx41f">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1.3 Glosario de conceptos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xheo073c1zd0">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2. Descripción soluciones técnicas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ffk82ngs1bv">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2.1 Solución técnica para el reseteo del entorno.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604m2b225m">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2.2 Solución técnica para el copiado entre rutas del escenario.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j839aj8aprx">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2.3 Solución técnica para la existencia e integridad de la Lista de Factores de Riesgo.</w:t>
            </w:r>
          </w:hyperlink>
          <w:hyperlink w:anchor="_heading=h.fj839aj8ap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hv3r8regd3r">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2.4 Copiado de los ficheros que se van a enviar al finalizar el BT RF a la ruta $XKOZ_DATOUT/envio_usuario.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wxuuv2uyl9i">
            <w:r w:rsidDel="00000000" w:rsidR="00000000" w:rsidRPr="00000000">
              <w:rPr>
                <w:rFonts w:ascii="Calibri" w:cs="Calibri" w:eastAsia="Calibri" w:hAnsi="Calibri"/>
                <w:b w:val="1"/>
                <w:i w:val="0"/>
                <w:smallCaps w:val="0"/>
                <w:strike w:val="0"/>
                <w:color w:val="1f497d"/>
                <w:sz w:val="20"/>
                <w:szCs w:val="20"/>
                <w:u w:val="none"/>
                <w:shd w:fill="auto" w:val="clear"/>
                <w:vertAlign w:val="baseline"/>
                <w:rtl w:val="0"/>
              </w:rPr>
              <w:t xml:space="preserve">2.5 Genera el tar.gz con el backup de los inputs, outputs, configuración y logs que se han usado en el lanzamiento del proceso OnDemand.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k8nz14w4otck">
            <w:r w:rsidDel="00000000" w:rsidR="00000000" w:rsidRPr="00000000">
              <w:rPr>
                <w:rFonts w:ascii="Calibri" w:cs="Calibri" w:eastAsia="Calibri" w:hAnsi="Calibri"/>
                <w:b w:val="1"/>
                <w:i w:val="0"/>
                <w:smallCaps w:val="0"/>
                <w:strike w:val="0"/>
                <w:color w:val="3d8bdc"/>
                <w:sz w:val="22"/>
                <w:szCs w:val="22"/>
                <w:u w:val="none"/>
                <w:shd w:fill="auto" w:val="clear"/>
                <w:vertAlign w:val="baseline"/>
                <w:rtl w:val="0"/>
              </w:rPr>
              <w:t xml:space="preserve">3. Solución de control M</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80" w:before="200" w:lineRule="auto"/>
        <w:rPr>
          <w:rFonts w:ascii="Calibri" w:cs="Calibri" w:eastAsia="Calibri" w:hAnsi="Calibri"/>
          <w:color w:val="1155cc"/>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1"/>
        <w:rPr>
          <w:rFonts w:ascii="Calibri" w:cs="Calibri" w:eastAsia="Calibri" w:hAnsi="Calibri"/>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ageBreakBefore w:val="1"/>
        <w:spacing w:after="0" w:before="0" w:line="264" w:lineRule="auto"/>
        <w:ind w:left="0" w:firstLine="0"/>
        <w:jc w:val="left"/>
        <w:rPr/>
      </w:pPr>
      <w:bookmarkStart w:colFirst="0" w:colLast="0" w:name="_heading=h.1fob9te" w:id="2"/>
      <w:bookmarkEnd w:id="2"/>
      <w:r w:rsidDel="00000000" w:rsidR="00000000" w:rsidRPr="00000000">
        <w:rPr>
          <w:rtl w:val="0"/>
        </w:rPr>
        <w:t xml:space="preserve">1. Introducción y alcance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h3yf7mbbkwxb" w:id="3"/>
      <w:bookmarkEnd w:id="3"/>
      <w:r w:rsidDel="00000000" w:rsidR="00000000" w:rsidRPr="00000000">
        <w:rPr>
          <w:rtl w:val="0"/>
        </w:rPr>
        <w:t xml:space="preserve">1.1 Introducción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En el proceso OnDemand Backtesting Factores de Riesgo del proyecto de IMM, se comparan los factores de riesgo predecidos con los resultados reales para evaluar la precisión de las simulaciones.</w:t>
      </w:r>
    </w:p>
    <w:p w:rsidR="00000000" w:rsidDel="00000000" w:rsidP="00000000" w:rsidRDefault="00000000" w:rsidRPr="00000000" w14:paraId="00000028">
      <w:pPr>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La metodología implementada por Algorithmics se utiliza para confirmar que los factores de riesgo utilizados en el proceso IMM no están infravalorados. Para realizar un backtesting a un año, es necesario esperar que transcurra ese tiempo y luego evaluar la evolución real de los factores de riesgo utilizando datos pasados</w:t>
      </w:r>
      <w:r w:rsidDel="00000000" w:rsidR="00000000" w:rsidRPr="00000000">
        <w:rPr>
          <w:rtl w:val="0"/>
        </w:rPr>
      </w:r>
    </w:p>
    <w:p w:rsidR="00000000" w:rsidDel="00000000" w:rsidP="00000000" w:rsidRDefault="00000000" w:rsidRPr="00000000" w14:paraId="00000029">
      <w:pPr>
        <w:rPr>
          <w:rFonts w:ascii="BBVABentonSansLight" w:cs="BBVABentonSansLight" w:eastAsia="BBVABentonSansLight" w:hAnsi="BBVABentonSansLight"/>
          <w:color w:val="121212"/>
          <w:sz w:val="20"/>
          <w:szCs w:val="20"/>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2et92p0" w:id="4"/>
      <w:bookmarkEnd w:id="4"/>
      <w:r w:rsidDel="00000000" w:rsidR="00000000" w:rsidRPr="00000000">
        <w:rPr>
          <w:rtl w:val="0"/>
        </w:rPr>
        <w:t xml:space="preserve">1.2 Objetivo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60" w:before="60" w:line="276" w:lineRule="auto"/>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El objetivo de este proyecto es habilitar una nueva ejecución On Demand dentro del contexto del método de modelo interno (IMM). Para ello se ha realizado la inclusión del Backtesting Factores de Riesgo.</w:t>
      </w:r>
    </w:p>
    <w:p w:rsidR="00000000" w:rsidDel="00000000" w:rsidP="00000000" w:rsidRDefault="00000000" w:rsidRPr="00000000" w14:paraId="0000002D">
      <w:pPr>
        <w:spacing w:after="60" w:before="60" w:line="276" w:lineRule="auto"/>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Se realiza un análisis de los inputs necesarios para la ejecución del proceso OnDemand y las dependencias de los mismos.</w:t>
      </w:r>
    </w:p>
    <w:p w:rsidR="00000000" w:rsidDel="00000000" w:rsidP="00000000" w:rsidRDefault="00000000" w:rsidRPr="00000000" w14:paraId="0000002E">
      <w:pPr>
        <w:spacing w:after="60" w:before="60" w:line="276" w:lineRule="auto"/>
        <w:rPr>
          <w:rFonts w:ascii="BBVABentonSansLight" w:cs="BBVABentonSansLight" w:eastAsia="BBVABentonSansLight" w:hAnsi="BBVABentonSansLight"/>
          <w:color w:val="121212"/>
          <w:sz w:val="20"/>
          <w:szCs w:val="20"/>
        </w:rPr>
      </w:pPr>
      <w:r w:rsidDel="00000000" w:rsidR="00000000" w:rsidRPr="00000000">
        <w:rPr>
          <w:rFonts w:ascii="BBVABentonSansLight" w:cs="BBVABentonSansLight" w:eastAsia="BBVABentonSansLight" w:hAnsi="BBVABentonSansLight"/>
          <w:color w:val="121212"/>
          <w:sz w:val="20"/>
          <w:szCs w:val="20"/>
          <w:rtl w:val="0"/>
        </w:rPr>
        <w:t xml:space="preserve">Además se definirá el proceso seguido para la ejecución de Backtesting, hasta llegar a la  obtención de los informes.</w:t>
      </w:r>
    </w:p>
    <w:p w:rsidR="00000000" w:rsidDel="00000000" w:rsidP="00000000" w:rsidRDefault="00000000" w:rsidRPr="00000000" w14:paraId="0000002F">
      <w:pPr>
        <w:spacing w:after="60" w:before="60" w:line="276" w:lineRule="auto"/>
        <w:rPr/>
      </w:pPr>
      <w:r w:rsidDel="00000000" w:rsidR="00000000" w:rsidRPr="00000000">
        <w:rPr>
          <w:rFonts w:ascii="BBVABentonSansLight" w:cs="BBVABentonSansLight" w:eastAsia="BBVABentonSansLight" w:hAnsi="BBVABentonSansLight"/>
          <w:color w:val="121212"/>
          <w:sz w:val="20"/>
          <w:szCs w:val="20"/>
          <w:rtl w:val="0"/>
        </w:rPr>
        <w:t xml:space="preserve">De forma que el usuario pueda lanzar el proceso completo del batch de Backtesting Factores de Riesgo al clicar en un botón de una interfaz web y reciba los  resultados tras la ejecución del batch.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60" w:before="60" w:line="276" w:lineRule="auto"/>
        <w:rPr/>
      </w:pPr>
      <w:bookmarkStart w:colFirst="0" w:colLast="0" w:name="_heading=h.5icdo76tx41f" w:id="5"/>
      <w:bookmarkEnd w:id="5"/>
      <w:r w:rsidDel="00000000" w:rsidR="00000000" w:rsidRPr="00000000">
        <w:rPr>
          <w:rtl w:val="0"/>
        </w:rPr>
        <w:t xml:space="preserve">1.3 Glosario de conceptos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IMM.</w:t>
      </w:r>
      <w:r w:rsidDel="00000000" w:rsidR="00000000" w:rsidRPr="00000000">
        <w:rPr>
          <w:rFonts w:ascii="BBVABentonSansLight" w:cs="BBVABentonSansLight" w:eastAsia="BBVABentonSansLight" w:hAnsi="BBVABentonSansLight"/>
          <w:color w:val="121212"/>
          <w:sz w:val="20"/>
          <w:szCs w:val="20"/>
          <w:rtl w:val="0"/>
        </w:rPr>
        <w:t xml:space="preserve"> Internal Model Method</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BT.</w:t>
      </w:r>
      <w:r w:rsidDel="00000000" w:rsidR="00000000" w:rsidRPr="00000000">
        <w:rPr>
          <w:rFonts w:ascii="BBVABentonSansLight" w:cs="BBVABentonSansLight" w:eastAsia="BBVABentonSansLight" w:hAnsi="BBVABentonSansLight"/>
          <w:color w:val="121212"/>
          <w:sz w:val="20"/>
          <w:szCs w:val="20"/>
          <w:rtl w:val="0"/>
        </w:rPr>
        <w:t xml:space="preserve"> Backtesting</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0"/>
          <w:szCs w:val="20"/>
        </w:rPr>
      </w:pPr>
      <w:r w:rsidDel="00000000" w:rsidR="00000000" w:rsidRPr="00000000">
        <w:rPr>
          <w:rFonts w:ascii="BBVABentonSansLight" w:cs="BBVABentonSansLight" w:eastAsia="BBVABentonSansLight" w:hAnsi="BBVABentonSansLight"/>
          <w:b w:val="1"/>
          <w:color w:val="121212"/>
          <w:sz w:val="20"/>
          <w:szCs w:val="20"/>
          <w:rtl w:val="0"/>
        </w:rPr>
        <w:t xml:space="preserve">RF. </w:t>
      </w:r>
      <w:r w:rsidDel="00000000" w:rsidR="00000000" w:rsidRPr="00000000">
        <w:rPr>
          <w:rFonts w:ascii="BBVABentonSansLight" w:cs="BBVABentonSansLight" w:eastAsia="BBVABentonSansLight" w:hAnsi="BBVABentonSansLight"/>
          <w:color w:val="121212"/>
          <w:sz w:val="20"/>
          <w:szCs w:val="20"/>
          <w:rtl w:val="0"/>
        </w:rPr>
        <w:t xml:space="preserve">Factores de Riesgo</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On Demand (OD).</w:t>
      </w:r>
      <w:r w:rsidDel="00000000" w:rsidR="00000000" w:rsidRPr="00000000">
        <w:rPr>
          <w:rFonts w:ascii="BBVABentonSansLight" w:cs="BBVABentonSansLight" w:eastAsia="BBVABentonSansLight" w:hAnsi="BBVABentonSansLight"/>
          <w:color w:val="121212"/>
          <w:sz w:val="20"/>
          <w:szCs w:val="20"/>
          <w:rtl w:val="0"/>
        </w:rPr>
        <w:t xml:space="preserve"> Activación inmediata de un proceso en respuesta a una solicitud explícita.</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b w:val="1"/>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Batch.</w:t>
      </w:r>
      <w:r w:rsidDel="00000000" w:rsidR="00000000" w:rsidRPr="00000000">
        <w:rPr>
          <w:rFonts w:ascii="BBVABentonSansLight" w:cs="BBVABentonSansLight" w:eastAsia="BBVABentonSansLight" w:hAnsi="BBVABentonSansLight"/>
          <w:color w:val="121212"/>
          <w:sz w:val="20"/>
          <w:szCs w:val="20"/>
          <w:rtl w:val="0"/>
        </w:rPr>
        <w:t xml:space="preserve"> Ejecución secuencial sin intervención directa.</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PR.</w:t>
      </w:r>
      <w:r w:rsidDel="00000000" w:rsidR="00000000" w:rsidRPr="00000000">
        <w:rPr>
          <w:rFonts w:ascii="BBVABentonSansLight" w:cs="BBVABentonSansLight" w:eastAsia="BBVABentonSansLight" w:hAnsi="BBVABentonSansLight"/>
          <w:color w:val="121212"/>
          <w:sz w:val="20"/>
          <w:szCs w:val="20"/>
          <w:rtl w:val="0"/>
        </w:rPr>
        <w:t xml:space="preserve"> Entorno de Producción</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60" w:before="60" w:line="276" w:lineRule="auto"/>
        <w:ind w:left="720" w:hanging="360"/>
        <w:jc w:val="left"/>
        <w:rPr>
          <w:rFonts w:ascii="BBVABentonSansLight" w:cs="BBVABentonSansLight" w:eastAsia="BBVABentonSansLight" w:hAnsi="BBVABentonSansLight"/>
          <w:color w:val="121212"/>
          <w:sz w:val="24"/>
          <w:szCs w:val="24"/>
        </w:rPr>
      </w:pPr>
      <w:r w:rsidDel="00000000" w:rsidR="00000000" w:rsidRPr="00000000">
        <w:rPr>
          <w:rFonts w:ascii="BBVABentonSansLight" w:cs="BBVABentonSansLight" w:eastAsia="BBVABentonSansLight" w:hAnsi="BBVABentonSansLight"/>
          <w:b w:val="1"/>
          <w:color w:val="121212"/>
          <w:sz w:val="20"/>
          <w:szCs w:val="20"/>
          <w:rtl w:val="0"/>
        </w:rPr>
        <w:t xml:space="preserve">RP</w:t>
      </w:r>
      <w:r w:rsidDel="00000000" w:rsidR="00000000" w:rsidRPr="00000000">
        <w:rPr>
          <w:rFonts w:ascii="BBVABentonSansLight" w:cs="BBVABentonSansLight" w:eastAsia="BBVABentonSansLight" w:hAnsi="BBVABentonSansLight"/>
          <w:color w:val="121212"/>
          <w:sz w:val="20"/>
          <w:szCs w:val="20"/>
          <w:rtl w:val="0"/>
        </w:rPr>
        <w:t xml:space="preserve">. Entorno de Reproceso</w:t>
      </w:r>
      <w:r w:rsidDel="00000000" w:rsidR="00000000" w:rsidRPr="00000000">
        <w:rPr>
          <w:rtl w:val="0"/>
        </w:rPr>
      </w:r>
    </w:p>
    <w:p w:rsidR="00000000" w:rsidDel="00000000" w:rsidP="00000000" w:rsidRDefault="00000000" w:rsidRPr="00000000" w14:paraId="0000003A">
      <w:pPr>
        <w:spacing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xheo073c1zd0" w:id="6"/>
      <w:bookmarkEnd w:id="6"/>
      <w:r w:rsidDel="00000000" w:rsidR="00000000" w:rsidRPr="00000000">
        <w:rPr>
          <w:rtl w:val="0"/>
        </w:rPr>
        <w:t xml:space="preserve">2. Descripción soluciones técnicas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El proceso On Demand de Factores de Riesgo tiene la siguiente estructura: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mc:AlternateContent>
          <mc:Choice Requires="wpg">
            <w:drawing>
              <wp:inline distB="114300" distT="114300" distL="114300" distR="114300">
                <wp:extent cx="5420043" cy="2759458"/>
                <wp:effectExtent b="0" l="0" r="0" t="0"/>
                <wp:docPr id="37" name=""/>
                <a:graphic>
                  <a:graphicData uri="http://schemas.microsoft.com/office/word/2010/wordprocessingGroup">
                    <wpg:wgp>
                      <wpg:cNvGrpSpPr/>
                      <wpg:grpSpPr>
                        <a:xfrm>
                          <a:off x="740550" y="609325"/>
                          <a:ext cx="5420043" cy="2759458"/>
                          <a:chOff x="740550" y="609325"/>
                          <a:chExt cx="8112225" cy="4121725"/>
                        </a:xfrm>
                      </wpg:grpSpPr>
                      <wps:wsp>
                        <wps:cNvSpPr/>
                        <wps:cNvPr id="2" name="Shape 2"/>
                        <wps:spPr>
                          <a:xfrm>
                            <a:off x="745325" y="614100"/>
                            <a:ext cx="2040000" cy="42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RiskFactorListReduced.csv</w:t>
                              </w:r>
                            </w:p>
                          </w:txbxContent>
                        </wps:txbx>
                        <wps:bodyPr anchorCtr="0" anchor="ctr" bIns="91425" lIns="91425" spcFirstLastPara="1" rIns="91425" wrap="square" tIns="91425">
                          <a:noAutofit/>
                        </wps:bodyPr>
                      </wps:wsp>
                      <wps:wsp>
                        <wps:cNvSpPr/>
                        <wps:cNvPr id="3" name="Shape 3"/>
                        <wps:spPr>
                          <a:xfrm>
                            <a:off x="2878000" y="614100"/>
                            <a:ext cx="1422900" cy="42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Esc BT_RF</w:t>
                              </w:r>
                            </w:p>
                          </w:txbxContent>
                        </wps:txbx>
                        <wps:bodyPr anchorCtr="0" anchor="ctr" bIns="91425" lIns="91425" spcFirstLastPara="1" rIns="91425" wrap="square" tIns="91425">
                          <a:noAutofit/>
                        </wps:bodyPr>
                      </wps:wsp>
                      <wps:wsp>
                        <wps:cNvSpPr/>
                        <wps:cNvPr id="4" name="Shape 4"/>
                        <wps:spPr>
                          <a:xfrm>
                            <a:off x="4393700" y="614100"/>
                            <a:ext cx="1422900" cy="42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Esc BT_RF_real</w:t>
                              </w:r>
                            </w:p>
                          </w:txbxContent>
                        </wps:txbx>
                        <wps:bodyPr anchorCtr="0" anchor="ctr" bIns="91425" lIns="91425" spcFirstLastPara="1" rIns="91425" wrap="square" tIns="91425">
                          <a:noAutofit/>
                        </wps:bodyPr>
                      </wps:wsp>
                      <wps:wsp>
                        <wps:cNvSpPr/>
                        <wps:cNvPr id="5" name="Shape 5"/>
                        <wps:spPr>
                          <a:xfrm>
                            <a:off x="5909400" y="614100"/>
                            <a:ext cx="1422900" cy="42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Multipais PR</w:t>
                              </w:r>
                            </w:p>
                          </w:txbxContent>
                        </wps:txbx>
                        <wps:bodyPr anchorCtr="0" anchor="ctr" bIns="91425" lIns="91425" spcFirstLastPara="1" rIns="91425" wrap="square" tIns="91425">
                          <a:noAutofit/>
                        </wps:bodyPr>
                      </wps:wsp>
                      <wps:wsp>
                        <wps:cNvSpPr/>
                        <wps:cNvPr id="6" name="Shape 6"/>
                        <wps:spPr>
                          <a:xfrm>
                            <a:off x="7425100" y="614100"/>
                            <a:ext cx="1422900" cy="4278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Inputs F1 &amp; F3</w:t>
                              </w:r>
                            </w:p>
                          </w:txbxContent>
                        </wps:txbx>
                        <wps:bodyPr anchorCtr="0" anchor="ctr" bIns="91425" lIns="91425" spcFirstLastPara="1" rIns="91425" wrap="square" tIns="91425">
                          <a:noAutofit/>
                        </wps:bodyPr>
                      </wps:wsp>
                      <wps:wsp>
                        <wps:cNvSpPr/>
                        <wps:cNvPr id="7" name="Shape 7"/>
                        <wps:spPr>
                          <a:xfrm>
                            <a:off x="3552800" y="1841088"/>
                            <a:ext cx="3104700" cy="42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PREPARE_OD</w:t>
                              </w:r>
                            </w:p>
                          </w:txbxContent>
                        </wps:txbx>
                        <wps:bodyPr anchorCtr="0" anchor="ctr" bIns="91425" lIns="91425" spcFirstLastPara="1" rIns="91425" wrap="square" tIns="91425">
                          <a:noAutofit/>
                        </wps:bodyPr>
                      </wps:wsp>
                      <wps:wsp>
                        <wps:cNvSpPr/>
                        <wps:cNvPr id="8" name="Shape 8"/>
                        <wps:spPr>
                          <a:xfrm>
                            <a:off x="3552800" y="2456213"/>
                            <a:ext cx="3104700" cy="42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PRE_INI_BTFR</w:t>
                              </w:r>
                            </w:p>
                          </w:txbxContent>
                        </wps:txbx>
                        <wps:bodyPr anchorCtr="0" anchor="ctr" bIns="91425" lIns="91425" spcFirstLastPara="1" rIns="91425" wrap="square" tIns="91425">
                          <a:noAutofit/>
                        </wps:bodyPr>
                      </wps:wsp>
                      <wps:wsp>
                        <wps:cNvSpPr/>
                        <wps:cNvPr id="9" name="Shape 9"/>
                        <wps:spPr>
                          <a:xfrm>
                            <a:off x="3552800" y="3068225"/>
                            <a:ext cx="3104700" cy="42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INI_BTFR</w:t>
                              </w:r>
                            </w:p>
                          </w:txbxContent>
                        </wps:txbx>
                        <wps:bodyPr anchorCtr="0" anchor="ctr" bIns="91425" lIns="91425" spcFirstLastPara="1" rIns="91425" wrap="square" tIns="91425">
                          <a:noAutofit/>
                        </wps:bodyPr>
                      </wps:wsp>
                      <wps:wsp>
                        <wps:cNvSpPr/>
                        <wps:cNvPr id="10" name="Shape 10"/>
                        <wps:spPr>
                          <a:xfrm>
                            <a:off x="3552800" y="3683350"/>
                            <a:ext cx="3104700" cy="42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BTFR</w:t>
                              </w:r>
                            </w:p>
                          </w:txbxContent>
                        </wps:txbx>
                        <wps:bodyPr anchorCtr="0" anchor="ctr" bIns="91425" lIns="91425" spcFirstLastPara="1" rIns="91425" wrap="square" tIns="91425">
                          <a:noAutofit/>
                        </wps:bodyPr>
                      </wps:wsp>
                      <wps:wsp>
                        <wps:cNvSpPr/>
                        <wps:cNvPr id="11" name="Shape 11"/>
                        <wps:spPr>
                          <a:xfrm>
                            <a:off x="3552800" y="4298475"/>
                            <a:ext cx="3104700" cy="4278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FIN_BTFR</w:t>
                              </w:r>
                            </w:p>
                          </w:txbxContent>
                        </wps:txbx>
                        <wps:bodyPr anchorCtr="0" anchor="ctr" bIns="91425" lIns="91425" spcFirstLastPara="1" rIns="91425" wrap="square" tIns="91425">
                          <a:noAutofit/>
                        </wps:bodyPr>
                      </wps:wsp>
                      <wps:wsp>
                        <wps:cNvCnPr/>
                        <wps:spPr>
                          <a:xfrm>
                            <a:off x="1765325" y="1041900"/>
                            <a:ext cx="3339900" cy="799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589450" y="1041900"/>
                            <a:ext cx="1515600" cy="799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105150" y="1041900"/>
                            <a:ext cx="0" cy="799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5105250" y="1041900"/>
                            <a:ext cx="1515600" cy="799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5105050" y="1041900"/>
                            <a:ext cx="3031500" cy="799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105150" y="2268888"/>
                            <a:ext cx="0" cy="187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105150" y="2884025"/>
                            <a:ext cx="0" cy="184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105150" y="3496025"/>
                            <a:ext cx="0" cy="187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105150" y="41111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105150" y="41111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105150" y="4111275"/>
                            <a:ext cx="0" cy="187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420043" cy="2759458"/>
                <wp:effectExtent b="0" l="0" r="0" t="0"/>
                <wp:docPr id="3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20043" cy="27594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sffk82ngs1bv" w:id="7"/>
      <w:bookmarkEnd w:id="7"/>
      <w:r w:rsidDel="00000000" w:rsidR="00000000" w:rsidRPr="00000000">
        <w:rPr>
          <w:rtl w:val="0"/>
        </w:rPr>
        <w:t xml:space="preserve">2.1 Solución técnica para el reseteo del entorno.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Se crea un nuevo parámetro y cfg “Data Retrieve BT RF” encargado de recuperar al entorno de RP en su ruta correspondiente los siguientes objetos:  </w:t>
      </w:r>
    </w:p>
    <w:p w:rsidR="00000000" w:rsidDel="00000000" w:rsidP="00000000" w:rsidRDefault="00000000" w:rsidRPr="00000000" w14:paraId="00000045">
      <w:pPr>
        <w:numPr>
          <w:ilvl w:val="0"/>
          <w:numId w:val="1"/>
        </w:numPr>
        <w:spacing w:after="0" w:lineRule="auto"/>
        <w:ind w:left="720" w:hanging="360"/>
        <w:rPr/>
      </w:pPr>
      <w:r w:rsidDel="00000000" w:rsidR="00000000" w:rsidRPr="00000000">
        <w:rPr>
          <w:rFonts w:ascii="BBVABentonSansLight" w:cs="BBVABentonSansLight" w:eastAsia="BBVABentonSansLight" w:hAnsi="BBVABentonSansLight"/>
          <w:sz w:val="20"/>
          <w:szCs w:val="20"/>
          <w:rtl w:val="0"/>
        </w:rPr>
        <w:t xml:space="preserve">Tar de inputs de F3: “XKOZ_InputsF3.tar.gz”</w:t>
      </w:r>
      <w:r w:rsidDel="00000000" w:rsidR="00000000" w:rsidRPr="00000000">
        <w:rPr>
          <w:rtl w:val="0"/>
        </w:rPr>
      </w:r>
    </w:p>
    <w:p w:rsidR="00000000" w:rsidDel="00000000" w:rsidP="00000000" w:rsidRDefault="00000000" w:rsidRPr="00000000" w14:paraId="00000046">
      <w:pPr>
        <w:numPr>
          <w:ilvl w:val="0"/>
          <w:numId w:val="1"/>
        </w:numPr>
        <w:spacing w:after="0" w:before="0" w:lineRule="auto"/>
        <w:ind w:left="720" w:hanging="360"/>
        <w:rPr/>
      </w:pPr>
      <w:r w:rsidDel="00000000" w:rsidR="00000000" w:rsidRPr="00000000">
        <w:rPr>
          <w:rFonts w:ascii="BBVABentonSansLight" w:cs="BBVABentonSansLight" w:eastAsia="BBVABentonSansLight" w:hAnsi="BBVABentonSansLight"/>
          <w:sz w:val="20"/>
          <w:szCs w:val="20"/>
          <w:rtl w:val="0"/>
        </w:rPr>
        <w:t xml:space="preserve">Escenario Histórico Normal del periodo de Backtesting “EOXM_IMM_Backtesting_RF”</w:t>
      </w:r>
      <w:r w:rsidDel="00000000" w:rsidR="00000000" w:rsidRPr="00000000">
        <w:rPr>
          <w:rtl w:val="0"/>
        </w:rPr>
      </w:r>
    </w:p>
    <w:p w:rsidR="00000000" w:rsidDel="00000000" w:rsidP="00000000" w:rsidRDefault="00000000" w:rsidRPr="00000000" w14:paraId="00000047">
      <w:pPr>
        <w:numPr>
          <w:ilvl w:val="0"/>
          <w:numId w:val="1"/>
        </w:numPr>
        <w:spacing w:after="0" w:before="0" w:lineRule="auto"/>
        <w:ind w:left="720" w:hanging="360"/>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Escenario Histórico Real del periodo de Backtesting “EOXM_IMM_Backtesting_RF_*_real”</w:t>
      </w:r>
    </w:p>
    <w:p w:rsidR="00000000" w:rsidDel="00000000" w:rsidP="00000000" w:rsidRDefault="00000000" w:rsidRPr="00000000" w14:paraId="00000048">
      <w:pPr>
        <w:numPr>
          <w:ilvl w:val="0"/>
          <w:numId w:val="1"/>
        </w:numPr>
        <w:spacing w:before="0" w:lineRule="auto"/>
        <w:ind w:left="720" w:hanging="360"/>
        <w:rPr/>
      </w:pPr>
      <w:r w:rsidDel="00000000" w:rsidR="00000000" w:rsidRPr="00000000">
        <w:rPr>
          <w:rFonts w:ascii="BBVABentonSansLight" w:cs="BBVABentonSansLight" w:eastAsia="BBVABentonSansLight" w:hAnsi="BBVABentonSansLight"/>
          <w:sz w:val="20"/>
          <w:szCs w:val="20"/>
          <w:rtl w:val="0"/>
        </w:rPr>
        <w:t xml:space="preserve">Ruta multipaís de Producción.</w:t>
      </w:r>
      <w:r w:rsidDel="00000000" w:rsidR="00000000" w:rsidRPr="00000000">
        <w:rPr>
          <w:rtl w:val="0"/>
        </w:rPr>
      </w:r>
    </w:p>
    <w:p w:rsidR="00000000" w:rsidDel="00000000" w:rsidP="00000000" w:rsidRDefault="00000000" w:rsidRPr="00000000" w14:paraId="00000049">
      <w:pPr>
        <w:numPr>
          <w:ilvl w:val="0"/>
          <w:numId w:val="1"/>
        </w:numPr>
        <w:spacing w:before="0" w:lineRule="auto"/>
        <w:ind w:left="720" w:hanging="360"/>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Lista Reducida de Factores de Riesgo</w:t>
      </w:r>
      <w:r w:rsidDel="00000000" w:rsidR="00000000" w:rsidRPr="00000000">
        <w:rPr>
          <w:rtl w:val="0"/>
        </w:rPr>
      </w:r>
    </w:p>
    <w:p w:rsidR="00000000" w:rsidDel="00000000" w:rsidP="00000000" w:rsidRDefault="00000000" w:rsidRPr="00000000" w14:paraId="0000004A">
      <w:pPr>
        <w:rPr/>
      </w:pPr>
      <w:r w:rsidDel="00000000" w:rsidR="00000000" w:rsidRPr="00000000">
        <w:rPr>
          <w:rFonts w:ascii="BBVABentonSansLight" w:cs="BBVABentonSansLight" w:eastAsia="BBVABentonSansLight" w:hAnsi="BBVABentonSansLight"/>
          <w:sz w:val="20"/>
          <w:szCs w:val="20"/>
          <w:rtl w:val="0"/>
        </w:rPr>
        <w:t xml:space="preserve">Adicionalmente, de no encontrarse dichos inputs con el nombre de carcasa establecido en la ruta origen, se generará un error. </w:t>
      </w:r>
      <w:r w:rsidDel="00000000" w:rsidR="00000000" w:rsidRPr="00000000">
        <w:rPr>
          <w:rtl w:val="0"/>
        </w:rPr>
      </w:r>
    </w:p>
    <w:p w:rsidR="00000000" w:rsidDel="00000000" w:rsidP="00000000" w:rsidRDefault="00000000" w:rsidRPr="00000000" w14:paraId="0000004B">
      <w:pPr>
        <w:pStyle w:val="Heading2"/>
        <w:rPr/>
      </w:pPr>
      <w:bookmarkStart w:colFirst="0" w:colLast="0" w:name="_heading=h.r604m2b225m" w:id="8"/>
      <w:bookmarkEnd w:id="8"/>
      <w:r w:rsidDel="00000000" w:rsidR="00000000" w:rsidRPr="00000000">
        <w:rPr>
          <w:rtl w:val="0"/>
        </w:rPr>
        <w:t xml:space="preserve">2.2 Solución técnica para el copiado entre rutas del escenario.</w:t>
      </w:r>
    </w:p>
    <w:p w:rsidR="00000000" w:rsidDel="00000000" w:rsidP="00000000" w:rsidRDefault="00000000" w:rsidRPr="00000000" w14:paraId="0000004C">
      <w:pPr>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Modificación del .TXT de envío de correo del batch de BT Test en fecha festiva.</w:t>
      </w:r>
    </w:p>
    <w:p w:rsidR="00000000" w:rsidDel="00000000" w:rsidP="00000000" w:rsidRDefault="00000000" w:rsidRPr="00000000" w14:paraId="0000004D">
      <w:pPr>
        <w:rPr>
          <w:rFonts w:ascii="BBVABentonSansLight" w:cs="BBVABentonSansLight" w:eastAsia="BBVABentonSansLight" w:hAnsi="BBVABentonSansLight"/>
          <w:sz w:val="20"/>
          <w:szCs w:val="20"/>
        </w:rPr>
      </w:pPr>
      <w:r w:rsidDel="00000000" w:rsidR="00000000" w:rsidRPr="00000000">
        <w:rPr>
          <w:rtl w:val="0"/>
        </w:rPr>
      </w:r>
    </w:p>
    <w:p w:rsidR="00000000" w:rsidDel="00000000" w:rsidP="00000000" w:rsidRDefault="00000000" w:rsidRPr="00000000" w14:paraId="0000004E">
      <w:pPr>
        <w:numPr>
          <w:ilvl w:val="0"/>
          <w:numId w:val="3"/>
        </w:numPr>
        <w:ind w:left="720" w:hanging="360"/>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 Comprueba si el día anterior a la fecha del batch fue festivo. Para ello, se hace uso del fichero de fechas especificado en "XKOZ_FechasFestivos.csv". En caso de que fuera festivo, se envía un correo al usuario informando de la situación y se termina el script en error para forzar la revisión manual del festivo. Este script llama a otro script de envío de correo XKOZ8205S.SH,  lo primero que hace es chequear si la fecha fue festivo, en caso de ser festivo llama al script mencionado que es el que envía el correo.</w:t>
      </w:r>
    </w:p>
    <w:p w:rsidR="00000000" w:rsidDel="00000000" w:rsidP="00000000" w:rsidRDefault="00000000" w:rsidRPr="00000000" w14:paraId="0000004F">
      <w:pPr>
        <w:numPr>
          <w:ilvl w:val="0"/>
          <w:numId w:val="3"/>
        </w:numPr>
        <w:ind w:left="720" w:hanging="360"/>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 Si el día anterior no es festivo, se comprueba si los escenarios.bin y .ce existen. Si no existen, se finaliza en error. </w:t>
      </w:r>
      <w:r w:rsidDel="00000000" w:rsidR="00000000" w:rsidRPr="00000000">
        <w:rPr>
          <w:rtl w:val="0"/>
        </w:rPr>
      </w:r>
    </w:p>
    <w:p w:rsidR="00000000" w:rsidDel="00000000" w:rsidP="00000000" w:rsidRDefault="00000000" w:rsidRPr="00000000" w14:paraId="00000050">
      <w:pPr>
        <w:numPr>
          <w:ilvl w:val="0"/>
          <w:numId w:val="3"/>
        </w:numPr>
        <w:ind w:left="720" w:hanging="360"/>
        <w:rPr>
          <w:rFonts w:ascii="BBVABentonSansLight" w:cs="BBVABentonSansLight" w:eastAsia="BBVABentonSansLight" w:hAnsi="BBVABentonSansLight"/>
          <w:sz w:val="20"/>
          <w:szCs w:val="20"/>
        </w:rPr>
      </w:pPr>
      <w:r w:rsidDel="00000000" w:rsidR="00000000" w:rsidRPr="00000000">
        <w:rPr>
          <w:rFonts w:ascii="BBVABentonSansLight" w:cs="BBVABentonSansLight" w:eastAsia="BBVABentonSansLight" w:hAnsi="BBVABentonSansLight"/>
          <w:sz w:val="20"/>
          <w:szCs w:val="20"/>
          <w:rtl w:val="0"/>
        </w:rPr>
        <w:t xml:space="preserve">Si los escenarios existen, se copian a la ruta $XKOZ_DATIN</w:t>
      </w:r>
    </w:p>
    <w:p w:rsidR="00000000" w:rsidDel="00000000" w:rsidP="00000000" w:rsidRDefault="00000000" w:rsidRPr="00000000" w14:paraId="00000051">
      <w:pPr>
        <w:pStyle w:val="Heading2"/>
        <w:rPr/>
      </w:pPr>
      <w:bookmarkStart w:colFirst="0" w:colLast="0" w:name="_heading=h.fj839aj8aprx" w:id="9"/>
      <w:bookmarkEnd w:id="9"/>
      <w:r w:rsidDel="00000000" w:rsidR="00000000" w:rsidRPr="00000000">
        <w:rPr>
          <w:rtl w:val="0"/>
        </w:rPr>
        <w:t xml:space="preserve">2.3 Solución técnica para la existencia e integridad de la Lista de Factores de Riesgo.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 utilizan los scripts XKOZ9907S.SH y XKOZ9910S.SH, para realizar la comprobación de la existencia de la lista y que la misma no se encuentra vacía respectivamente.</w:t>
      </w:r>
      <w:r w:rsidDel="00000000" w:rsidR="00000000" w:rsidRPr="00000000">
        <w:rPr>
          <w:rtl w:val="0"/>
        </w:rPr>
      </w:r>
    </w:p>
    <w:p w:rsidR="00000000" w:rsidDel="00000000" w:rsidP="00000000" w:rsidRDefault="00000000" w:rsidRPr="00000000" w14:paraId="00000054">
      <w:pPr>
        <w:pStyle w:val="Heading2"/>
        <w:jc w:val="left"/>
        <w:rPr/>
      </w:pPr>
      <w:bookmarkStart w:colFirst="0" w:colLast="0" w:name="_heading=h.hhv3r8regd3r" w:id="10"/>
      <w:bookmarkEnd w:id="10"/>
      <w:r w:rsidDel="00000000" w:rsidR="00000000" w:rsidRPr="00000000">
        <w:rPr>
          <w:rtl w:val="0"/>
        </w:rPr>
        <w:t xml:space="preserve">2.4 Copiado de los ficheros que se van a enviar al finalizar el BT RF a la ruta $XKOZ_DATOUT/envio_usuario.</w:t>
      </w:r>
    </w:p>
    <w:p w:rsidR="00000000" w:rsidDel="00000000" w:rsidP="00000000" w:rsidRDefault="00000000" w:rsidRPr="00000000" w14:paraId="00000055">
      <w:pPr>
        <w:rPr>
          <w:color w:val="ff000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 crea el siguiente archivo .cfg XKOZ_Copiado_Envios_BTRF.cfg, en él se encuentran los ficheros que se van a enviar al finalizar el ST a la ruta $XKOZ_DATOUT/envio_usuario.</w:t>
      </w:r>
    </w:p>
    <w:p w:rsidR="00000000" w:rsidDel="00000000" w:rsidP="00000000" w:rsidRDefault="00000000" w:rsidRPr="00000000" w14:paraId="00000057">
      <w:pPr>
        <w:rPr/>
      </w:pPr>
      <w:r w:rsidDel="00000000" w:rsidR="00000000" w:rsidRPr="00000000">
        <w:rPr>
          <w:rtl w:val="0"/>
        </w:rPr>
        <w:t xml:space="preserve">El cfg contiene los ficheros que se van a enviar al usuario.</w:t>
      </w:r>
    </w:p>
    <w:p w:rsidR="00000000" w:rsidDel="00000000" w:rsidP="00000000" w:rsidRDefault="00000000" w:rsidRPr="00000000" w14:paraId="00000058">
      <w:pPr>
        <w:pStyle w:val="Heading2"/>
        <w:rPr/>
      </w:pPr>
      <w:bookmarkStart w:colFirst="0" w:colLast="0" w:name="_heading=h.5wxuuv2uyl9i" w:id="11"/>
      <w:bookmarkEnd w:id="11"/>
      <w:r w:rsidDel="00000000" w:rsidR="00000000" w:rsidRPr="00000000">
        <w:rPr>
          <w:rtl w:val="0"/>
        </w:rPr>
        <w:t xml:space="preserve">2.5 Genera el tar.gz con el backup de los inputs, outputs, configuración y logs que se han usado en el lanzamiento del proceso OnDemand.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 el tar.gz con el backup de los inputs, outputs, configuración y logs que se han usado en el lanzamiento del proceso OnDemand. Este tar.gz se genera en PR para evitar que se borre con la siguiente ejecución de un proceso OD.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k8nz14w4otck" w:id="12"/>
      <w:bookmarkEnd w:id="12"/>
      <w:r w:rsidDel="00000000" w:rsidR="00000000" w:rsidRPr="00000000">
        <w:rPr>
          <w:rtl w:val="0"/>
        </w:rPr>
        <w:t xml:space="preserve">3. Solución de control 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 ha creado una plantilla .xml para la planificación del batch de Backtesting Factores de Riesgo. Este archivo se crea desde un principio con unas variables genéricas, que posteriormente serán modificadas a través de un script para poner la información necesaria para que dicha plantilla funcione en el entorno de RP.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Esta planificación sube a producción por Serena Dimensions, posteriormente, el equipo de Service Support la subirá a Control M y se planificará de manera automática cada fin de mes a través del calendario de ALGO_FM.</w:t>
      </w:r>
    </w:p>
    <w:sectPr>
      <w:headerReference r:id="rId9" w:type="default"/>
      <w:footerReference r:id="rId10" w:type="default"/>
      <w:pgSz w:h="16834" w:w="11909" w:orient="portrait"/>
      <w:pgMar w:bottom="1440" w:top="1440" w:left="141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BBVABentonSans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pacing w:before="0" w:lineRule="auto"/>
      <w:jc w:val="center"/>
      <w:rPr>
        <w:color w:val="3d85c6"/>
      </w:rPr>
    </w:pPr>
    <w:r w:rsidDel="00000000" w:rsidR="00000000" w:rsidRPr="00000000">
      <w:rPr>
        <w:b w:val="1"/>
        <w:color w:val="0b5394"/>
        <w:rtl w:val="0"/>
      </w:rPr>
      <w:t xml:space="preserve">IMM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5572125</wp:posOffset>
          </wp:positionH>
          <wp:positionV relativeFrom="paragraph">
            <wp:posOffset>-342889</wp:posOffset>
          </wp:positionV>
          <wp:extent cx="762000" cy="628650"/>
          <wp:effectExtent b="0" l="0" r="0" t="0"/>
          <wp:wrapNone/>
          <wp:docPr id="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2000" cy="628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-704840</wp:posOffset>
          </wp:positionH>
          <wp:positionV relativeFrom="paragraph">
            <wp:posOffset>-280978</wp:posOffset>
          </wp:positionV>
          <wp:extent cx="1457325" cy="504825"/>
          <wp:effectExtent b="0" l="0" r="0" t="0"/>
          <wp:wrapNone/>
          <wp:docPr id="3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457325" cy="504825"/>
                  </a:xfrm>
                  <a:prstGeom prst="rect"/>
                  <a:ln/>
                </pic:spPr>
              </pic:pic>
            </a:graphicData>
          </a:graphic>
        </wp:anchor>
      </w:drawing>
    </w:r>
  </w:p>
  <w:p w:rsidR="00000000" w:rsidDel="00000000" w:rsidP="00000000" w:rsidRDefault="00000000" w:rsidRPr="00000000" w14:paraId="00000062">
    <w:pPr>
      <w:spacing w:before="0" w:lineRule="auto"/>
      <w:jc w:val="center"/>
      <w:rPr>
        <w:color w:val="3d85c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20"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60" w:before="60" w:line="276" w:lineRule="auto"/>
      <w:jc w:val="left"/>
    </w:pPr>
    <w:rPr>
      <w:b w:val="1"/>
      <w:color w:val="3d8bdc"/>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b5394"/>
      <w:sz w:val="48"/>
      <w:szCs w:val="48"/>
    </w:rPr>
  </w:style>
  <w:style w:type="paragraph" w:styleId="Heading2">
    <w:name w:val="heading 2"/>
    <w:basedOn w:val="Normal"/>
    <w:next w:val="Normal"/>
    <w:pPr>
      <w:keepNext w:val="1"/>
      <w:keepLines w:val="1"/>
      <w:spacing w:after="80" w:before="360" w:lineRule="auto"/>
    </w:pPr>
    <w:rPr>
      <w:b w:val="1"/>
      <w:color w:val="3d8bdc"/>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240" w:before="240" w:lineRule="auto"/>
    </w:pPr>
    <w:rPr>
      <w:b w:val="1"/>
      <w:color w:val="434343"/>
      <w:sz w:val="24"/>
      <w:szCs w:val="24"/>
      <w:u w:val="single"/>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outlineLvl w:val="0"/>
    </w:pPr>
    <w:rPr>
      <w:b w:val="1"/>
      <w:color w:val="0b5394"/>
      <w:sz w:val="48"/>
      <w:szCs w:val="48"/>
    </w:rPr>
  </w:style>
  <w:style w:type="paragraph" w:styleId="Heading2">
    <w:name w:val="heading 2"/>
    <w:basedOn w:val="Normal"/>
    <w:next w:val="Normal"/>
    <w:pPr>
      <w:keepNext w:val="1"/>
      <w:keepLines w:val="1"/>
      <w:spacing w:after="80" w:before="360"/>
      <w:outlineLvl w:val="1"/>
    </w:pPr>
    <w:rPr>
      <w:b w:val="1"/>
      <w:color w:val="3d8bdc"/>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240" w:before="240"/>
      <w:outlineLvl w:val="3"/>
    </w:pPr>
    <w:rPr>
      <w:b w:val="1"/>
      <w:color w:val="434343"/>
      <w:sz w:val="24"/>
      <w:szCs w:val="24"/>
      <w:u w:val="single"/>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u/b28geJLz9UXdhSFdiJ5Lt7g==">CgMxLjAyCGguZ2pkZ3hzMgloLjMwajB6bGwyCWguMWZvYjl0ZTIOaC5oM3lmN21iYmt3eGIyCWguMmV0OTJwMDIOaC41aWNkbzc2dHg0MWYyDmgueGhlbzA3M2MxemQwMg5oLnNmZms4Mm5nczFidjINaC5yNjA0bTJiMjI1bTIOaC5majgzOWFqOGFwcngyDmguaGh2M3I4cmVnZDNyMg5oLjV3eHV1djJ1eWw5aTIOaC5rOG56MTR3NG90Y2s4AHIhMXpTV2JxUUEwZm42ZzlCQm11WUdmUHViZHhsVnBZR0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2022-10-24T08:22:00Z</dcterms:created>
  <dc:creator>MORATO MARTIN, JESUS</dc:creator>
</cp:coreProperties>
</file>