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7E05" w:rsidRDefault="00E87ED6" w:rsidP="008748F3">
      <w:pPr>
        <w:spacing w:line="240" w:lineRule="auto"/>
        <w:jc w:val="center"/>
      </w:pPr>
      <w:r>
        <w:rPr>
          <w:color w:val="0E1A14"/>
          <w:sz w:val="12"/>
          <w:szCs w:val="12"/>
        </w:rPr>
        <w:t xml:space="preserve"> </w:t>
      </w:r>
    </w:p>
    <w:p w:rsidR="00B47E05" w:rsidRDefault="00E87ED6">
      <w:pPr>
        <w:spacing w:line="240" w:lineRule="auto"/>
        <w:jc w:val="right"/>
      </w:pPr>
      <w:r>
        <w:rPr>
          <w:color w:val="0E1A14"/>
          <w:sz w:val="12"/>
          <w:szCs w:val="12"/>
        </w:rPr>
        <w:t xml:space="preserve"> </w:t>
      </w:r>
    </w:p>
    <w:p w:rsidR="00B47E05" w:rsidRDefault="00E87ED6">
      <w:pPr>
        <w:spacing w:line="240" w:lineRule="auto"/>
        <w:jc w:val="right"/>
      </w:pPr>
      <w:r>
        <w:rPr>
          <w:color w:val="0E1A14"/>
          <w:sz w:val="12"/>
          <w:szCs w:val="12"/>
        </w:rPr>
        <w:t xml:space="preserve"> </w:t>
      </w:r>
    </w:p>
    <w:p w:rsidR="00B47E05" w:rsidRDefault="00B47E05" w:rsidP="008748F3">
      <w:pPr>
        <w:spacing w:line="240" w:lineRule="auto"/>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tblPrEx>
          <w:tblCellMar>
            <w:top w:w="0" w:type="dxa"/>
            <w:bottom w:w="0" w:type="dxa"/>
          </w:tblCellMar>
        </w:tblPrEx>
        <w:trPr>
          <w:trHeight w:val="3600"/>
          <w:jc w:val="right"/>
        </w:trPr>
        <w:tc>
          <w:tcPr>
            <w:tcW w:w="9360" w:type="dxa"/>
            <w:tcBorders>
              <w:top w:val="none" w:sz="0" w:space="0" w:color="FFFFFF"/>
              <w:left w:val="none" w:sz="0" w:space="0" w:color="FFFFFF"/>
              <w:bottom w:val="none" w:sz="0" w:space="0" w:color="FFFFFF"/>
              <w:right w:val="none" w:sz="0" w:space="0" w:color="FFFFFF"/>
            </w:tcBorders>
            <w:tcMar>
              <w:top w:w="200" w:type="dxa"/>
              <w:left w:w="200" w:type="dxa"/>
              <w:bottom w:w="200" w:type="dxa"/>
              <w:right w:w="200" w:type="dxa"/>
            </w:tcMar>
            <w:vAlign w:val="center"/>
          </w:tcPr>
          <w:p w:rsidR="00B47E05" w:rsidRDefault="00E87ED6">
            <w:pPr>
              <w:spacing w:line="3600" w:lineRule="exact"/>
              <w:jc w:val="center"/>
            </w:pPr>
            <w:r>
              <w:rPr>
                <w:noProof/>
              </w:rPr>
              <w:drawing>
                <wp:inline distT="0" distB="0" distL="0" distR="0">
                  <wp:extent cx="2095500" cy="16668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666875"/>
                          </a:xfrm>
                          <a:prstGeom prst="rect">
                            <a:avLst/>
                          </a:prstGeom>
                        </pic:spPr>
                      </pic:pic>
                    </a:graphicData>
                  </a:graphic>
                </wp:inline>
              </w:drawing>
            </w:r>
          </w:p>
        </w:tc>
      </w:tr>
    </w:tbl>
    <w:p w:rsidR="00B47E05" w:rsidRDefault="00E87ED6">
      <w:pPr>
        <w:spacing w:before="200"/>
        <w:jc w:val="right"/>
      </w:pPr>
      <w:r>
        <w:rPr>
          <w:color w:val="0E1A14"/>
          <w:sz w:val="12"/>
          <w:szCs w:val="12"/>
        </w:rPr>
        <w:t xml:space="preserve"> </w:t>
      </w:r>
    </w:p>
    <w:p w:rsidR="00B47E05" w:rsidRDefault="00E87ED6">
      <w:pPr>
        <w:spacing w:after="60"/>
        <w:jc w:val="center"/>
      </w:pPr>
      <w:r>
        <w:rPr>
          <w:b/>
          <w:bCs/>
          <w:color w:val="1F5F3F"/>
          <w:sz w:val="36"/>
          <w:szCs w:val="36"/>
        </w:rPr>
        <w:t>جامعة الملك خالد</w:t>
      </w:r>
    </w:p>
    <w:p w:rsidR="00B47E05" w:rsidRDefault="00E87ED6">
      <w:pPr>
        <w:spacing w:after="240"/>
        <w:jc w:val="center"/>
      </w:pPr>
      <w:r>
        <w:rPr>
          <w:color w:val="6B7770"/>
          <w:sz w:val="16"/>
          <w:szCs w:val="16"/>
          <w:rtl w:val="0"/>
        </w:rPr>
        <w:t>KING KHALID UNIVERSITY</w:t>
      </w:r>
    </w:p>
    <w:p w:rsidR="00B47E05" w:rsidRDefault="00B47E05">
      <w:pPr>
        <w:pBdr>
          <w:bottom w:val="double" w:sz="12" w:space="1" w:color="B89855"/>
        </w:pBdr>
        <w:spacing w:before="240" w:after="240" w:line="60" w:lineRule="auto"/>
        <w:jc w:val="right"/>
      </w:pPr>
    </w:p>
    <w:p w:rsidR="00B47E05" w:rsidRDefault="00E87ED6">
      <w:pPr>
        <w:spacing w:before="480" w:after="120" w:line="280" w:lineRule="auto"/>
        <w:jc w:val="center"/>
      </w:pPr>
      <w:r>
        <w:rPr>
          <w:b/>
          <w:bCs/>
          <w:color w:val="B89855"/>
          <w:sz w:val="18"/>
          <w:szCs w:val="18"/>
        </w:rPr>
        <w:t xml:space="preserve">الحزمة الثانية — الأدلة </w:t>
      </w:r>
      <w:proofErr w:type="spellStart"/>
      <w:r>
        <w:rPr>
          <w:b/>
          <w:bCs/>
          <w:color w:val="B89855"/>
          <w:sz w:val="18"/>
          <w:szCs w:val="18"/>
        </w:rPr>
        <w:t>الحوكمية</w:t>
      </w:r>
      <w:proofErr w:type="spellEnd"/>
    </w:p>
    <w:p w:rsidR="00B47E05" w:rsidRDefault="00E87ED6">
      <w:pPr>
        <w:spacing w:after="80"/>
        <w:jc w:val="center"/>
      </w:pPr>
      <w:r>
        <w:rPr>
          <w:color w:val="6B7770"/>
          <w:sz w:val="16"/>
          <w:szCs w:val="16"/>
        </w:rPr>
        <w:t>الوثيقة رقم (٦) من (٨)</w:t>
      </w:r>
    </w:p>
    <w:p w:rsidR="00B47E05" w:rsidRDefault="00E87ED6">
      <w:pPr>
        <w:spacing w:before="360" w:after="120" w:line="480" w:lineRule="auto"/>
        <w:jc w:val="center"/>
      </w:pPr>
      <w:r>
        <w:rPr>
          <w:b/>
          <w:bCs/>
          <w:color w:val="143F2A"/>
          <w:sz w:val="48"/>
          <w:szCs w:val="48"/>
        </w:rPr>
        <w:t>سياسة تضارب المصالح</w:t>
      </w:r>
    </w:p>
    <w:p w:rsidR="00B47E05" w:rsidRDefault="00E87ED6">
      <w:pPr>
        <w:spacing w:before="60" w:after="240" w:line="360" w:lineRule="auto"/>
        <w:jc w:val="center"/>
      </w:pPr>
      <w:proofErr w:type="spellStart"/>
      <w:r>
        <w:rPr>
          <w:color w:val="1F5F3F"/>
        </w:rPr>
        <w:t>Conflict</w:t>
      </w:r>
      <w:proofErr w:type="spellEnd"/>
      <w:r>
        <w:rPr>
          <w:color w:val="1F5F3F"/>
        </w:rPr>
        <w:t xml:space="preserve"> </w:t>
      </w:r>
      <w:proofErr w:type="spellStart"/>
      <w:r>
        <w:rPr>
          <w:color w:val="1F5F3F"/>
        </w:rPr>
        <w:t>of</w:t>
      </w:r>
      <w:proofErr w:type="spellEnd"/>
      <w:r>
        <w:rPr>
          <w:color w:val="1F5F3F"/>
        </w:rPr>
        <w:t xml:space="preserve"> </w:t>
      </w:r>
      <w:proofErr w:type="spellStart"/>
      <w:r>
        <w:rPr>
          <w:color w:val="1F5F3F"/>
        </w:rPr>
        <w:t>Interest</w:t>
      </w:r>
      <w:proofErr w:type="spellEnd"/>
      <w:r>
        <w:rPr>
          <w:color w:val="1F5F3F"/>
        </w:rPr>
        <w:t xml:space="preserve"> </w:t>
      </w:r>
      <w:proofErr w:type="spellStart"/>
      <w:r>
        <w:rPr>
          <w:color w:val="1F5F3F"/>
        </w:rPr>
        <w:t>Policy</w:t>
      </w:r>
      <w:proofErr w:type="spellEnd"/>
    </w:p>
    <w:p w:rsidR="00B47E05" w:rsidRDefault="00B47E05">
      <w:pPr>
        <w:pBdr>
          <w:bottom w:val="double" w:sz="12" w:space="1" w:color="B89855"/>
        </w:pBdr>
        <w:spacing w:before="360" w:after="240" w:line="60" w:lineRule="auto"/>
        <w:jc w:val="right"/>
      </w:pPr>
    </w:p>
    <w:p w:rsidR="00B47E05" w:rsidRDefault="00E87ED6" w:rsidP="008748F3">
      <w:pPr>
        <w:spacing w:line="240" w:lineRule="auto"/>
        <w:jc w:val="right"/>
      </w:pPr>
      <w:r>
        <w:rPr>
          <w:color w:val="0E1A14"/>
          <w:sz w:val="12"/>
          <w:szCs w:val="12"/>
        </w:rPr>
        <w:t xml:space="preserve"> </w:t>
      </w:r>
    </w:p>
    <w:p w:rsidR="00B47E05" w:rsidRDefault="00E87ED6">
      <w:pPr>
        <w:spacing w:line="240" w:lineRule="auto"/>
        <w:jc w:val="right"/>
      </w:pPr>
      <w:r>
        <w:rPr>
          <w:color w:val="0E1A14"/>
          <w:sz w:val="12"/>
          <w:szCs w:val="12"/>
        </w:rPr>
        <w:t xml:space="preserve"> </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20"/>
        <w:gridCol w:w="6520"/>
        <w:gridCol w:w="1420"/>
      </w:tblGrid>
      <w:tr w:rsidR="00B47E05" w:rsidTr="008748F3">
        <w:tblPrEx>
          <w:tblCellMar>
            <w:top w:w="0" w:type="dxa"/>
            <w:bottom w:w="0" w:type="dxa"/>
          </w:tblCellMar>
        </w:tblPrEx>
        <w:trPr>
          <w:jc w:val="center"/>
        </w:trPr>
        <w:tc>
          <w:tcPr>
            <w:tcW w:w="1430" w:type="dxa"/>
            <w:tcBorders>
              <w:top w:val="none" w:sz="0" w:space="0" w:color="FFFFFF"/>
              <w:left w:val="none" w:sz="0" w:space="0" w:color="FFFFFF"/>
              <w:bottom w:val="none" w:sz="0" w:space="0" w:color="FFFFFF"/>
              <w:right w:val="none" w:sz="0" w:space="0" w:color="FFFFFF"/>
            </w:tcBorders>
            <w:vAlign w:val="center"/>
          </w:tcPr>
          <w:p w:rsidR="00B47E05" w:rsidRDefault="00B47E05" w:rsidP="008748F3"/>
        </w:tc>
        <w:tc>
          <w:tcPr>
            <w:tcW w:w="6500" w:type="dxa"/>
            <w:tcBorders>
              <w:top w:val="none" w:sz="0" w:space="0" w:color="FFFFFF"/>
              <w:left w:val="none" w:sz="0" w:space="0" w:color="FFFFFF"/>
              <w:bottom w:val="none" w:sz="0" w:space="0" w:color="FFFFFF"/>
              <w:right w:val="none" w:sz="0" w:space="0" w:color="FFFFFF"/>
            </w:tcBorders>
            <w:vAlign w:val="center"/>
          </w:tcPr>
          <w:tbl>
            <w:tblPr>
              <w:tblW w:w="6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500"/>
              <w:gridCol w:w="3000"/>
            </w:tblGrid>
            <w:tr w:rsidR="00B47E05" w:rsidTr="008748F3">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color w:val="0E1A14"/>
                      <w:sz w:val="18"/>
                      <w:szCs w:val="18"/>
                    </w:rPr>
                    <w:t>الأمانة العامة لمجلس الأمناء</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b/>
                      <w:bCs/>
                      <w:color w:val="143F2A"/>
                      <w:sz w:val="18"/>
                      <w:szCs w:val="18"/>
                    </w:rPr>
                    <w:t>الجهة المُصدرة :</w:t>
                  </w:r>
                </w:p>
              </w:tc>
            </w:tr>
            <w:tr w:rsidR="00B47E05" w:rsidTr="008748F3">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color w:val="0E1A14"/>
                      <w:sz w:val="18"/>
                      <w:szCs w:val="18"/>
                    </w:rPr>
                    <w:t>BOT-COI-006</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b/>
                      <w:bCs/>
                      <w:color w:val="143F2A"/>
                      <w:sz w:val="18"/>
                      <w:szCs w:val="18"/>
                    </w:rPr>
                    <w:t>رمز الوثيقة :</w:t>
                  </w:r>
                </w:p>
              </w:tc>
            </w:tr>
            <w:tr w:rsidR="00B47E05" w:rsidTr="008748F3">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color w:val="0E1A14"/>
                      <w:sz w:val="18"/>
                      <w:szCs w:val="18"/>
                    </w:rPr>
                    <w:t>الإصدار الأول</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b/>
                      <w:bCs/>
                      <w:color w:val="143F2A"/>
                      <w:sz w:val="18"/>
                      <w:szCs w:val="18"/>
                    </w:rPr>
                    <w:t>الإصدار :</w:t>
                  </w:r>
                </w:p>
              </w:tc>
            </w:tr>
            <w:tr w:rsidR="00B47E05" w:rsidTr="008748F3">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color w:val="0E1A14"/>
                      <w:sz w:val="18"/>
                      <w:szCs w:val="18"/>
                    </w:rPr>
                    <w:t>ربيع الآخر ١٤٤٧هـ</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b/>
                      <w:bCs/>
                      <w:color w:val="143F2A"/>
                      <w:sz w:val="18"/>
                      <w:szCs w:val="18"/>
                    </w:rPr>
                    <w:t>تاريخ الإصدار :</w:t>
                  </w:r>
                </w:p>
              </w:tc>
            </w:tr>
            <w:tr w:rsidR="00B47E05" w:rsidTr="008748F3">
              <w:tblPrEx>
                <w:tblCellMar>
                  <w:top w:w="0" w:type="dxa"/>
                  <w:bottom w:w="0" w:type="dxa"/>
                </w:tblCellMar>
              </w:tblPrEx>
              <w:trPr>
                <w:jc w:val="center"/>
              </w:trPr>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color w:val="0E1A14"/>
                      <w:sz w:val="18"/>
                      <w:szCs w:val="18"/>
                    </w:rPr>
                    <w:t>معتمد</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rsidR="00B47E05" w:rsidRDefault="00E87ED6" w:rsidP="008748F3">
                  <w:pPr>
                    <w:jc w:val="center"/>
                  </w:pPr>
                  <w:r>
                    <w:rPr>
                      <w:b/>
                      <w:bCs/>
                      <w:color w:val="143F2A"/>
                      <w:sz w:val="18"/>
                      <w:szCs w:val="18"/>
                    </w:rPr>
                    <w:t>الحالة :</w:t>
                  </w:r>
                </w:p>
              </w:tc>
            </w:tr>
          </w:tbl>
          <w:p w:rsidR="00B47E05" w:rsidRDefault="00B47E05" w:rsidP="008748F3"/>
        </w:tc>
        <w:tc>
          <w:tcPr>
            <w:tcW w:w="1430" w:type="dxa"/>
            <w:tcBorders>
              <w:top w:val="none" w:sz="0" w:space="0" w:color="FFFFFF"/>
              <w:left w:val="none" w:sz="0" w:space="0" w:color="FFFFFF"/>
              <w:bottom w:val="none" w:sz="0" w:space="0" w:color="FFFFFF"/>
              <w:right w:val="none" w:sz="0" w:space="0" w:color="FFFFFF"/>
            </w:tcBorders>
            <w:vAlign w:val="center"/>
          </w:tcPr>
          <w:p w:rsidR="00B47E05" w:rsidRDefault="00B47E05" w:rsidP="008748F3"/>
        </w:tc>
      </w:tr>
    </w:tbl>
    <w:p w:rsidR="00B47E05" w:rsidRDefault="00E87ED6">
      <w:pPr>
        <w:pageBreakBefore/>
      </w:pPr>
      <w:r>
        <w:lastRenderedPageBreak/>
        <w:br/>
      </w:r>
    </w:p>
    <w:p w:rsidR="00B47E05" w:rsidRDefault="00B47E05">
      <w:pPr>
        <w:sectPr w:rsidR="00B47E05">
          <w:pgSz w:w="11906" w:h="16838"/>
          <w:pgMar w:top="1080" w:right="1080" w:bottom="1080" w:left="1080" w:header="708" w:footer="708" w:gutter="0"/>
          <w:cols w:space="720"/>
          <w:bidi/>
          <w:docGrid w:linePitch="360"/>
        </w:sectPr>
      </w:pPr>
    </w:p>
    <w:p w:rsidR="00B47E05" w:rsidRDefault="00E87ED6" w:rsidP="008748F3">
      <w:pPr>
        <w:pBdr>
          <w:bottom w:val="single" w:sz="12" w:space="4" w:color="1F5F3F"/>
        </w:pBdr>
        <w:spacing w:before="240" w:after="240"/>
      </w:pPr>
      <w:r>
        <w:rPr>
          <w:b/>
          <w:bCs/>
          <w:color w:val="143F2A"/>
          <w:sz w:val="28"/>
          <w:szCs w:val="28"/>
        </w:rPr>
        <w:lastRenderedPageBreak/>
        <w:t>بيانات الوثيقة وضوابط الإصدار</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7E05">
        <w:tblPrEx>
          <w:tblCellMar>
            <w:top w:w="0" w:type="dxa"/>
            <w:bottom w:w="0" w:type="dxa"/>
          </w:tblCellMar>
        </w:tblPrEx>
        <w:trPr>
          <w:tblHeade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B47E05" w:rsidRDefault="00E87ED6" w:rsidP="008748F3">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B47E05" w:rsidRDefault="00E87ED6" w:rsidP="008748F3">
            <w:r>
              <w:rPr>
                <w:b/>
                <w:bCs/>
                <w:color w:val="FFFFFF"/>
                <w:sz w:val="18"/>
                <w:szCs w:val="18"/>
              </w:rPr>
              <w:t>التفاصيل</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العنوان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سياسة تضارب المصالح</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الرمز</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BOT-COI-006</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الإصدار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الإصدار الأول (1.0)</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تاريخ الاعتماد</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____ / ____ / ١٤٤٧هـ</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تاريخ السريان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تاريخ اعتماد المجلس</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تاريخ المراجعة التالية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بعد سنتين من الاعتماد أو عند تعديل المرجعيات</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الجهة المُعدة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الأمانة العامة لمجلس الأمناء</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الجهة المعتمدة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مجلس الأمناء</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مالك الوثيقة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أمين عام مجلس الأمناء</w:t>
            </w:r>
          </w:p>
        </w:tc>
      </w:tr>
      <w:tr w:rsidR="00B47E05">
        <w:tblPrEx>
          <w:tblCellMar>
            <w:top w:w="0" w:type="dxa"/>
            <w:bottom w:w="0" w:type="dxa"/>
          </w:tblCellMar>
        </w:tblPrEx>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تصنيف السرية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E87ED6" w:rsidP="008748F3">
            <w:r>
              <w:rPr>
                <w:color w:val="0E1A14"/>
                <w:sz w:val="17"/>
                <w:szCs w:val="17"/>
              </w:rPr>
              <w:t>وثيقة عامة</w:t>
            </w:r>
          </w:p>
        </w:tc>
      </w:tr>
    </w:tbl>
    <w:p w:rsidR="00B47E05" w:rsidRDefault="00B47E05" w:rsidP="008748F3">
      <w:pPr>
        <w:spacing w:before="120" w:after="120" w:line="200" w:lineRule="auto"/>
      </w:pPr>
    </w:p>
    <w:p w:rsidR="00B47E05" w:rsidRDefault="00E87ED6" w:rsidP="008748F3">
      <w:pPr>
        <w:spacing w:before="240" w:after="200"/>
      </w:pPr>
      <w:r>
        <w:rPr>
          <w:b/>
          <w:bCs/>
          <w:color w:val="1F5F3F"/>
        </w:rPr>
        <w:t>سجل المراجعات والتعديلات</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47E05">
        <w:tblPrEx>
          <w:tblCellMar>
            <w:top w:w="0" w:type="dxa"/>
            <w:bottom w:w="0" w:type="dxa"/>
          </w:tblCellMar>
        </w:tblPrEx>
        <w:trPr>
          <w:tblHeade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B47E05" w:rsidRDefault="00E87ED6" w:rsidP="008748F3">
            <w:r>
              <w:rPr>
                <w:b/>
                <w:bCs/>
                <w:color w:val="FFFFFF"/>
                <w:sz w:val="18"/>
                <w:szCs w:val="18"/>
              </w:rPr>
              <w:t>الإصدار</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B47E05" w:rsidRDefault="00E87ED6" w:rsidP="008748F3">
            <w:r>
              <w:rPr>
                <w:b/>
                <w:bCs/>
                <w:color w:val="FFFFFF"/>
                <w:sz w:val="18"/>
                <w:szCs w:val="18"/>
              </w:rPr>
              <w:t>التاريخ</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B47E05" w:rsidRDefault="00E87ED6" w:rsidP="008748F3">
            <w:r>
              <w:rPr>
                <w:b/>
                <w:bCs/>
                <w:color w:val="FFFFFF"/>
                <w:sz w:val="18"/>
                <w:szCs w:val="18"/>
              </w:rPr>
              <w:t>نوع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B47E05" w:rsidRDefault="00E87ED6" w:rsidP="008748F3">
            <w:r>
              <w:rPr>
                <w:b/>
                <w:bCs/>
                <w:color w:val="FFFFFF"/>
                <w:sz w:val="18"/>
                <w:szCs w:val="18"/>
              </w:rPr>
              <w:t>وصف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rsidR="00B47E05" w:rsidRDefault="00E87ED6" w:rsidP="008748F3">
            <w:r>
              <w:rPr>
                <w:b/>
                <w:bCs/>
                <w:color w:val="FFFFFF"/>
                <w:sz w:val="18"/>
                <w:szCs w:val="18"/>
              </w:rPr>
              <w:t>المعتمد</w:t>
            </w:r>
          </w:p>
        </w:tc>
      </w:tr>
      <w:tr w:rsidR="00B47E05">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1.0</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ربيع الآخر ١٤٤٧هـ</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إصدار أولي</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إصدار الوثيقة لأول مرة</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E87ED6" w:rsidP="008748F3">
            <w:r>
              <w:rPr>
                <w:color w:val="0E1A14"/>
                <w:sz w:val="17"/>
                <w:szCs w:val="17"/>
              </w:rPr>
              <w:t>مجلس الأمناء</w:t>
            </w:r>
          </w:p>
        </w:tc>
      </w:tr>
      <w:tr w:rsidR="00B47E05">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B47E05" w:rsidP="008748F3"/>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B47E05" w:rsidP="008748F3"/>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B47E05" w:rsidP="008748F3"/>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B47E05" w:rsidP="008748F3"/>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rsidR="00B47E05" w:rsidRDefault="00B47E05" w:rsidP="008748F3"/>
        </w:tc>
      </w:tr>
      <w:tr w:rsidR="00B47E05">
        <w:tblPrEx>
          <w:tblCellMar>
            <w:top w:w="0" w:type="dxa"/>
            <w:bottom w:w="0" w:type="dxa"/>
          </w:tblCellMar>
        </w:tblPrEx>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B47E05" w:rsidP="008748F3"/>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B47E05" w:rsidP="008748F3"/>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B47E05" w:rsidP="008748F3"/>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B47E05" w:rsidP="008748F3"/>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rsidR="00B47E05" w:rsidRDefault="00B47E05" w:rsidP="008748F3"/>
        </w:tc>
      </w:tr>
    </w:tbl>
    <w:p w:rsidR="00B47E05" w:rsidRDefault="00B47E05" w:rsidP="008748F3">
      <w:pPr>
        <w:spacing w:before="120" w:after="120" w:line="200" w:lineRule="auto"/>
      </w:pPr>
    </w:p>
    <w:p w:rsidR="00B47E05" w:rsidRDefault="00E87ED6" w:rsidP="008748F3">
      <w:pPr>
        <w:spacing w:before="240" w:after="200"/>
      </w:pPr>
      <w:r>
        <w:rPr>
          <w:b/>
          <w:bCs/>
          <w:color w:val="1F5F3F"/>
        </w:rPr>
        <w:t>المرجعيات النظامية والمعيارية</w:t>
      </w:r>
    </w:p>
    <w:p w:rsidR="00B47E05" w:rsidRDefault="00E87ED6" w:rsidP="008748F3">
      <w:pPr>
        <w:spacing w:before="60" w:after="60"/>
        <w:ind w:right="200"/>
      </w:pPr>
      <w:r>
        <w:rPr>
          <w:b/>
          <w:bCs/>
          <w:color w:val="B89855"/>
          <w:sz w:val="18"/>
          <w:szCs w:val="18"/>
        </w:rPr>
        <w:t xml:space="preserve">1. </w:t>
      </w:r>
      <w:r>
        <w:rPr>
          <w:b/>
          <w:bCs/>
          <w:color w:val="0E1A14"/>
          <w:sz w:val="18"/>
          <w:szCs w:val="18"/>
        </w:rPr>
        <w:t>نظام الجامعات</w:t>
      </w:r>
      <w:r>
        <w:rPr>
          <w:color w:val="6B7770"/>
          <w:sz w:val="18"/>
          <w:szCs w:val="18"/>
        </w:rPr>
        <w:t xml:space="preserve"> — </w:t>
      </w:r>
      <w:r>
        <w:rPr>
          <w:color w:val="6B7770"/>
          <w:sz w:val="16"/>
          <w:szCs w:val="16"/>
        </w:rPr>
        <w:t>م/٢٧</w:t>
      </w:r>
    </w:p>
    <w:p w:rsidR="00B47E05" w:rsidRDefault="00E87ED6" w:rsidP="008748F3">
      <w:pPr>
        <w:spacing w:before="60" w:after="60"/>
        <w:ind w:right="200"/>
      </w:pPr>
      <w:r>
        <w:rPr>
          <w:b/>
          <w:bCs/>
          <w:color w:val="B89855"/>
          <w:sz w:val="18"/>
          <w:szCs w:val="18"/>
        </w:rPr>
        <w:t xml:space="preserve">2. </w:t>
      </w:r>
      <w:r>
        <w:rPr>
          <w:b/>
          <w:bCs/>
          <w:color w:val="0E1A14"/>
          <w:sz w:val="18"/>
          <w:szCs w:val="18"/>
        </w:rPr>
        <w:t>ميثاق مجلس الأمناء</w:t>
      </w:r>
      <w:r>
        <w:rPr>
          <w:color w:val="6B7770"/>
          <w:sz w:val="18"/>
          <w:szCs w:val="18"/>
        </w:rPr>
        <w:t xml:space="preserve"> — </w:t>
      </w:r>
      <w:r>
        <w:rPr>
          <w:color w:val="6B7770"/>
          <w:sz w:val="16"/>
          <w:szCs w:val="16"/>
        </w:rPr>
        <w:t>BOT-CHR-001</w:t>
      </w:r>
    </w:p>
    <w:p w:rsidR="00B47E05" w:rsidRDefault="00E87ED6" w:rsidP="008748F3">
      <w:pPr>
        <w:spacing w:before="60" w:after="60"/>
        <w:ind w:right="200"/>
      </w:pPr>
      <w:r>
        <w:rPr>
          <w:b/>
          <w:bCs/>
          <w:color w:val="B89855"/>
          <w:sz w:val="18"/>
          <w:szCs w:val="18"/>
        </w:rPr>
        <w:t xml:space="preserve">3. </w:t>
      </w:r>
      <w:r>
        <w:rPr>
          <w:color w:val="0E1A14"/>
          <w:sz w:val="18"/>
          <w:szCs w:val="18"/>
        </w:rPr>
        <w:t>ميثاق الأخلاقيات والسلوكيات</w:t>
      </w:r>
      <w:r>
        <w:rPr>
          <w:color w:val="6B7770"/>
          <w:sz w:val="18"/>
          <w:szCs w:val="18"/>
        </w:rPr>
        <w:t xml:space="preserve"> — </w:t>
      </w:r>
      <w:r>
        <w:rPr>
          <w:color w:val="6B7770"/>
          <w:sz w:val="16"/>
          <w:szCs w:val="16"/>
        </w:rPr>
        <w:t>BOT-COC-005</w:t>
      </w:r>
    </w:p>
    <w:p w:rsidR="00B47E05" w:rsidRDefault="00E87ED6" w:rsidP="008748F3">
      <w:pPr>
        <w:spacing w:before="60" w:after="60"/>
        <w:ind w:right="200"/>
      </w:pPr>
      <w:r>
        <w:rPr>
          <w:b/>
          <w:bCs/>
          <w:color w:val="B89855"/>
          <w:sz w:val="18"/>
          <w:szCs w:val="18"/>
        </w:rPr>
        <w:t xml:space="preserve">4. </w:t>
      </w:r>
      <w:r>
        <w:rPr>
          <w:color w:val="0E1A14"/>
          <w:sz w:val="18"/>
          <w:szCs w:val="18"/>
        </w:rPr>
        <w:t>نظام مكافحة الرشوة السعودي</w:t>
      </w:r>
    </w:p>
    <w:p w:rsidR="00B47E05" w:rsidRDefault="00E87ED6" w:rsidP="008748F3">
      <w:pPr>
        <w:spacing w:before="60" w:after="60"/>
        <w:ind w:right="200"/>
      </w:pPr>
      <w:r>
        <w:rPr>
          <w:b/>
          <w:bCs/>
          <w:color w:val="B89855"/>
          <w:sz w:val="18"/>
          <w:szCs w:val="18"/>
        </w:rPr>
        <w:t xml:space="preserve">5. </w:t>
      </w:r>
      <w:r>
        <w:rPr>
          <w:color w:val="0E1A14"/>
          <w:sz w:val="18"/>
          <w:szCs w:val="18"/>
        </w:rPr>
        <w:t>هيئة الرقابة ومكافحة الفساد - نزاهة</w:t>
      </w:r>
    </w:p>
    <w:p w:rsidR="00B47E05" w:rsidRDefault="00E87ED6" w:rsidP="008748F3">
      <w:pPr>
        <w:spacing w:before="60" w:after="60"/>
        <w:ind w:right="200"/>
      </w:pPr>
      <w:r>
        <w:rPr>
          <w:b/>
          <w:bCs/>
          <w:color w:val="B89855"/>
          <w:sz w:val="18"/>
          <w:szCs w:val="18"/>
        </w:rPr>
        <w:lastRenderedPageBreak/>
        <w:t xml:space="preserve">6. </w:t>
      </w:r>
      <w:r>
        <w:rPr>
          <w:color w:val="0E1A14"/>
          <w:sz w:val="18"/>
          <w:szCs w:val="18"/>
        </w:rPr>
        <w:t xml:space="preserve">OECD </w:t>
      </w:r>
      <w:proofErr w:type="spellStart"/>
      <w:r>
        <w:rPr>
          <w:color w:val="0E1A14"/>
          <w:sz w:val="18"/>
          <w:szCs w:val="18"/>
        </w:rPr>
        <w:t>Guidelines</w:t>
      </w:r>
      <w:proofErr w:type="spellEnd"/>
      <w:r>
        <w:rPr>
          <w:color w:val="0E1A14"/>
          <w:sz w:val="18"/>
          <w:szCs w:val="18"/>
        </w:rPr>
        <w:t xml:space="preserve"> </w:t>
      </w:r>
      <w:proofErr w:type="spellStart"/>
      <w:r>
        <w:rPr>
          <w:color w:val="0E1A14"/>
          <w:sz w:val="18"/>
          <w:szCs w:val="18"/>
        </w:rPr>
        <w:t>for</w:t>
      </w:r>
      <w:proofErr w:type="spellEnd"/>
      <w:r>
        <w:rPr>
          <w:color w:val="0E1A14"/>
          <w:sz w:val="18"/>
          <w:szCs w:val="18"/>
        </w:rPr>
        <w:t xml:space="preserve"> </w:t>
      </w:r>
      <w:proofErr w:type="spellStart"/>
      <w:r>
        <w:rPr>
          <w:color w:val="0E1A14"/>
          <w:sz w:val="18"/>
          <w:szCs w:val="18"/>
        </w:rPr>
        <w:t>Managing</w:t>
      </w:r>
      <w:proofErr w:type="spellEnd"/>
      <w:r>
        <w:rPr>
          <w:color w:val="0E1A14"/>
          <w:sz w:val="18"/>
          <w:szCs w:val="18"/>
        </w:rPr>
        <w:t xml:space="preserve"> </w:t>
      </w:r>
      <w:proofErr w:type="spellStart"/>
      <w:r>
        <w:rPr>
          <w:color w:val="0E1A14"/>
          <w:sz w:val="18"/>
          <w:szCs w:val="18"/>
        </w:rPr>
        <w:t>Conflict</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Interest</w:t>
      </w:r>
      <w:proofErr w:type="spellEnd"/>
      <w:r>
        <w:rPr>
          <w:color w:val="0E1A14"/>
          <w:sz w:val="18"/>
          <w:szCs w:val="18"/>
        </w:rPr>
        <w:t xml:space="preserve"> </w:t>
      </w:r>
      <w:proofErr w:type="spellStart"/>
      <w:r>
        <w:rPr>
          <w:color w:val="0E1A14"/>
          <w:sz w:val="18"/>
          <w:szCs w:val="18"/>
        </w:rPr>
        <w:t>in</w:t>
      </w:r>
      <w:proofErr w:type="spellEnd"/>
      <w:r>
        <w:rPr>
          <w:color w:val="0E1A14"/>
          <w:sz w:val="18"/>
          <w:szCs w:val="18"/>
        </w:rPr>
        <w:t xml:space="preserve"> </w:t>
      </w:r>
      <w:proofErr w:type="spellStart"/>
      <w:r>
        <w:rPr>
          <w:color w:val="0E1A14"/>
          <w:sz w:val="18"/>
          <w:szCs w:val="18"/>
        </w:rPr>
        <w:t>Public</w:t>
      </w:r>
      <w:proofErr w:type="spellEnd"/>
      <w:r>
        <w:rPr>
          <w:color w:val="0E1A14"/>
          <w:sz w:val="18"/>
          <w:szCs w:val="18"/>
        </w:rPr>
        <w:t xml:space="preserve"> </w:t>
      </w:r>
      <w:proofErr w:type="spellStart"/>
      <w:r>
        <w:rPr>
          <w:color w:val="0E1A14"/>
          <w:sz w:val="18"/>
          <w:szCs w:val="18"/>
        </w:rPr>
        <w:t>Service</w:t>
      </w:r>
      <w:proofErr w:type="spellEnd"/>
    </w:p>
    <w:p w:rsidR="00B47E05" w:rsidRDefault="00E87ED6" w:rsidP="008748F3">
      <w:pPr>
        <w:spacing w:before="60" w:after="60"/>
        <w:ind w:right="200"/>
      </w:pPr>
      <w:r>
        <w:rPr>
          <w:b/>
          <w:bCs/>
          <w:color w:val="B89855"/>
          <w:sz w:val="18"/>
          <w:szCs w:val="18"/>
        </w:rPr>
        <w:t xml:space="preserve">7. </w:t>
      </w:r>
      <w:r>
        <w:rPr>
          <w:color w:val="0E1A14"/>
          <w:sz w:val="18"/>
          <w:szCs w:val="18"/>
        </w:rPr>
        <w:t xml:space="preserve">AGB </w:t>
      </w:r>
      <w:proofErr w:type="spellStart"/>
      <w:r>
        <w:rPr>
          <w:color w:val="0E1A14"/>
          <w:sz w:val="18"/>
          <w:szCs w:val="18"/>
        </w:rPr>
        <w:t>Statement</w:t>
      </w:r>
      <w:proofErr w:type="spellEnd"/>
      <w:r>
        <w:rPr>
          <w:color w:val="0E1A14"/>
          <w:sz w:val="18"/>
          <w:szCs w:val="18"/>
        </w:rPr>
        <w:t xml:space="preserve"> </w:t>
      </w:r>
      <w:proofErr w:type="spellStart"/>
      <w:r>
        <w:rPr>
          <w:color w:val="0E1A14"/>
          <w:sz w:val="18"/>
          <w:szCs w:val="18"/>
        </w:rPr>
        <w:t>on</w:t>
      </w:r>
      <w:proofErr w:type="spellEnd"/>
      <w:r>
        <w:rPr>
          <w:color w:val="0E1A14"/>
          <w:sz w:val="18"/>
          <w:szCs w:val="18"/>
        </w:rPr>
        <w:t xml:space="preserve"> </w:t>
      </w:r>
      <w:proofErr w:type="spellStart"/>
      <w:r>
        <w:rPr>
          <w:color w:val="0E1A14"/>
          <w:sz w:val="18"/>
          <w:szCs w:val="18"/>
        </w:rPr>
        <w:t>Conflict</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Interest</w:t>
      </w:r>
      <w:proofErr w:type="spellEnd"/>
    </w:p>
    <w:p w:rsidR="00B47E05" w:rsidRDefault="00E87ED6" w:rsidP="008748F3">
      <w:pPr>
        <w:spacing w:before="60" w:after="60"/>
        <w:ind w:right="200"/>
      </w:pPr>
      <w:r>
        <w:rPr>
          <w:b/>
          <w:bCs/>
          <w:color w:val="B89855"/>
          <w:sz w:val="18"/>
          <w:szCs w:val="18"/>
        </w:rPr>
        <w:t xml:space="preserve">8. </w:t>
      </w:r>
      <w:r>
        <w:rPr>
          <w:color w:val="0E1A14"/>
          <w:sz w:val="18"/>
          <w:szCs w:val="18"/>
        </w:rPr>
        <w:t xml:space="preserve">ICGN </w:t>
      </w:r>
      <w:proofErr w:type="spellStart"/>
      <w:r>
        <w:rPr>
          <w:color w:val="0E1A14"/>
          <w:sz w:val="18"/>
          <w:szCs w:val="18"/>
        </w:rPr>
        <w:t>Conflicts</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Interest</w:t>
      </w:r>
      <w:proofErr w:type="spellEnd"/>
      <w:r>
        <w:rPr>
          <w:color w:val="0E1A14"/>
          <w:sz w:val="18"/>
          <w:szCs w:val="18"/>
        </w:rPr>
        <w:t xml:space="preserve"> </w:t>
      </w:r>
      <w:proofErr w:type="spellStart"/>
      <w:r>
        <w:rPr>
          <w:color w:val="0E1A14"/>
          <w:sz w:val="18"/>
          <w:szCs w:val="18"/>
        </w:rPr>
        <w:t>Policy</w:t>
      </w:r>
      <w:proofErr w:type="spellEnd"/>
      <w:r>
        <w:rPr>
          <w:color w:val="6B7770"/>
          <w:sz w:val="18"/>
          <w:szCs w:val="18"/>
        </w:rPr>
        <w:t xml:space="preserve"> — </w:t>
      </w:r>
      <w:proofErr w:type="spellStart"/>
      <w:r>
        <w:rPr>
          <w:color w:val="6B7770"/>
          <w:sz w:val="16"/>
          <w:szCs w:val="16"/>
        </w:rPr>
        <w:t>International</w:t>
      </w:r>
      <w:proofErr w:type="spellEnd"/>
      <w:r>
        <w:rPr>
          <w:color w:val="6B7770"/>
          <w:sz w:val="16"/>
          <w:szCs w:val="16"/>
        </w:rPr>
        <w:t xml:space="preserve"> </w:t>
      </w:r>
      <w:proofErr w:type="spellStart"/>
      <w:r>
        <w:rPr>
          <w:color w:val="6B7770"/>
          <w:sz w:val="16"/>
          <w:szCs w:val="16"/>
        </w:rPr>
        <w:t>Corporate</w:t>
      </w:r>
      <w:proofErr w:type="spellEnd"/>
      <w:r>
        <w:rPr>
          <w:color w:val="6B7770"/>
          <w:sz w:val="16"/>
          <w:szCs w:val="16"/>
        </w:rPr>
        <w:t xml:space="preserve"> </w:t>
      </w:r>
      <w:proofErr w:type="spellStart"/>
      <w:r>
        <w:rPr>
          <w:color w:val="6B7770"/>
          <w:sz w:val="16"/>
          <w:szCs w:val="16"/>
        </w:rPr>
        <w:t>Governance</w:t>
      </w:r>
      <w:proofErr w:type="spellEnd"/>
      <w:r>
        <w:rPr>
          <w:color w:val="6B7770"/>
          <w:sz w:val="16"/>
          <w:szCs w:val="16"/>
        </w:rPr>
        <w:t xml:space="preserve"> </w:t>
      </w:r>
      <w:proofErr w:type="spellStart"/>
      <w:r>
        <w:rPr>
          <w:color w:val="6B7770"/>
          <w:sz w:val="16"/>
          <w:szCs w:val="16"/>
        </w:rPr>
        <w:t>Network</w:t>
      </w:r>
      <w:proofErr w:type="spellEnd"/>
    </w:p>
    <w:p w:rsidR="00B47E05" w:rsidRDefault="00E87ED6" w:rsidP="008748F3">
      <w:pPr>
        <w:spacing w:before="60" w:after="60"/>
        <w:ind w:right="200"/>
      </w:pPr>
      <w:r>
        <w:rPr>
          <w:b/>
          <w:bCs/>
          <w:color w:val="B89855"/>
          <w:sz w:val="18"/>
          <w:szCs w:val="18"/>
        </w:rPr>
        <w:t xml:space="preserve">9. </w:t>
      </w:r>
      <w:r>
        <w:rPr>
          <w:color w:val="0E1A14"/>
          <w:sz w:val="18"/>
          <w:szCs w:val="18"/>
        </w:rPr>
        <w:t xml:space="preserve">ISO 37001:2016 — </w:t>
      </w:r>
      <w:proofErr w:type="spellStart"/>
      <w:r>
        <w:rPr>
          <w:color w:val="0E1A14"/>
          <w:sz w:val="18"/>
          <w:szCs w:val="18"/>
        </w:rPr>
        <w:t>Anti-bribery</w:t>
      </w:r>
      <w:proofErr w:type="spellEnd"/>
      <w:r>
        <w:rPr>
          <w:color w:val="0E1A14"/>
          <w:sz w:val="18"/>
          <w:szCs w:val="18"/>
        </w:rPr>
        <w:t xml:space="preserve"> </w:t>
      </w:r>
      <w:proofErr w:type="spellStart"/>
      <w:r>
        <w:rPr>
          <w:color w:val="0E1A14"/>
          <w:sz w:val="18"/>
          <w:szCs w:val="18"/>
        </w:rPr>
        <w:t>Standards</w:t>
      </w:r>
      <w:proofErr w:type="spellEnd"/>
    </w:p>
    <w:p w:rsidR="00B47E05" w:rsidRDefault="00E87ED6" w:rsidP="008748F3">
      <w:pPr>
        <w:spacing w:before="60" w:after="60"/>
        <w:ind w:right="200"/>
      </w:pPr>
      <w:r>
        <w:rPr>
          <w:b/>
          <w:bCs/>
          <w:color w:val="B89855"/>
          <w:sz w:val="18"/>
          <w:szCs w:val="18"/>
        </w:rPr>
        <w:t xml:space="preserve">10. </w:t>
      </w:r>
      <w:proofErr w:type="spellStart"/>
      <w:r>
        <w:rPr>
          <w:color w:val="0E1A14"/>
          <w:sz w:val="18"/>
          <w:szCs w:val="18"/>
        </w:rPr>
        <w:t>Sarbanes-Oxley</w:t>
      </w:r>
      <w:proofErr w:type="spellEnd"/>
      <w:r>
        <w:rPr>
          <w:color w:val="0E1A14"/>
          <w:sz w:val="18"/>
          <w:szCs w:val="18"/>
        </w:rPr>
        <w:t xml:space="preserve"> </w:t>
      </w:r>
      <w:proofErr w:type="spellStart"/>
      <w:r>
        <w:rPr>
          <w:color w:val="0E1A14"/>
          <w:sz w:val="18"/>
          <w:szCs w:val="18"/>
        </w:rPr>
        <w:t>Act</w:t>
      </w:r>
      <w:proofErr w:type="spellEnd"/>
      <w:r>
        <w:rPr>
          <w:color w:val="0E1A14"/>
          <w:sz w:val="18"/>
          <w:szCs w:val="18"/>
        </w:rPr>
        <w:t xml:space="preserve"> — </w:t>
      </w:r>
      <w:proofErr w:type="spellStart"/>
      <w:r>
        <w:rPr>
          <w:color w:val="0E1A14"/>
          <w:sz w:val="18"/>
          <w:szCs w:val="18"/>
        </w:rPr>
        <w:t>Independence</w:t>
      </w:r>
      <w:proofErr w:type="spellEnd"/>
      <w:r>
        <w:rPr>
          <w:color w:val="0E1A14"/>
          <w:sz w:val="18"/>
          <w:szCs w:val="18"/>
        </w:rPr>
        <w:t xml:space="preserve"> </w:t>
      </w:r>
      <w:proofErr w:type="spellStart"/>
      <w:r>
        <w:rPr>
          <w:color w:val="0E1A14"/>
          <w:sz w:val="18"/>
          <w:szCs w:val="18"/>
        </w:rPr>
        <w:t>Requirements</w:t>
      </w:r>
      <w:proofErr w:type="spellEnd"/>
    </w:p>
    <w:p w:rsidR="00B47E05" w:rsidRDefault="00E87ED6" w:rsidP="008748F3">
      <w:pPr>
        <w:pageBreakBefore/>
      </w:pPr>
      <w:r>
        <w:lastRenderedPageBreak/>
        <w:br/>
      </w:r>
    </w:p>
    <w:p w:rsidR="00B47E05" w:rsidRDefault="00E87ED6" w:rsidP="008748F3">
      <w:pPr>
        <w:pBdr>
          <w:bottom w:val="single" w:sz="12" w:space="4" w:color="1F5F3F"/>
        </w:pBdr>
        <w:spacing w:before="240" w:after="240"/>
      </w:pPr>
      <w:r>
        <w:rPr>
          <w:b/>
          <w:bCs/>
          <w:color w:val="143F2A"/>
          <w:sz w:val="32"/>
          <w:szCs w:val="32"/>
        </w:rPr>
        <w:t>المحتويات</w:t>
      </w:r>
    </w:p>
    <w:p w:rsidR="00B47E05" w:rsidRDefault="00E87ED6" w:rsidP="008748F3">
      <w:pPr>
        <w:pBdr>
          <w:bottom w:val="dotted" w:sz="4" w:space="1" w:color="E5E7E5"/>
        </w:pBdr>
        <w:spacing w:before="200" w:after="80"/>
      </w:pPr>
      <w:r>
        <w:rPr>
          <w:b/>
          <w:bCs/>
          <w:color w:val="1F5F3F"/>
        </w:rPr>
        <w:t>الباب الأول: الإطار العام والتعريفات</w:t>
      </w:r>
    </w:p>
    <w:p w:rsidR="00B47E05" w:rsidRDefault="00E87ED6" w:rsidP="008748F3">
      <w:pPr>
        <w:pBdr>
          <w:bottom w:val="dotted" w:sz="4" w:space="1" w:color="E5E7E5"/>
        </w:pBdr>
        <w:spacing w:before="200" w:after="80"/>
      </w:pPr>
      <w:r>
        <w:rPr>
          <w:b/>
          <w:bCs/>
          <w:color w:val="1F5F3F"/>
        </w:rPr>
        <w:t>الباب الثاني: أنواع تضارب المصالح</w:t>
      </w:r>
    </w:p>
    <w:p w:rsidR="00B47E05" w:rsidRDefault="00E87ED6" w:rsidP="008748F3">
      <w:pPr>
        <w:pBdr>
          <w:bottom w:val="dotted" w:sz="4" w:space="1" w:color="E5E7E5"/>
        </w:pBdr>
        <w:spacing w:before="200" w:after="80"/>
      </w:pPr>
      <w:r>
        <w:rPr>
          <w:b/>
          <w:bCs/>
          <w:color w:val="1F5F3F"/>
        </w:rPr>
        <w:t>الباب الثالث: التزامات الإفصاح</w:t>
      </w:r>
    </w:p>
    <w:p w:rsidR="00B47E05" w:rsidRDefault="00E87ED6" w:rsidP="008748F3">
      <w:pPr>
        <w:pBdr>
          <w:bottom w:val="dotted" w:sz="4" w:space="1" w:color="E5E7E5"/>
        </w:pBdr>
        <w:spacing w:before="200" w:after="80"/>
      </w:pPr>
      <w:r>
        <w:rPr>
          <w:b/>
          <w:bCs/>
          <w:color w:val="1F5F3F"/>
        </w:rPr>
        <w:t>الباب الرابع: إدارة التضارب الفعلي</w:t>
      </w:r>
    </w:p>
    <w:p w:rsidR="00B47E05" w:rsidRDefault="00E87ED6" w:rsidP="008748F3">
      <w:pPr>
        <w:pBdr>
          <w:bottom w:val="dotted" w:sz="4" w:space="1" w:color="E5E7E5"/>
        </w:pBdr>
        <w:spacing w:before="200" w:after="80"/>
      </w:pPr>
      <w:r>
        <w:rPr>
          <w:b/>
          <w:bCs/>
          <w:color w:val="1F5F3F"/>
        </w:rPr>
        <w:t>الباب الخامس: الحالات الخاصة</w:t>
      </w:r>
    </w:p>
    <w:p w:rsidR="00B47E05" w:rsidRDefault="00E87ED6" w:rsidP="008748F3">
      <w:pPr>
        <w:pBdr>
          <w:bottom w:val="dotted" w:sz="4" w:space="1" w:color="E5E7E5"/>
        </w:pBdr>
        <w:spacing w:before="200" w:after="80"/>
      </w:pPr>
      <w:r>
        <w:rPr>
          <w:b/>
          <w:bCs/>
          <w:color w:val="1F5F3F"/>
        </w:rPr>
        <w:t>الباب السادس: السجل والمراجعة</w:t>
      </w:r>
    </w:p>
    <w:p w:rsidR="00B47E05" w:rsidRDefault="00E87ED6" w:rsidP="008748F3">
      <w:pPr>
        <w:pBdr>
          <w:bottom w:val="dotted" w:sz="4" w:space="1" w:color="E5E7E5"/>
        </w:pBdr>
        <w:spacing w:before="200" w:after="80"/>
      </w:pPr>
      <w:r>
        <w:rPr>
          <w:b/>
          <w:bCs/>
          <w:color w:val="1F5F3F"/>
        </w:rPr>
        <w:t>الباب السابع: المخالفات والجزاءات</w:t>
      </w:r>
    </w:p>
    <w:p w:rsidR="00B47E05" w:rsidRDefault="00E87ED6" w:rsidP="008748F3">
      <w:pPr>
        <w:pBdr>
          <w:bottom w:val="dotted" w:sz="4" w:space="1" w:color="E5E7E5"/>
        </w:pBdr>
        <w:spacing w:before="200" w:after="80"/>
      </w:pPr>
      <w:r>
        <w:rPr>
          <w:b/>
          <w:bCs/>
          <w:color w:val="1F5F3F"/>
        </w:rPr>
        <w:t>الباب الثامن: أحكام ختامية</w:t>
      </w:r>
    </w:p>
    <w:p w:rsidR="00B47E05" w:rsidRDefault="00E87ED6">
      <w:pPr>
        <w:pageBreakBefore/>
      </w:pPr>
      <w:r>
        <w:lastRenderedPageBreak/>
        <w:br/>
      </w:r>
    </w:p>
    <w:p w:rsidR="00B47E05" w:rsidRDefault="00E87ED6" w:rsidP="008748F3">
      <w:pPr>
        <w:pBdr>
          <w:bottom w:val="single" w:sz="12" w:space="4" w:color="1F5F3F"/>
        </w:pBdr>
        <w:spacing w:before="240" w:after="240"/>
      </w:pPr>
      <w:r>
        <w:rPr>
          <w:b/>
          <w:bCs/>
          <w:color w:val="143F2A"/>
          <w:sz w:val="28"/>
          <w:szCs w:val="28"/>
        </w:rPr>
        <w:t>تقديم</w:t>
      </w:r>
    </w:p>
    <w:p w:rsidR="00B47E05" w:rsidRDefault="00E87ED6" w:rsidP="008748F3">
      <w:pPr>
        <w:spacing w:before="120" w:after="120" w:line="380" w:lineRule="auto"/>
        <w:ind w:right="100"/>
      </w:pPr>
      <w:r>
        <w:rPr>
          <w:color w:val="0E1A14"/>
          <w:sz w:val="20"/>
          <w:szCs w:val="20"/>
        </w:rPr>
        <w:t xml:space="preserve">تُعد سياسة تضارب المصالح إحدى أهم سياسات الحوكمة في أي مؤسسة، </w:t>
      </w:r>
      <w:r>
        <w:rPr>
          <w:color w:val="0E1A14"/>
          <w:sz w:val="20"/>
          <w:szCs w:val="20"/>
        </w:rPr>
        <w:t>إذ تُعالج المخاطر التي قد تنشأ عندما تتداخل المصالح الشخصية للأعضاء مع مصالح المؤسسة، مما قد يؤثر على موضوعية واستقلالية القرارات.</w:t>
      </w:r>
    </w:p>
    <w:p w:rsidR="00B47E05" w:rsidRDefault="00E87ED6" w:rsidP="008748F3">
      <w:pPr>
        <w:spacing w:before="120" w:after="120" w:line="380" w:lineRule="auto"/>
        <w:ind w:right="100"/>
      </w:pPr>
      <w:r>
        <w:rPr>
          <w:color w:val="0E1A14"/>
          <w:sz w:val="20"/>
          <w:szCs w:val="20"/>
        </w:rPr>
        <w:t>تستند هذه السياسة إلى مبدأ أساسي: ليس كل تضارب فعلي يُمنع، فقد يكون كافياً إدارته بالإفصاح والامتناع، لكن إخفاء التضارب أو عد</w:t>
      </w:r>
      <w:r>
        <w:rPr>
          <w:color w:val="0E1A14"/>
          <w:sz w:val="20"/>
          <w:szCs w:val="20"/>
        </w:rPr>
        <w:t>م الإفصاح عنه يُعد إخلالاً جسيماً بميثاق الأخلاقيات.</w:t>
      </w:r>
    </w:p>
    <w:p w:rsidR="00B47E05" w:rsidRDefault="00E87ED6" w:rsidP="008748F3">
      <w:pPr>
        <w:spacing w:before="120" w:after="120" w:line="380" w:lineRule="auto"/>
        <w:ind w:right="100"/>
      </w:pPr>
      <w:r>
        <w:rPr>
          <w:b/>
          <w:bCs/>
          <w:color w:val="143F2A"/>
          <w:sz w:val="20"/>
          <w:szCs w:val="20"/>
        </w:rPr>
        <w:t>الهدف الجوهري ليس منع وجود التضارب (وهو أمر طبيعي في الحياة المهنية)، بل ضمان الشفافية في الإفصاح، والإدارة المهنية للحالات، وحماية موضوعية القرار.</w:t>
      </w:r>
    </w:p>
    <w:p w:rsidR="00B47E05" w:rsidRDefault="00E87ED6" w:rsidP="008748F3">
      <w:pPr>
        <w:spacing w:before="120" w:after="120" w:line="380" w:lineRule="auto"/>
        <w:ind w:right="100"/>
      </w:pPr>
      <w:r>
        <w:rPr>
          <w:color w:val="0E1A14"/>
          <w:sz w:val="20"/>
          <w:szCs w:val="20"/>
        </w:rPr>
        <w:t>تُلزم هذه السياسة جميع أعضاء المجلس وأعضاء اللجان والأم</w:t>
      </w:r>
      <w:r>
        <w:rPr>
          <w:color w:val="0E1A14"/>
          <w:sz w:val="20"/>
          <w:szCs w:val="20"/>
        </w:rPr>
        <w:t>انة العامة، وتسري كذلك على ذوي القربى من الدرجة الأولى وفق ما يحدده النظام.</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rsidR="00B47E05" w:rsidRDefault="00E87ED6" w:rsidP="008748F3">
            <w:pPr>
              <w:jc w:val="center"/>
            </w:pPr>
            <w:r>
              <w:rPr>
                <w:b/>
                <w:bCs/>
                <w:color w:val="B89855"/>
                <w:sz w:val="20"/>
                <w:szCs w:val="20"/>
              </w:rPr>
              <w:t xml:space="preserve">ℹ  </w:t>
            </w:r>
            <w:r>
              <w:rPr>
                <w:color w:val="0E1A14"/>
                <w:sz w:val="18"/>
                <w:szCs w:val="18"/>
              </w:rPr>
              <w:t>تتكامل هذه السياسة مع نموذج إقرار تضارب المصالح السنوي (BOT-FRM-009) ونموذج الإفصاح اللحظي (BOT-FRM-010)، ولا تُقرأ منفصلة عنهما.</w:t>
            </w:r>
          </w:p>
        </w:tc>
      </w:tr>
    </w:tbl>
    <w:p w:rsidR="00B47E05" w:rsidRDefault="00E87ED6">
      <w:pPr>
        <w:pageBreakBefore/>
      </w:pPr>
      <w:r>
        <w:lastRenderedPageBreak/>
        <w:br/>
      </w:r>
    </w:p>
    <w:p w:rsidR="00B47E05" w:rsidRDefault="00E87ED6">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B47E05" w:rsidRDefault="00E87ED6">
            <w:pPr>
              <w:spacing w:after="80" w:line="280" w:lineRule="auto"/>
              <w:jc w:val="center"/>
            </w:pPr>
            <w:r>
              <w:rPr>
                <w:b/>
                <w:bCs/>
                <w:color w:val="D4B574"/>
                <w:sz w:val="18"/>
                <w:szCs w:val="18"/>
              </w:rPr>
              <w:t>الباب الأول</w:t>
            </w:r>
          </w:p>
          <w:p w:rsidR="00B47E05" w:rsidRDefault="00E87ED6">
            <w:pPr>
              <w:spacing w:line="360" w:lineRule="auto"/>
              <w:jc w:val="center"/>
            </w:pPr>
            <w:r>
              <w:rPr>
                <w:b/>
                <w:bCs/>
                <w:color w:val="FFFFFF"/>
                <w:sz w:val="28"/>
                <w:szCs w:val="28"/>
              </w:rPr>
              <w:t>الإطار العام والتعريفات</w:t>
            </w:r>
          </w:p>
        </w:tc>
      </w:tr>
    </w:tbl>
    <w:p w:rsidR="00B47E05" w:rsidRDefault="00B47E05">
      <w:pPr>
        <w:spacing w:before="240" w:after="240"/>
        <w:jc w:val="right"/>
      </w:pPr>
    </w:p>
    <w:p w:rsidR="00B47E05" w:rsidRDefault="00E87ED6" w:rsidP="008748F3">
      <w:pPr>
        <w:spacing w:before="280" w:after="120"/>
      </w:pPr>
      <w:r>
        <w:rPr>
          <w:b/>
          <w:bCs/>
          <w:color w:val="1F5F3F"/>
          <w:sz w:val="20"/>
          <w:szCs w:val="20"/>
        </w:rPr>
        <w:t xml:space="preserve">المادة (١): </w:t>
      </w:r>
      <w:r>
        <w:rPr>
          <w:b/>
          <w:bCs/>
          <w:color w:val="143F2A"/>
          <w:sz w:val="20"/>
          <w:szCs w:val="20"/>
        </w:rPr>
        <w:t>تعريف تضارب المصالح</w:t>
      </w:r>
    </w:p>
    <w:p w:rsidR="00B47E05" w:rsidRDefault="00E87ED6" w:rsidP="008748F3">
      <w:pPr>
        <w:spacing w:before="60" w:after="80" w:line="380" w:lineRule="auto"/>
        <w:ind w:right="200"/>
      </w:pPr>
      <w:r>
        <w:rPr>
          <w:color w:val="0E1A14"/>
          <w:sz w:val="20"/>
          <w:szCs w:val="20"/>
        </w:rPr>
        <w:t>يُقصد بتضارب المصالح في هذه السياسة: أي وضع يكون فيه للعضو، أو لذويه، أو لجهة ترتبط به، مصلحة شخصية أو مهنية أو مالية مباشرة أو غير مباشرة، تتعارض أو قد تبدو متعارضة مع مصلحة الجامعة، بصورة قد تؤثر فعلياً أو ظاهرياً على موضو</w:t>
      </w:r>
      <w:r>
        <w:rPr>
          <w:color w:val="0E1A14"/>
          <w:sz w:val="20"/>
          <w:szCs w:val="20"/>
        </w:rPr>
        <w:t>عية قراره.</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rsidR="00B47E05" w:rsidRDefault="00E87ED6" w:rsidP="008748F3">
            <w:pPr>
              <w:jc w:val="center"/>
            </w:pPr>
            <w:r>
              <w:rPr>
                <w:b/>
                <w:bCs/>
                <w:color w:val="B89855"/>
                <w:sz w:val="20"/>
                <w:szCs w:val="20"/>
              </w:rPr>
              <w:t xml:space="preserve">◆  </w:t>
            </w:r>
            <w:r>
              <w:rPr>
                <w:color w:val="0E1A14"/>
                <w:sz w:val="18"/>
                <w:szCs w:val="18"/>
              </w:rPr>
              <w:t>يكفي وجود مظهر التضارب (</w:t>
            </w:r>
            <w:proofErr w:type="spellStart"/>
            <w:r>
              <w:rPr>
                <w:color w:val="0E1A14"/>
                <w:sz w:val="18"/>
                <w:szCs w:val="18"/>
              </w:rPr>
              <w:t>Appearance</w:t>
            </w:r>
            <w:proofErr w:type="spellEnd"/>
            <w:r>
              <w:rPr>
                <w:color w:val="0E1A14"/>
                <w:sz w:val="18"/>
                <w:szCs w:val="18"/>
              </w:rPr>
              <w:t xml:space="preserve"> </w:t>
            </w:r>
            <w:proofErr w:type="spellStart"/>
            <w:r>
              <w:rPr>
                <w:color w:val="0E1A14"/>
                <w:sz w:val="18"/>
                <w:szCs w:val="18"/>
              </w:rPr>
              <w:t>of</w:t>
            </w:r>
            <w:proofErr w:type="spellEnd"/>
            <w:r>
              <w:rPr>
                <w:color w:val="0E1A14"/>
                <w:sz w:val="18"/>
                <w:szCs w:val="18"/>
              </w:rPr>
              <w:t xml:space="preserve"> </w:t>
            </w:r>
            <w:proofErr w:type="spellStart"/>
            <w:r>
              <w:rPr>
                <w:color w:val="0E1A14"/>
                <w:sz w:val="18"/>
                <w:szCs w:val="18"/>
              </w:rPr>
              <w:t>Conflict</w:t>
            </w:r>
            <w:proofErr w:type="spellEnd"/>
            <w:r>
              <w:rPr>
                <w:color w:val="0E1A14"/>
                <w:sz w:val="18"/>
                <w:szCs w:val="18"/>
              </w:rPr>
              <w:t>) لتطبيق التزامات الإفصاح، حتى لو لم يكن التضارب فعلياً، لأن الحوكمة تتطلب ليس فقط عدم التحيز، بل أن يبدو الأمر كذلك.</w:t>
            </w:r>
          </w:p>
        </w:tc>
      </w:tr>
    </w:tbl>
    <w:p w:rsidR="00B47E05" w:rsidRDefault="00E87ED6" w:rsidP="008748F3">
      <w:pPr>
        <w:spacing w:before="280" w:after="120"/>
      </w:pPr>
      <w:r>
        <w:rPr>
          <w:b/>
          <w:bCs/>
          <w:color w:val="1F5F3F"/>
          <w:sz w:val="20"/>
          <w:szCs w:val="20"/>
        </w:rPr>
        <w:t xml:space="preserve">المادة (٢): </w:t>
      </w:r>
      <w:r>
        <w:rPr>
          <w:b/>
          <w:bCs/>
          <w:color w:val="143F2A"/>
          <w:sz w:val="20"/>
          <w:szCs w:val="20"/>
        </w:rPr>
        <w:t>أنواع التضارب وفق طبيعته</w:t>
      </w:r>
    </w:p>
    <w:p w:rsidR="00B47E05" w:rsidRDefault="00E87ED6" w:rsidP="008748F3">
      <w:pPr>
        <w:spacing w:before="60" w:after="80" w:line="380" w:lineRule="auto"/>
        <w:ind w:right="200"/>
      </w:pPr>
      <w:r>
        <w:rPr>
          <w:color w:val="0E1A14"/>
          <w:sz w:val="20"/>
          <w:szCs w:val="20"/>
        </w:rPr>
        <w:t>يُصنَّف التضارب وفق طبيعته إلى:</w:t>
      </w:r>
    </w:p>
    <w:p w:rsidR="00B47E05" w:rsidRDefault="00E87ED6" w:rsidP="008748F3">
      <w:pPr>
        <w:spacing w:before="40" w:after="40" w:line="360" w:lineRule="auto"/>
        <w:ind w:right="800"/>
      </w:pPr>
      <w:r>
        <w:rPr>
          <w:b/>
          <w:bCs/>
          <w:color w:val="B89855"/>
          <w:sz w:val="18"/>
          <w:szCs w:val="18"/>
        </w:rPr>
        <w:t xml:space="preserve">أ) </w:t>
      </w:r>
      <w:r>
        <w:rPr>
          <w:color w:val="0E1A14"/>
          <w:sz w:val="19"/>
          <w:szCs w:val="19"/>
        </w:rPr>
        <w:t>التضارب الفعلي (</w:t>
      </w:r>
      <w:proofErr w:type="spellStart"/>
      <w:r>
        <w:rPr>
          <w:color w:val="0E1A14"/>
          <w:sz w:val="19"/>
          <w:szCs w:val="19"/>
        </w:rPr>
        <w:t>Actual</w:t>
      </w:r>
      <w:proofErr w:type="spellEnd"/>
      <w:r>
        <w:rPr>
          <w:color w:val="0E1A14"/>
          <w:sz w:val="19"/>
          <w:szCs w:val="19"/>
        </w:rPr>
        <w:t>): تعارض حقيقي قائم بين المصلحتين الشخصية والمؤسسية.</w:t>
      </w:r>
    </w:p>
    <w:p w:rsidR="00B47E05" w:rsidRDefault="00E87ED6" w:rsidP="008748F3">
      <w:pPr>
        <w:spacing w:before="40" w:after="40" w:line="360" w:lineRule="auto"/>
        <w:ind w:right="800"/>
      </w:pPr>
      <w:r>
        <w:rPr>
          <w:b/>
          <w:bCs/>
          <w:color w:val="B89855"/>
          <w:sz w:val="18"/>
          <w:szCs w:val="18"/>
        </w:rPr>
        <w:t xml:space="preserve">ب) </w:t>
      </w:r>
      <w:r>
        <w:rPr>
          <w:color w:val="0E1A14"/>
          <w:sz w:val="19"/>
          <w:szCs w:val="19"/>
        </w:rPr>
        <w:t>التضارب المحتمل (</w:t>
      </w:r>
      <w:proofErr w:type="spellStart"/>
      <w:r>
        <w:rPr>
          <w:color w:val="0E1A14"/>
          <w:sz w:val="19"/>
          <w:szCs w:val="19"/>
        </w:rPr>
        <w:t>Potential</w:t>
      </w:r>
      <w:proofErr w:type="spellEnd"/>
      <w:r>
        <w:rPr>
          <w:color w:val="0E1A14"/>
          <w:sz w:val="19"/>
          <w:szCs w:val="19"/>
        </w:rPr>
        <w:t>): تعارض قد يحدث في المستقبل في حال تطورت ظروف معينة.</w:t>
      </w:r>
    </w:p>
    <w:p w:rsidR="00B47E05" w:rsidRDefault="00E87ED6" w:rsidP="008748F3">
      <w:pPr>
        <w:spacing w:before="40" w:after="40" w:line="360" w:lineRule="auto"/>
        <w:ind w:right="800"/>
      </w:pPr>
      <w:r>
        <w:rPr>
          <w:b/>
          <w:bCs/>
          <w:color w:val="B89855"/>
          <w:sz w:val="18"/>
          <w:szCs w:val="18"/>
        </w:rPr>
        <w:t xml:space="preserve">ج) </w:t>
      </w:r>
      <w:r>
        <w:rPr>
          <w:color w:val="0E1A14"/>
          <w:sz w:val="19"/>
          <w:szCs w:val="19"/>
        </w:rPr>
        <w:t>التضارب المتصور (</w:t>
      </w:r>
      <w:proofErr w:type="spellStart"/>
      <w:r>
        <w:rPr>
          <w:color w:val="0E1A14"/>
          <w:sz w:val="19"/>
          <w:szCs w:val="19"/>
        </w:rPr>
        <w:t>Perceived</w:t>
      </w:r>
      <w:proofErr w:type="spellEnd"/>
      <w:r>
        <w:rPr>
          <w:color w:val="0E1A14"/>
          <w:sz w:val="19"/>
          <w:szCs w:val="19"/>
        </w:rPr>
        <w:t>): يبدو للمراقب الخارجي وجود تضارب حتى لو لم يكن فعلياً.</w:t>
      </w:r>
    </w:p>
    <w:p w:rsidR="00B47E05" w:rsidRDefault="00E87ED6" w:rsidP="008748F3">
      <w:pPr>
        <w:spacing w:before="60" w:after="80" w:line="380" w:lineRule="auto"/>
        <w:ind w:right="200"/>
      </w:pPr>
      <w:r>
        <w:rPr>
          <w:color w:val="0E1A14"/>
          <w:sz w:val="20"/>
          <w:szCs w:val="20"/>
        </w:rPr>
        <w:t>تخضع كل هذه الأنواع لالتزامات الإفصاح، وتختلف فقط في نوع الإجراء المطلوب لإدارتها.</w:t>
      </w:r>
    </w:p>
    <w:p w:rsidR="00B47E05" w:rsidRDefault="00E87ED6" w:rsidP="008748F3">
      <w:pPr>
        <w:spacing w:before="280" w:after="120"/>
      </w:pPr>
      <w:r>
        <w:rPr>
          <w:b/>
          <w:bCs/>
          <w:color w:val="1F5F3F"/>
          <w:sz w:val="20"/>
          <w:szCs w:val="20"/>
        </w:rPr>
        <w:t xml:space="preserve">المادة (٣): </w:t>
      </w:r>
      <w:r>
        <w:rPr>
          <w:b/>
          <w:bCs/>
          <w:color w:val="143F2A"/>
          <w:sz w:val="20"/>
          <w:szCs w:val="20"/>
        </w:rPr>
        <w:t>نطاق السياسة</w:t>
      </w:r>
    </w:p>
    <w:p w:rsidR="00B47E05" w:rsidRDefault="00E87ED6" w:rsidP="008748F3">
      <w:pPr>
        <w:spacing w:before="60" w:after="80" w:line="380" w:lineRule="auto"/>
        <w:ind w:right="200"/>
      </w:pPr>
      <w:r>
        <w:rPr>
          <w:color w:val="0E1A14"/>
          <w:sz w:val="20"/>
          <w:szCs w:val="20"/>
        </w:rPr>
        <w:t>تسري هذه السياسة على:</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جميع أعضاء مجلس الأمناء بصفاتهم المختلفة.</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جميع أعضاء اللجان المنبثقة من غير الأعضاء.</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الأمين العام لمجلس الأمناء.</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جميع موظفي الأمانة العامة في حدود تعاملاتهم مع موضوعات المجلس.</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ذوي القربى من الدرجة الأولى للعضو (الزوج/ة، الأبناء، الوالدان).</w:t>
      </w:r>
    </w:p>
    <w:p w:rsidR="00B47E05" w:rsidRDefault="00E87ED6">
      <w:pPr>
        <w:shd w:val="clear" w:color="auto" w:fill="1F5F3F"/>
        <w:spacing w:before="480" w:after="120" w:line="360" w:lineRule="auto"/>
        <w:jc w:val="center"/>
      </w:pPr>
      <w:r>
        <w:rPr>
          <w:color w:val="0E1A14"/>
          <w:sz w:val="8"/>
          <w:szCs w:val="8"/>
        </w:rPr>
        <w:lastRenderedPageBreak/>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B47E05" w:rsidRDefault="00E87ED6">
            <w:pPr>
              <w:spacing w:after="80" w:line="280" w:lineRule="auto"/>
              <w:jc w:val="center"/>
            </w:pPr>
            <w:r>
              <w:rPr>
                <w:b/>
                <w:bCs/>
                <w:color w:val="D4B574"/>
                <w:sz w:val="18"/>
                <w:szCs w:val="18"/>
              </w:rPr>
              <w:t>الباب الثاني</w:t>
            </w:r>
          </w:p>
          <w:p w:rsidR="00B47E05" w:rsidRDefault="00E87ED6">
            <w:pPr>
              <w:spacing w:line="360" w:lineRule="auto"/>
              <w:jc w:val="center"/>
            </w:pPr>
            <w:r>
              <w:rPr>
                <w:b/>
                <w:bCs/>
                <w:color w:val="FFFFFF"/>
                <w:sz w:val="28"/>
                <w:szCs w:val="28"/>
              </w:rPr>
              <w:t>أنواع تضارب المصالح</w:t>
            </w:r>
          </w:p>
        </w:tc>
      </w:tr>
    </w:tbl>
    <w:p w:rsidR="00B47E05" w:rsidRDefault="00B47E05" w:rsidP="008748F3">
      <w:pPr>
        <w:spacing w:before="240" w:after="240"/>
      </w:pPr>
    </w:p>
    <w:p w:rsidR="00B47E05" w:rsidRDefault="00E87ED6" w:rsidP="008748F3">
      <w:pPr>
        <w:spacing w:before="280" w:after="120"/>
      </w:pPr>
      <w:r>
        <w:rPr>
          <w:b/>
          <w:bCs/>
          <w:color w:val="1F5F3F"/>
          <w:sz w:val="20"/>
          <w:szCs w:val="20"/>
        </w:rPr>
        <w:t xml:space="preserve">المادة (٤): </w:t>
      </w:r>
      <w:r>
        <w:rPr>
          <w:b/>
          <w:bCs/>
          <w:color w:val="143F2A"/>
          <w:sz w:val="20"/>
          <w:szCs w:val="20"/>
        </w:rPr>
        <w:t>التضارب المالي</w:t>
      </w:r>
    </w:p>
    <w:p w:rsidR="00B47E05" w:rsidRDefault="00E87ED6" w:rsidP="008748F3">
      <w:pPr>
        <w:spacing w:before="60" w:after="80" w:line="380" w:lineRule="auto"/>
        <w:ind w:right="200"/>
      </w:pPr>
      <w:r>
        <w:rPr>
          <w:color w:val="0E1A14"/>
          <w:sz w:val="20"/>
          <w:szCs w:val="20"/>
        </w:rPr>
        <w:t>يشمل التضارب المالي الحالات التالية:</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وجود استثمارات أو حصص ملكية في شركات تتعاقد مع الجامعة.</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وجود قروض أو مستحقات مالية بين العضو والجامعة.</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تلقي العضو مدفوعات أو أتعاب من جهات مرتبطة بالجامعة.</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وجود اتفاقيات استشارية بين العضو وأطراف ذات صلة بالجامعة.</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استفادة العضو أو ذويه من قرارا</w:t>
      </w:r>
      <w:r>
        <w:rPr>
          <w:color w:val="0E1A14"/>
          <w:sz w:val="19"/>
          <w:szCs w:val="19"/>
        </w:rPr>
        <w:t>ت مالية للمجلس.</w:t>
      </w:r>
    </w:p>
    <w:p w:rsidR="00B47E05" w:rsidRDefault="00E87ED6" w:rsidP="008748F3">
      <w:pPr>
        <w:spacing w:before="280" w:after="120"/>
      </w:pPr>
      <w:r>
        <w:rPr>
          <w:b/>
          <w:bCs/>
          <w:color w:val="1F5F3F"/>
          <w:sz w:val="20"/>
          <w:szCs w:val="20"/>
        </w:rPr>
        <w:t xml:space="preserve">المادة (٥): </w:t>
      </w:r>
      <w:r>
        <w:rPr>
          <w:b/>
          <w:bCs/>
          <w:color w:val="143F2A"/>
          <w:sz w:val="20"/>
          <w:szCs w:val="20"/>
        </w:rPr>
        <w:t>التضارب الوظيفي</w:t>
      </w:r>
    </w:p>
    <w:p w:rsidR="00B47E05" w:rsidRDefault="00E87ED6" w:rsidP="008748F3">
      <w:pPr>
        <w:spacing w:before="60" w:after="80" w:line="380" w:lineRule="auto"/>
        <w:ind w:right="200"/>
      </w:pPr>
      <w:r>
        <w:rPr>
          <w:color w:val="0E1A14"/>
          <w:sz w:val="20"/>
          <w:szCs w:val="20"/>
        </w:rPr>
        <w:t>يشمل التضارب الوظيفي:</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العضوية في مجالس إدارات لشركات منافسة أو متعاملة مع الجامعة.</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العمل التنفيذي لدى جهة لها علاقة تعاقدية أو تنافسية.</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الاستشارات المهنية لجهات تتعامل مع الجامعة.</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الأنشطة الأكاديمية في جامعات منافسة في نفس المنطقة الجغرافية.</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العمل في وظائف رقابية أو تنظيمية تشمل الجامعة.</w:t>
      </w:r>
    </w:p>
    <w:p w:rsidR="00B47E05" w:rsidRDefault="00E87ED6" w:rsidP="008748F3">
      <w:pPr>
        <w:spacing w:before="280" w:after="120"/>
      </w:pPr>
      <w:r>
        <w:rPr>
          <w:b/>
          <w:bCs/>
          <w:color w:val="1F5F3F"/>
          <w:sz w:val="20"/>
          <w:szCs w:val="20"/>
        </w:rPr>
        <w:t xml:space="preserve">المادة (٦): </w:t>
      </w:r>
      <w:r>
        <w:rPr>
          <w:b/>
          <w:bCs/>
          <w:color w:val="143F2A"/>
          <w:sz w:val="20"/>
          <w:szCs w:val="20"/>
        </w:rPr>
        <w:t>التضارب العائلي والشخصي</w:t>
      </w:r>
    </w:p>
    <w:p w:rsidR="00B47E05" w:rsidRDefault="00E87ED6" w:rsidP="008748F3">
      <w:pPr>
        <w:spacing w:before="60" w:after="80" w:line="380" w:lineRule="auto"/>
        <w:ind w:right="200"/>
      </w:pPr>
      <w:r>
        <w:rPr>
          <w:color w:val="0E1A14"/>
          <w:sz w:val="20"/>
          <w:szCs w:val="20"/>
        </w:rPr>
        <w:t>يشمل التضارب العائلي والشخصي:</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وجود قرابة من الدرجة الأولى مع منسوب في الجامعة.</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وجود قرابة مع مرشحين لمناصب أو مكافآت.</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علاقات شخصية وثيقة (صداقة قوية) قد تؤثر على القرار.</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العداوات الشخصية المعلنة مع أطراف معنية.</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وجود علاقات شراكة سابقة أو نزاعات قانونية.</w:t>
      </w:r>
    </w:p>
    <w:p w:rsidR="00B47E05" w:rsidRDefault="00E87ED6" w:rsidP="008748F3">
      <w:pPr>
        <w:spacing w:before="280" w:after="120"/>
      </w:pPr>
      <w:r>
        <w:rPr>
          <w:b/>
          <w:bCs/>
          <w:color w:val="1F5F3F"/>
          <w:sz w:val="20"/>
          <w:szCs w:val="20"/>
        </w:rPr>
        <w:t xml:space="preserve">المادة (٧): </w:t>
      </w:r>
      <w:r>
        <w:rPr>
          <w:b/>
          <w:bCs/>
          <w:color w:val="143F2A"/>
          <w:sz w:val="20"/>
          <w:szCs w:val="20"/>
        </w:rPr>
        <w:t>التضارب السياسي والأيديولوجي</w:t>
      </w:r>
    </w:p>
    <w:p w:rsidR="00B47E05" w:rsidRDefault="00E87ED6" w:rsidP="008748F3">
      <w:pPr>
        <w:spacing w:before="60" w:after="120" w:line="380" w:lineRule="auto"/>
        <w:ind w:right="200"/>
      </w:pPr>
      <w:r>
        <w:rPr>
          <w:color w:val="0E1A14"/>
          <w:sz w:val="20"/>
          <w:szCs w:val="20"/>
        </w:rPr>
        <w:lastRenderedPageBreak/>
        <w:t>يشمل وجود مواقف سياسية أو أيديو</w:t>
      </w:r>
      <w:r>
        <w:rPr>
          <w:color w:val="0E1A14"/>
          <w:sz w:val="20"/>
          <w:szCs w:val="20"/>
        </w:rPr>
        <w:t>لوجية معلنة قد تؤثر على القرارات في الموضوعات ذات الصلة، وعلى العضو الإفصاح عنها عند مناقشة موضوعات حساسة.</w:t>
      </w:r>
    </w:p>
    <w:p w:rsidR="00B47E05" w:rsidRDefault="00E87ED6">
      <w:pPr>
        <w:pageBreakBefore/>
      </w:pPr>
      <w:r>
        <w:lastRenderedPageBreak/>
        <w:br/>
      </w:r>
    </w:p>
    <w:p w:rsidR="00B47E05" w:rsidRDefault="00E87ED6">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B47E05" w:rsidRDefault="00E87ED6">
            <w:pPr>
              <w:spacing w:after="80" w:line="280" w:lineRule="auto"/>
              <w:jc w:val="center"/>
            </w:pPr>
            <w:r>
              <w:rPr>
                <w:b/>
                <w:bCs/>
                <w:color w:val="D4B574"/>
                <w:sz w:val="18"/>
                <w:szCs w:val="18"/>
              </w:rPr>
              <w:t>الباب الثالث</w:t>
            </w:r>
          </w:p>
          <w:p w:rsidR="00B47E05" w:rsidRDefault="00E87ED6">
            <w:pPr>
              <w:spacing w:line="360" w:lineRule="auto"/>
              <w:jc w:val="center"/>
            </w:pPr>
            <w:r>
              <w:rPr>
                <w:b/>
                <w:bCs/>
                <w:color w:val="FFFFFF"/>
                <w:sz w:val="28"/>
                <w:szCs w:val="28"/>
              </w:rPr>
              <w:t>التزامات الإفصاح</w:t>
            </w:r>
          </w:p>
        </w:tc>
      </w:tr>
    </w:tbl>
    <w:p w:rsidR="00B47E05" w:rsidRDefault="00B47E05" w:rsidP="008748F3">
      <w:pPr>
        <w:spacing w:before="240" w:after="240"/>
      </w:pPr>
    </w:p>
    <w:p w:rsidR="00B47E05" w:rsidRDefault="00E87ED6" w:rsidP="008748F3">
      <w:pPr>
        <w:spacing w:before="280" w:after="120"/>
      </w:pPr>
      <w:r>
        <w:rPr>
          <w:b/>
          <w:bCs/>
          <w:color w:val="1F5F3F"/>
          <w:sz w:val="20"/>
          <w:szCs w:val="20"/>
        </w:rPr>
        <w:t xml:space="preserve">المادة (٨): </w:t>
      </w:r>
      <w:r>
        <w:rPr>
          <w:b/>
          <w:bCs/>
          <w:color w:val="143F2A"/>
          <w:sz w:val="20"/>
          <w:szCs w:val="20"/>
        </w:rPr>
        <w:t>الإفصاح السنوي</w:t>
      </w:r>
    </w:p>
    <w:p w:rsidR="00B47E05" w:rsidRDefault="00E87ED6" w:rsidP="008748F3">
      <w:pPr>
        <w:spacing w:before="60" w:after="80" w:line="380" w:lineRule="auto"/>
        <w:ind w:right="200"/>
      </w:pPr>
      <w:r>
        <w:rPr>
          <w:color w:val="0E1A14"/>
          <w:sz w:val="20"/>
          <w:szCs w:val="20"/>
        </w:rPr>
        <w:t>يلتزم كل عضو بتقديم إقرار سنوي شامل عن تضارب المصالح وفق ما يلي:</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يُقدم الإقرار خلال (٣٠) يوماً من بداية كل سنة هجرية.</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يُستخدم نموذج إقرار تضارب المصالح السنوي (BOT-FRM-009).</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يُصرح العضو بكامل ارتباطاته الوظيفية والمالية والعائلية.</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يُجدد الإقرار سنوياً حتى مع عدم تغير المعطيات.</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 xml:space="preserve">تُحفظ الإقرارات بسرية تامة لدى </w:t>
      </w:r>
      <w:r>
        <w:rPr>
          <w:color w:val="0E1A14"/>
          <w:sz w:val="19"/>
          <w:szCs w:val="19"/>
        </w:rPr>
        <w:t>لجنة الحوكمة.</w:t>
      </w:r>
    </w:p>
    <w:p w:rsidR="00B47E05" w:rsidRDefault="00E87ED6" w:rsidP="008748F3">
      <w:pPr>
        <w:spacing w:before="280" w:after="120"/>
      </w:pPr>
      <w:r>
        <w:rPr>
          <w:b/>
          <w:bCs/>
          <w:color w:val="1F5F3F"/>
          <w:sz w:val="20"/>
          <w:szCs w:val="20"/>
        </w:rPr>
        <w:t xml:space="preserve">المادة (٩): </w:t>
      </w:r>
      <w:r>
        <w:rPr>
          <w:b/>
          <w:bCs/>
          <w:color w:val="143F2A"/>
          <w:sz w:val="20"/>
          <w:szCs w:val="20"/>
        </w:rPr>
        <w:t>الإفصاح اللحظي</w:t>
      </w:r>
    </w:p>
    <w:p w:rsidR="00B47E05" w:rsidRDefault="00E87ED6" w:rsidP="008748F3">
      <w:pPr>
        <w:spacing w:before="60" w:after="80" w:line="380" w:lineRule="auto"/>
        <w:ind w:right="200"/>
      </w:pPr>
      <w:r>
        <w:rPr>
          <w:color w:val="0E1A14"/>
          <w:sz w:val="20"/>
          <w:szCs w:val="20"/>
        </w:rPr>
        <w:t>بالإضافة للإفصاح السنوي، يلتزم العضو بإفصاح فوري وفق ما يلي:</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فور علمه بأي تضارب طارئ حتى قبل اجتماع المجلس.</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قبل بدء النقاش في أي بند ينطوي على تضارب.</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يُستخدم نموذج الإفصاح اللحظي (BOT-FRM-010).</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يُسجَّل ا</w:t>
      </w:r>
      <w:r>
        <w:rPr>
          <w:color w:val="0E1A14"/>
          <w:sz w:val="19"/>
          <w:szCs w:val="19"/>
        </w:rPr>
        <w:t>لإفصاح في محضر الاجتماع بصورة واضحة.</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تُقدَّم تفاصيل التضارب وطبيعته للمجلس.</w:t>
      </w:r>
    </w:p>
    <w:p w:rsidR="00B47E05" w:rsidRDefault="00E87ED6" w:rsidP="008748F3">
      <w:pPr>
        <w:spacing w:before="280" w:after="120"/>
      </w:pPr>
      <w:r>
        <w:rPr>
          <w:b/>
          <w:bCs/>
          <w:color w:val="1F5F3F"/>
          <w:sz w:val="20"/>
          <w:szCs w:val="20"/>
        </w:rPr>
        <w:t xml:space="preserve">المادة (١٠): </w:t>
      </w:r>
      <w:r>
        <w:rPr>
          <w:b/>
          <w:bCs/>
          <w:color w:val="143F2A"/>
          <w:sz w:val="20"/>
          <w:szCs w:val="20"/>
        </w:rPr>
        <w:t>متطلبات الإفصاح المطوّل</w:t>
      </w:r>
    </w:p>
    <w:p w:rsidR="00B47E05" w:rsidRDefault="00E87ED6" w:rsidP="008748F3">
      <w:pPr>
        <w:spacing w:before="60" w:after="80" w:line="380" w:lineRule="auto"/>
        <w:ind w:right="200"/>
      </w:pPr>
      <w:r>
        <w:rPr>
          <w:color w:val="0E1A14"/>
          <w:sz w:val="20"/>
          <w:szCs w:val="20"/>
        </w:rPr>
        <w:t>يلتزم العضو بإفصاح مفصل عن:</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جميع العضويات في مجالس إدارات أخرى مع تواريخ بدئها وانتهائها.</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جميع الاستشارات والأعمال الاحترافية الجارية.</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الاستثمارات والأسهم في شركات قد تتعامل مع الجامعة.</w:t>
      </w:r>
    </w:p>
    <w:p w:rsidR="00B47E05" w:rsidRDefault="00E87ED6" w:rsidP="008748F3">
      <w:pPr>
        <w:spacing w:before="40" w:after="40" w:line="360" w:lineRule="auto"/>
        <w:ind w:right="600"/>
      </w:pPr>
      <w:r>
        <w:rPr>
          <w:b/>
          <w:bCs/>
          <w:color w:val="B89855"/>
          <w:sz w:val="18"/>
          <w:szCs w:val="18"/>
        </w:rPr>
        <w:lastRenderedPageBreak/>
        <w:t xml:space="preserve">4. </w:t>
      </w:r>
      <w:r>
        <w:rPr>
          <w:color w:val="0E1A14"/>
          <w:sz w:val="19"/>
          <w:szCs w:val="19"/>
        </w:rPr>
        <w:t>الأقارب من الدرجة الأولى ممن لديهم علاقة بالجامعة.</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العقود والاتفاقيات الجارية مع الجامعة (إن وجدت).</w:t>
      </w:r>
    </w:p>
    <w:p w:rsidR="00B47E05" w:rsidRDefault="00E87ED6" w:rsidP="008748F3">
      <w:pPr>
        <w:spacing w:before="40" w:after="40" w:line="360" w:lineRule="auto"/>
        <w:ind w:right="600"/>
      </w:pPr>
      <w:r>
        <w:rPr>
          <w:b/>
          <w:bCs/>
          <w:color w:val="B89855"/>
          <w:sz w:val="18"/>
          <w:szCs w:val="18"/>
        </w:rPr>
        <w:t xml:space="preserve">6. </w:t>
      </w:r>
      <w:r>
        <w:rPr>
          <w:color w:val="0E1A14"/>
          <w:sz w:val="19"/>
          <w:szCs w:val="19"/>
        </w:rPr>
        <w:t>أي مدفوعات أو هدايا تجاوزت السقف المحدد.</w:t>
      </w:r>
    </w:p>
    <w:p w:rsidR="00B47E05" w:rsidRDefault="00E87ED6" w:rsidP="008748F3">
      <w:pPr>
        <w:spacing w:before="280" w:after="120"/>
      </w:pPr>
      <w:r>
        <w:rPr>
          <w:b/>
          <w:bCs/>
          <w:color w:val="1F5F3F"/>
          <w:sz w:val="20"/>
          <w:szCs w:val="20"/>
        </w:rPr>
        <w:t xml:space="preserve">المادة (١١): </w:t>
      </w:r>
      <w:r>
        <w:rPr>
          <w:b/>
          <w:bCs/>
          <w:color w:val="143F2A"/>
          <w:sz w:val="20"/>
          <w:szCs w:val="20"/>
        </w:rPr>
        <w:t>حدود الإفصاح</w:t>
      </w:r>
    </w:p>
    <w:p w:rsidR="00B47E05" w:rsidRDefault="00E87ED6" w:rsidP="008748F3">
      <w:pPr>
        <w:spacing w:before="60" w:after="120" w:line="380" w:lineRule="auto"/>
        <w:ind w:right="200"/>
      </w:pPr>
      <w:r>
        <w:rPr>
          <w:color w:val="0E1A14"/>
          <w:sz w:val="20"/>
          <w:szCs w:val="20"/>
        </w:rPr>
        <w:t>لا يُلزَم العضو بالإفصاح عن المعلومات التي تشكل سرية مهنية في عمله الأساسي، شريطة ألا يكون لها أثر مباشر على موضوع معروض على المجلس.</w:t>
      </w:r>
    </w:p>
    <w:p w:rsidR="00B47E05" w:rsidRDefault="00E87ED6">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B47E05" w:rsidRDefault="00E87ED6">
            <w:pPr>
              <w:spacing w:after="80" w:line="280" w:lineRule="auto"/>
              <w:jc w:val="center"/>
            </w:pPr>
            <w:r>
              <w:rPr>
                <w:b/>
                <w:bCs/>
                <w:color w:val="D4B574"/>
                <w:sz w:val="18"/>
                <w:szCs w:val="18"/>
              </w:rPr>
              <w:t>الباب الرابع</w:t>
            </w:r>
          </w:p>
          <w:p w:rsidR="00B47E05" w:rsidRDefault="00E87ED6">
            <w:pPr>
              <w:spacing w:line="360" w:lineRule="auto"/>
              <w:jc w:val="center"/>
            </w:pPr>
            <w:r>
              <w:rPr>
                <w:b/>
                <w:bCs/>
                <w:color w:val="FFFFFF"/>
                <w:sz w:val="28"/>
                <w:szCs w:val="28"/>
              </w:rPr>
              <w:t>إدارة التضارب الفعلي</w:t>
            </w:r>
          </w:p>
        </w:tc>
      </w:tr>
    </w:tbl>
    <w:p w:rsidR="00B47E05" w:rsidRDefault="00B47E05" w:rsidP="008748F3">
      <w:pPr>
        <w:spacing w:before="240" w:after="240"/>
      </w:pPr>
    </w:p>
    <w:p w:rsidR="00B47E05" w:rsidRDefault="00E87ED6" w:rsidP="008748F3">
      <w:pPr>
        <w:spacing w:before="280" w:after="120"/>
      </w:pPr>
      <w:r>
        <w:rPr>
          <w:b/>
          <w:bCs/>
          <w:color w:val="1F5F3F"/>
          <w:sz w:val="20"/>
          <w:szCs w:val="20"/>
        </w:rPr>
        <w:t xml:space="preserve">المادة (١٢): </w:t>
      </w:r>
      <w:r>
        <w:rPr>
          <w:b/>
          <w:bCs/>
          <w:color w:val="143F2A"/>
          <w:sz w:val="20"/>
          <w:szCs w:val="20"/>
        </w:rPr>
        <w:t>إجراءات التعامل مع التضارب</w:t>
      </w:r>
    </w:p>
    <w:p w:rsidR="00B47E05" w:rsidRDefault="00E87ED6" w:rsidP="008748F3">
      <w:pPr>
        <w:spacing w:before="60" w:after="80" w:line="380" w:lineRule="auto"/>
        <w:ind w:right="200"/>
      </w:pPr>
      <w:r>
        <w:rPr>
          <w:color w:val="0E1A14"/>
          <w:sz w:val="20"/>
          <w:szCs w:val="20"/>
        </w:rPr>
        <w:t>عند ثبوت وجود تضارب، تُتبع الإجراءات التالية:</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إفصاح العضو الفوري بالتضارب وطبيعته.</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فحص لجنة الحوكمة لطبيعة وحدة التضارب.</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تحديد الإجراء المناسب وفق درجة التضارب.</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تطبيق الإجراء وتوثيقه في محضر الاجتماع.</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متابعة استمرار التضارب أو زواله.</w:t>
      </w:r>
    </w:p>
    <w:p w:rsidR="00B47E05" w:rsidRDefault="00E87ED6" w:rsidP="008748F3">
      <w:pPr>
        <w:spacing w:before="280" w:after="120"/>
      </w:pPr>
      <w:r>
        <w:rPr>
          <w:b/>
          <w:bCs/>
          <w:color w:val="1F5F3F"/>
          <w:sz w:val="20"/>
          <w:szCs w:val="20"/>
        </w:rPr>
        <w:t xml:space="preserve">المادة (١٣): </w:t>
      </w:r>
      <w:r>
        <w:rPr>
          <w:b/>
          <w:bCs/>
          <w:color w:val="143F2A"/>
          <w:sz w:val="20"/>
          <w:szCs w:val="20"/>
        </w:rPr>
        <w:t>خيارات الإجراء</w:t>
      </w:r>
    </w:p>
    <w:p w:rsidR="00B47E05" w:rsidRDefault="00E87ED6" w:rsidP="008748F3">
      <w:pPr>
        <w:spacing w:before="60" w:after="80" w:line="380" w:lineRule="auto"/>
        <w:ind w:right="200"/>
      </w:pPr>
      <w:r>
        <w:rPr>
          <w:color w:val="0E1A14"/>
          <w:sz w:val="20"/>
          <w:szCs w:val="20"/>
        </w:rPr>
        <w:t>تشمل خيارات الإجراء المتاحة:</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الإفصاح فقط مع الاستمرار في المداولة والتصويت.</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الانسحاب من التصويت مع الاستمرار في النقاش.</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الانسحاب الكامل من البند (نقاش وتصويت).</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الانسحاب من البند والاجتماع كاملاً.</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 xml:space="preserve">في حالات التضارب </w:t>
      </w:r>
      <w:r>
        <w:rPr>
          <w:color w:val="0E1A14"/>
          <w:sz w:val="19"/>
          <w:szCs w:val="19"/>
        </w:rPr>
        <w:t>الشديد: الاستقالة من العضوية.</w:t>
      </w:r>
    </w:p>
    <w:p w:rsidR="00B47E05" w:rsidRDefault="00E87ED6" w:rsidP="008748F3">
      <w:pPr>
        <w:spacing w:before="280" w:after="120"/>
      </w:pPr>
      <w:r>
        <w:rPr>
          <w:b/>
          <w:bCs/>
          <w:color w:val="1F5F3F"/>
          <w:sz w:val="20"/>
          <w:szCs w:val="20"/>
        </w:rPr>
        <w:t xml:space="preserve">المادة (١٤): </w:t>
      </w:r>
      <w:r>
        <w:rPr>
          <w:b/>
          <w:bCs/>
          <w:color w:val="143F2A"/>
          <w:sz w:val="20"/>
          <w:szCs w:val="20"/>
        </w:rPr>
        <w:t>معايير اختيار الإجراء</w:t>
      </w:r>
    </w:p>
    <w:p w:rsidR="00B47E05" w:rsidRDefault="00E87ED6" w:rsidP="008748F3">
      <w:pPr>
        <w:spacing w:before="60" w:after="80" w:line="380" w:lineRule="auto"/>
        <w:ind w:right="200"/>
      </w:pPr>
      <w:r>
        <w:rPr>
          <w:color w:val="0E1A14"/>
          <w:sz w:val="20"/>
          <w:szCs w:val="20"/>
        </w:rPr>
        <w:t>تُحدد لجنة الحوكمة الإجراء المناسب وفق المعايير التالية:</w:t>
      </w:r>
    </w:p>
    <w:p w:rsidR="00B47E05" w:rsidRDefault="00E87ED6" w:rsidP="008748F3">
      <w:pPr>
        <w:spacing w:before="40" w:after="40" w:line="360" w:lineRule="auto"/>
        <w:ind w:right="600"/>
      </w:pPr>
      <w:r>
        <w:rPr>
          <w:b/>
          <w:bCs/>
          <w:color w:val="B89855"/>
          <w:sz w:val="18"/>
          <w:szCs w:val="18"/>
        </w:rPr>
        <w:lastRenderedPageBreak/>
        <w:t xml:space="preserve">1. </w:t>
      </w:r>
      <w:r>
        <w:rPr>
          <w:color w:val="0E1A14"/>
          <w:sz w:val="19"/>
          <w:szCs w:val="19"/>
        </w:rPr>
        <w:t>حدة التضارب (مالي مباشر / علاقة عائلية / مظهر فقط).</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الأثر المالي المتوقع على العضو أو ذويه.</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 xml:space="preserve">طبيعة القرار المتخذ (استراتيجي / </w:t>
      </w:r>
      <w:r>
        <w:rPr>
          <w:color w:val="0E1A14"/>
          <w:sz w:val="19"/>
          <w:szCs w:val="19"/>
        </w:rPr>
        <w:t>مالي / إجرائي).</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تأثير القرار على وضع التضارب.</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وجود سوابق مماثلة وكيفية معالجتها.</w:t>
      </w:r>
    </w:p>
    <w:p w:rsidR="00B47E05" w:rsidRDefault="00E87ED6" w:rsidP="008748F3">
      <w:pPr>
        <w:spacing w:before="280" w:after="120"/>
      </w:pPr>
      <w:r>
        <w:rPr>
          <w:b/>
          <w:bCs/>
          <w:color w:val="1F5F3F"/>
          <w:sz w:val="20"/>
          <w:szCs w:val="20"/>
        </w:rPr>
        <w:t xml:space="preserve">المادة (١٥): </w:t>
      </w:r>
      <w:r>
        <w:rPr>
          <w:b/>
          <w:bCs/>
          <w:color w:val="143F2A"/>
          <w:sz w:val="20"/>
          <w:szCs w:val="20"/>
        </w:rPr>
        <w:t>حق المراجعة</w:t>
      </w:r>
    </w:p>
    <w:p w:rsidR="00B47E05" w:rsidRDefault="00E87ED6" w:rsidP="008748F3">
      <w:pPr>
        <w:spacing w:before="60" w:after="120" w:line="380" w:lineRule="auto"/>
        <w:ind w:right="200"/>
      </w:pPr>
      <w:r>
        <w:rPr>
          <w:color w:val="0E1A14"/>
          <w:sz w:val="20"/>
          <w:szCs w:val="20"/>
        </w:rPr>
        <w:t>للعضو حق مراجعة قرار لجنة الحوكمة بشأن التضارب، ويجوز له طلب عرضه على المجلس للحسم النهائي.</w:t>
      </w:r>
    </w:p>
    <w:p w:rsidR="00B47E05" w:rsidRDefault="00E87ED6">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B47E05" w:rsidRDefault="00E87ED6">
            <w:pPr>
              <w:spacing w:after="80" w:line="280" w:lineRule="auto"/>
              <w:jc w:val="center"/>
            </w:pPr>
            <w:r>
              <w:rPr>
                <w:b/>
                <w:bCs/>
                <w:color w:val="D4B574"/>
                <w:sz w:val="18"/>
                <w:szCs w:val="18"/>
              </w:rPr>
              <w:t>الباب الخامس</w:t>
            </w:r>
          </w:p>
          <w:p w:rsidR="00B47E05" w:rsidRDefault="00E87ED6">
            <w:pPr>
              <w:spacing w:line="360" w:lineRule="auto"/>
              <w:jc w:val="center"/>
            </w:pPr>
            <w:r>
              <w:rPr>
                <w:b/>
                <w:bCs/>
                <w:color w:val="FFFFFF"/>
                <w:sz w:val="28"/>
                <w:szCs w:val="28"/>
              </w:rPr>
              <w:t>الحالات الخاصة</w:t>
            </w:r>
          </w:p>
        </w:tc>
      </w:tr>
    </w:tbl>
    <w:p w:rsidR="00B47E05" w:rsidRDefault="00B47E05">
      <w:pPr>
        <w:spacing w:before="240" w:after="240"/>
        <w:jc w:val="right"/>
      </w:pPr>
    </w:p>
    <w:p w:rsidR="00B47E05" w:rsidRDefault="00E87ED6" w:rsidP="008748F3">
      <w:pPr>
        <w:spacing w:before="280" w:after="120"/>
      </w:pPr>
      <w:r>
        <w:rPr>
          <w:b/>
          <w:bCs/>
          <w:color w:val="1F5F3F"/>
          <w:sz w:val="20"/>
          <w:szCs w:val="20"/>
        </w:rPr>
        <w:t xml:space="preserve">المادة (١٦): </w:t>
      </w:r>
      <w:r>
        <w:rPr>
          <w:b/>
          <w:bCs/>
          <w:color w:val="143F2A"/>
          <w:sz w:val="20"/>
          <w:szCs w:val="20"/>
        </w:rPr>
        <w:t>ترشيح ذوي القربى لمناصب</w:t>
      </w:r>
    </w:p>
    <w:p w:rsidR="00B47E05" w:rsidRDefault="00E87ED6" w:rsidP="008748F3">
      <w:pPr>
        <w:spacing w:before="60" w:after="120" w:line="380" w:lineRule="auto"/>
        <w:ind w:right="200"/>
      </w:pPr>
      <w:r>
        <w:rPr>
          <w:color w:val="0E1A14"/>
          <w:sz w:val="20"/>
          <w:szCs w:val="20"/>
        </w:rPr>
        <w:t>يُحظر على العضو المشاركة في أي قرار يتعلق بترشيح أو تعيين أو ترقية ذوي قرباه من الدرجة الأولى في الجامعة، بل عليه الإفصاح والانسحاب الكامل.</w:t>
      </w:r>
    </w:p>
    <w:p w:rsidR="00B47E05" w:rsidRDefault="00E87ED6" w:rsidP="008748F3">
      <w:pPr>
        <w:spacing w:before="280" w:after="120"/>
      </w:pPr>
      <w:r>
        <w:rPr>
          <w:b/>
          <w:bCs/>
          <w:color w:val="1F5F3F"/>
          <w:sz w:val="20"/>
          <w:szCs w:val="20"/>
        </w:rPr>
        <w:t xml:space="preserve">المادة (١٧): </w:t>
      </w:r>
      <w:r>
        <w:rPr>
          <w:b/>
          <w:bCs/>
          <w:color w:val="143F2A"/>
          <w:sz w:val="20"/>
          <w:szCs w:val="20"/>
        </w:rPr>
        <w:t>العقود مع جهات للعضو فيها مصلحة</w:t>
      </w:r>
    </w:p>
    <w:p w:rsidR="00B47E05" w:rsidRDefault="00E87ED6" w:rsidP="008748F3">
      <w:pPr>
        <w:spacing w:before="60" w:after="80" w:line="380" w:lineRule="auto"/>
        <w:ind w:right="200"/>
      </w:pPr>
      <w:r>
        <w:rPr>
          <w:color w:val="0E1A14"/>
          <w:sz w:val="20"/>
          <w:szCs w:val="20"/>
        </w:rPr>
        <w:t>في حال طُرح عقد على المجلس مع جهة للعضو فيها مص</w:t>
      </w:r>
      <w:r>
        <w:rPr>
          <w:color w:val="0E1A14"/>
          <w:sz w:val="20"/>
          <w:szCs w:val="20"/>
        </w:rPr>
        <w:t>لحة:</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يلتزم بالإفصاح المسبق قبل عرض البند.</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ينسحب كلياً من المداولة والتصويت.</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لا يجوز له المشاركة في أي مفاوضات تخص العقد.</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تُقيَّم المنافسة بمعايير موضوعية بمعزل عن التأثير.</w:t>
      </w:r>
    </w:p>
    <w:p w:rsidR="00B47E05" w:rsidRDefault="00E87ED6" w:rsidP="008748F3">
      <w:pPr>
        <w:spacing w:before="280" w:after="120"/>
      </w:pPr>
      <w:r>
        <w:rPr>
          <w:b/>
          <w:bCs/>
          <w:color w:val="1F5F3F"/>
          <w:sz w:val="20"/>
          <w:szCs w:val="20"/>
        </w:rPr>
        <w:t xml:space="preserve">المادة (١٨): </w:t>
      </w:r>
      <w:r>
        <w:rPr>
          <w:b/>
          <w:bCs/>
          <w:color w:val="143F2A"/>
          <w:sz w:val="20"/>
          <w:szCs w:val="20"/>
        </w:rPr>
        <w:t>الأنشطة العلمية المشتركة</w:t>
      </w:r>
    </w:p>
    <w:p w:rsidR="00B47E05" w:rsidRDefault="00E87ED6" w:rsidP="008748F3">
      <w:pPr>
        <w:spacing w:before="60" w:after="120" w:line="380" w:lineRule="auto"/>
        <w:ind w:right="200"/>
      </w:pPr>
      <w:r>
        <w:rPr>
          <w:color w:val="0E1A14"/>
          <w:sz w:val="20"/>
          <w:szCs w:val="20"/>
        </w:rPr>
        <w:t>يجوز للعضو المشاركة في الأنشطة العلمية المشتركة مع الجامعة (مؤتمرات، أبحاث) شريطة الإفصاح وعدم تجاوز السقف المحدد للأتعاب وفق سياسة المكافآت.</w:t>
      </w:r>
    </w:p>
    <w:p w:rsidR="00B47E05" w:rsidRDefault="00E87ED6" w:rsidP="008748F3">
      <w:pPr>
        <w:spacing w:before="280" w:after="120"/>
      </w:pPr>
      <w:r>
        <w:rPr>
          <w:b/>
          <w:bCs/>
          <w:color w:val="1F5F3F"/>
          <w:sz w:val="20"/>
          <w:szCs w:val="20"/>
        </w:rPr>
        <w:t xml:space="preserve">المادة (١٩): </w:t>
      </w:r>
      <w:r>
        <w:rPr>
          <w:b/>
          <w:bCs/>
          <w:color w:val="143F2A"/>
          <w:sz w:val="20"/>
          <w:szCs w:val="20"/>
        </w:rPr>
        <w:t>العضوية في مجالس متعددة</w:t>
      </w:r>
    </w:p>
    <w:p w:rsidR="00B47E05" w:rsidRDefault="00E87ED6" w:rsidP="008748F3">
      <w:pPr>
        <w:spacing w:before="60" w:after="80" w:line="380" w:lineRule="auto"/>
        <w:ind w:right="200"/>
      </w:pPr>
      <w:r>
        <w:rPr>
          <w:color w:val="0E1A14"/>
          <w:sz w:val="20"/>
          <w:szCs w:val="20"/>
        </w:rPr>
        <w:t>في حال عضوية العضو في مجلس آخر له تعاملات محتملة مع الجامعة:</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يُفصح عن العض</w:t>
      </w:r>
      <w:r>
        <w:rPr>
          <w:color w:val="0E1A14"/>
          <w:sz w:val="19"/>
          <w:szCs w:val="19"/>
        </w:rPr>
        <w:t>وية بالكامل.</w:t>
      </w:r>
    </w:p>
    <w:p w:rsidR="00B47E05" w:rsidRDefault="00E87ED6" w:rsidP="008748F3">
      <w:pPr>
        <w:spacing w:before="40" w:after="40" w:line="360" w:lineRule="auto"/>
        <w:ind w:right="600"/>
      </w:pPr>
      <w:r>
        <w:rPr>
          <w:b/>
          <w:bCs/>
          <w:color w:val="B89855"/>
          <w:sz w:val="18"/>
          <w:szCs w:val="18"/>
        </w:rPr>
        <w:lastRenderedPageBreak/>
        <w:t xml:space="preserve">2. </w:t>
      </w:r>
      <w:r>
        <w:rPr>
          <w:color w:val="0E1A14"/>
          <w:sz w:val="19"/>
          <w:szCs w:val="19"/>
        </w:rPr>
        <w:t>ينسحب من البنود التي تربط بين الجهتين.</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لا يجوز نقل أي معلومات سرية بين المجلسين.</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في حال تكرر التعارض بشكل جوهري، يُطلب منه الاختيار بين العضويتين.</w:t>
      </w:r>
    </w:p>
    <w:p w:rsidR="00B47E05" w:rsidRDefault="00E87ED6">
      <w:pPr>
        <w:pageBreakBefore/>
      </w:pPr>
      <w:r>
        <w:lastRenderedPageBreak/>
        <w:br/>
      </w:r>
    </w:p>
    <w:p w:rsidR="00B47E05" w:rsidRDefault="00E87ED6">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B47E05" w:rsidRDefault="00E87ED6">
            <w:pPr>
              <w:spacing w:after="80" w:line="280" w:lineRule="auto"/>
              <w:jc w:val="center"/>
            </w:pPr>
            <w:r>
              <w:rPr>
                <w:b/>
                <w:bCs/>
                <w:color w:val="D4B574"/>
                <w:sz w:val="18"/>
                <w:szCs w:val="18"/>
              </w:rPr>
              <w:t>الباب السادس</w:t>
            </w:r>
          </w:p>
          <w:p w:rsidR="00B47E05" w:rsidRDefault="00E87ED6">
            <w:pPr>
              <w:spacing w:line="360" w:lineRule="auto"/>
              <w:jc w:val="center"/>
            </w:pPr>
            <w:r>
              <w:rPr>
                <w:b/>
                <w:bCs/>
                <w:color w:val="FFFFFF"/>
                <w:sz w:val="28"/>
                <w:szCs w:val="28"/>
              </w:rPr>
              <w:t>السجل والمراجعة</w:t>
            </w:r>
          </w:p>
        </w:tc>
      </w:tr>
    </w:tbl>
    <w:p w:rsidR="00B47E05" w:rsidRDefault="00B47E05" w:rsidP="008748F3">
      <w:pPr>
        <w:spacing w:before="240" w:after="240"/>
      </w:pPr>
    </w:p>
    <w:p w:rsidR="00B47E05" w:rsidRDefault="00E87ED6" w:rsidP="008748F3">
      <w:pPr>
        <w:spacing w:before="280" w:after="120"/>
      </w:pPr>
      <w:r>
        <w:rPr>
          <w:b/>
          <w:bCs/>
          <w:color w:val="1F5F3F"/>
          <w:sz w:val="20"/>
          <w:szCs w:val="20"/>
        </w:rPr>
        <w:t xml:space="preserve">المادة (٢٠): </w:t>
      </w:r>
      <w:r>
        <w:rPr>
          <w:b/>
          <w:bCs/>
          <w:color w:val="143F2A"/>
          <w:sz w:val="20"/>
          <w:szCs w:val="20"/>
        </w:rPr>
        <w:t>سجل تضارب المصالح</w:t>
      </w:r>
    </w:p>
    <w:p w:rsidR="00B47E05" w:rsidRDefault="00E87ED6" w:rsidP="008748F3">
      <w:pPr>
        <w:spacing w:before="60" w:after="80" w:line="380" w:lineRule="auto"/>
        <w:ind w:right="200"/>
      </w:pPr>
      <w:r>
        <w:rPr>
          <w:color w:val="0E1A14"/>
          <w:sz w:val="20"/>
          <w:szCs w:val="20"/>
        </w:rPr>
        <w:t>تحتفظ لجنة الحوكمة بسجل شامل لتضارب المصالح يتضمن:</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إقرارات التضارب السنوية لجميع الأعضاء.</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حالات الإفصاح اللحظي مع تفاصيلها.</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القرارات المتخذة في كل حالة.</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متابعة استمرار التضارب أو زواله.</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الحالات المغلقة مع توثيق آلية المعالجة.</w:t>
      </w:r>
    </w:p>
    <w:p w:rsidR="00B47E05" w:rsidRDefault="00E87ED6" w:rsidP="008748F3">
      <w:pPr>
        <w:spacing w:before="280" w:after="120"/>
      </w:pPr>
      <w:r>
        <w:rPr>
          <w:b/>
          <w:bCs/>
          <w:color w:val="1F5F3F"/>
          <w:sz w:val="20"/>
          <w:szCs w:val="20"/>
        </w:rPr>
        <w:t xml:space="preserve">المادة (٢١): </w:t>
      </w:r>
      <w:r>
        <w:rPr>
          <w:b/>
          <w:bCs/>
          <w:color w:val="143F2A"/>
          <w:sz w:val="20"/>
          <w:szCs w:val="20"/>
        </w:rPr>
        <w:t>سرية السجل</w:t>
      </w:r>
    </w:p>
    <w:p w:rsidR="00B47E05" w:rsidRDefault="00E87ED6" w:rsidP="008748F3">
      <w:pPr>
        <w:spacing w:before="60" w:after="120" w:line="380" w:lineRule="auto"/>
        <w:ind w:right="200"/>
      </w:pPr>
      <w:r>
        <w:rPr>
          <w:color w:val="0E1A14"/>
          <w:sz w:val="20"/>
          <w:szCs w:val="20"/>
        </w:rPr>
        <w:t>يُعد سجل تضارب المصالح وثيقة سرية للغاية، ولا يُطلَع عليه إلا: لجنة الحوكمة، رئيس المجلس، الأمين العام، والجهات الرقابية المختصة.</w:t>
      </w:r>
    </w:p>
    <w:p w:rsidR="00B47E05" w:rsidRDefault="00E87ED6" w:rsidP="008748F3">
      <w:pPr>
        <w:spacing w:before="280" w:after="120"/>
      </w:pPr>
      <w:r>
        <w:rPr>
          <w:b/>
          <w:bCs/>
          <w:color w:val="1F5F3F"/>
          <w:sz w:val="20"/>
          <w:szCs w:val="20"/>
        </w:rPr>
        <w:t xml:space="preserve">المادة (٢٢): </w:t>
      </w:r>
      <w:r>
        <w:rPr>
          <w:b/>
          <w:bCs/>
          <w:color w:val="143F2A"/>
          <w:sz w:val="20"/>
          <w:szCs w:val="20"/>
        </w:rPr>
        <w:t>المراجعة الدورية</w:t>
      </w:r>
    </w:p>
    <w:p w:rsidR="00B47E05" w:rsidRDefault="00E87ED6" w:rsidP="008748F3">
      <w:pPr>
        <w:spacing w:before="60" w:after="80" w:line="380" w:lineRule="auto"/>
        <w:ind w:right="200"/>
      </w:pPr>
      <w:r>
        <w:rPr>
          <w:color w:val="0E1A14"/>
          <w:sz w:val="20"/>
          <w:szCs w:val="20"/>
        </w:rPr>
        <w:t>يُراجع السجل دورياً وفق ما يلي:</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مراجعة سنوية لجميع الإقرارات قبل عرضها على المجلس.</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مراجعة فصلية لحالات الإفصاح اللحظي.</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مراجعة عند بداية مناقشة كل بند للتحقق من عدم وجود تضارب.</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مراجعة استثنائية عند ظهور بلاغات.</w:t>
      </w:r>
    </w:p>
    <w:p w:rsidR="00B47E05" w:rsidRDefault="00E87ED6" w:rsidP="008748F3">
      <w:pPr>
        <w:spacing w:before="280" w:after="120"/>
      </w:pPr>
      <w:r>
        <w:rPr>
          <w:b/>
          <w:bCs/>
          <w:color w:val="1F5F3F"/>
          <w:sz w:val="20"/>
          <w:szCs w:val="20"/>
        </w:rPr>
        <w:t xml:space="preserve">المادة (٢٣): </w:t>
      </w:r>
      <w:r>
        <w:rPr>
          <w:b/>
          <w:bCs/>
          <w:color w:val="143F2A"/>
          <w:sz w:val="20"/>
          <w:szCs w:val="20"/>
        </w:rPr>
        <w:t>التقرير السنوي</w:t>
      </w:r>
    </w:p>
    <w:p w:rsidR="00B47E05" w:rsidRDefault="00E87ED6" w:rsidP="008748F3">
      <w:pPr>
        <w:spacing w:before="60" w:after="120" w:line="380" w:lineRule="auto"/>
        <w:ind w:right="200"/>
      </w:pPr>
      <w:r>
        <w:rPr>
          <w:color w:val="0E1A14"/>
          <w:sz w:val="20"/>
          <w:szCs w:val="20"/>
        </w:rPr>
        <w:t>تُقدم لجنة الحوكمة تقريراً سنوياً للمجلس عن إدارة تضارب المصالح، يتضمن: عدد الإقرارات، حالا</w:t>
      </w:r>
      <w:r>
        <w:rPr>
          <w:color w:val="0E1A14"/>
          <w:sz w:val="20"/>
          <w:szCs w:val="20"/>
        </w:rPr>
        <w:t>ت الإفصاح، الإجراءات المتخذة، والتوصيات للتحسين.</w:t>
      </w:r>
    </w:p>
    <w:p w:rsidR="00B47E05" w:rsidRDefault="00E87ED6">
      <w:pPr>
        <w:shd w:val="clear" w:color="auto" w:fill="1F5F3F"/>
        <w:spacing w:before="480" w:after="120" w:line="360" w:lineRule="auto"/>
        <w:jc w:val="center"/>
      </w:pPr>
      <w:r>
        <w:rPr>
          <w:color w:val="0E1A14"/>
          <w:sz w:val="8"/>
          <w:szCs w:val="8"/>
        </w:rPr>
        <w:lastRenderedPageBreak/>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B47E05" w:rsidRDefault="00E87ED6">
            <w:pPr>
              <w:spacing w:after="80" w:line="280" w:lineRule="auto"/>
              <w:jc w:val="center"/>
            </w:pPr>
            <w:r>
              <w:rPr>
                <w:b/>
                <w:bCs/>
                <w:color w:val="D4B574"/>
                <w:sz w:val="18"/>
                <w:szCs w:val="18"/>
              </w:rPr>
              <w:t>الباب السابع</w:t>
            </w:r>
          </w:p>
          <w:p w:rsidR="00B47E05" w:rsidRDefault="00E87ED6">
            <w:pPr>
              <w:spacing w:line="360" w:lineRule="auto"/>
              <w:jc w:val="center"/>
            </w:pPr>
            <w:r>
              <w:rPr>
                <w:b/>
                <w:bCs/>
                <w:color w:val="FFFFFF"/>
                <w:sz w:val="28"/>
                <w:szCs w:val="28"/>
              </w:rPr>
              <w:t>المخالفات والجزاءات</w:t>
            </w:r>
          </w:p>
        </w:tc>
      </w:tr>
    </w:tbl>
    <w:p w:rsidR="00B47E05" w:rsidRDefault="00E87ED6" w:rsidP="008748F3">
      <w:pPr>
        <w:spacing w:before="280" w:after="120"/>
      </w:pPr>
      <w:r>
        <w:rPr>
          <w:b/>
          <w:bCs/>
          <w:color w:val="1F5F3F"/>
          <w:sz w:val="20"/>
          <w:szCs w:val="20"/>
        </w:rPr>
        <w:t xml:space="preserve">المادة (٢٤): </w:t>
      </w:r>
      <w:proofErr w:type="spellStart"/>
      <w:r>
        <w:rPr>
          <w:b/>
          <w:bCs/>
          <w:color w:val="143F2A"/>
          <w:sz w:val="20"/>
          <w:szCs w:val="20"/>
        </w:rPr>
        <w:t>الإخلالات</w:t>
      </w:r>
      <w:proofErr w:type="spellEnd"/>
      <w:r>
        <w:rPr>
          <w:b/>
          <w:bCs/>
          <w:color w:val="143F2A"/>
          <w:sz w:val="20"/>
          <w:szCs w:val="20"/>
        </w:rPr>
        <w:t xml:space="preserve"> الموجبة للإجراء</w:t>
      </w:r>
    </w:p>
    <w:p w:rsidR="00B47E05" w:rsidRDefault="00E87ED6" w:rsidP="008748F3">
      <w:pPr>
        <w:spacing w:before="60" w:after="80" w:line="380" w:lineRule="auto"/>
        <w:ind w:right="200"/>
      </w:pPr>
      <w:r>
        <w:rPr>
          <w:color w:val="0E1A14"/>
          <w:sz w:val="20"/>
          <w:szCs w:val="20"/>
        </w:rPr>
        <w:t xml:space="preserve">تُعد </w:t>
      </w:r>
      <w:proofErr w:type="spellStart"/>
      <w:r>
        <w:rPr>
          <w:color w:val="0E1A14"/>
          <w:sz w:val="20"/>
          <w:szCs w:val="20"/>
        </w:rPr>
        <w:t>الإخلالات</w:t>
      </w:r>
      <w:proofErr w:type="spellEnd"/>
      <w:r>
        <w:rPr>
          <w:color w:val="0E1A14"/>
          <w:sz w:val="20"/>
          <w:szCs w:val="20"/>
        </w:rPr>
        <w:t xml:space="preserve"> التالية موجبة لإجراءات تأديبية:</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عدم تقديم إقرار التضارب السنوي في الوقت المحدد.</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عدم الإفصاح اللحظي عن تضارب فعلي.</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إخفاء معلومات جوهرية في الإقرار.</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المشاركة في تصويت رغم وجود تضارب مُفصَح عنه.</w:t>
      </w:r>
    </w:p>
    <w:p w:rsidR="00B47E05" w:rsidRDefault="00E87ED6" w:rsidP="008748F3">
      <w:pPr>
        <w:spacing w:before="40" w:after="40" w:line="360" w:lineRule="auto"/>
        <w:ind w:right="600"/>
      </w:pPr>
      <w:r>
        <w:rPr>
          <w:b/>
          <w:bCs/>
          <w:color w:val="B89855"/>
          <w:sz w:val="18"/>
          <w:szCs w:val="18"/>
        </w:rPr>
        <w:t xml:space="preserve">5. </w:t>
      </w:r>
      <w:r>
        <w:rPr>
          <w:color w:val="0E1A14"/>
          <w:sz w:val="19"/>
          <w:szCs w:val="19"/>
        </w:rPr>
        <w:t>استغلال المعلومات الداخلية لتحقيق منفعة.</w:t>
      </w:r>
    </w:p>
    <w:p w:rsidR="00B47E05" w:rsidRDefault="00E87ED6" w:rsidP="008748F3">
      <w:pPr>
        <w:spacing w:before="40" w:after="40" w:line="360" w:lineRule="auto"/>
        <w:ind w:right="600"/>
      </w:pPr>
      <w:r>
        <w:rPr>
          <w:b/>
          <w:bCs/>
          <w:color w:val="B89855"/>
          <w:sz w:val="18"/>
          <w:szCs w:val="18"/>
        </w:rPr>
        <w:t xml:space="preserve">6. </w:t>
      </w:r>
      <w:r>
        <w:rPr>
          <w:color w:val="0E1A14"/>
          <w:sz w:val="19"/>
          <w:szCs w:val="19"/>
        </w:rPr>
        <w:t>رفض الانسحاب رغم قرار لجنة الحوكمة.</w:t>
      </w:r>
    </w:p>
    <w:p w:rsidR="00B47E05" w:rsidRDefault="00E87ED6" w:rsidP="008748F3">
      <w:pPr>
        <w:spacing w:before="280" w:after="120"/>
      </w:pPr>
      <w:r>
        <w:rPr>
          <w:b/>
          <w:bCs/>
          <w:color w:val="1F5F3F"/>
          <w:sz w:val="20"/>
          <w:szCs w:val="20"/>
        </w:rPr>
        <w:t xml:space="preserve">المادة (٢٥): </w:t>
      </w:r>
      <w:r>
        <w:rPr>
          <w:b/>
          <w:bCs/>
          <w:color w:val="143F2A"/>
          <w:sz w:val="20"/>
          <w:szCs w:val="20"/>
        </w:rPr>
        <w:t>الجزاءات</w:t>
      </w:r>
    </w:p>
    <w:p w:rsidR="00B47E05" w:rsidRDefault="00E87ED6" w:rsidP="008748F3">
      <w:pPr>
        <w:spacing w:before="60" w:after="80" w:line="380" w:lineRule="auto"/>
        <w:ind w:right="200"/>
      </w:pPr>
      <w:r>
        <w:rPr>
          <w:color w:val="0E1A14"/>
          <w:sz w:val="20"/>
          <w:szCs w:val="20"/>
        </w:rPr>
        <w:t>تُتخذ الجزاءات التالية بحسب درجة الإخلال:</w:t>
      </w:r>
    </w:p>
    <w:p w:rsidR="00B47E05" w:rsidRDefault="00E87ED6" w:rsidP="008748F3">
      <w:pPr>
        <w:spacing w:before="40" w:after="40" w:line="360" w:lineRule="auto"/>
        <w:ind w:right="600"/>
      </w:pPr>
      <w:r>
        <w:rPr>
          <w:b/>
          <w:bCs/>
          <w:color w:val="B89855"/>
          <w:sz w:val="18"/>
          <w:szCs w:val="18"/>
        </w:rPr>
        <w:t xml:space="preserve">1. </w:t>
      </w:r>
      <w:r>
        <w:rPr>
          <w:color w:val="0E1A14"/>
          <w:sz w:val="19"/>
          <w:szCs w:val="19"/>
        </w:rPr>
        <w:t>تأخير تقديم الإقرار: تنبيه كتابي.</w:t>
      </w:r>
    </w:p>
    <w:p w:rsidR="00B47E05" w:rsidRDefault="00E87ED6" w:rsidP="008748F3">
      <w:pPr>
        <w:spacing w:before="40" w:after="40" w:line="360" w:lineRule="auto"/>
        <w:ind w:right="600"/>
      </w:pPr>
      <w:r>
        <w:rPr>
          <w:b/>
          <w:bCs/>
          <w:color w:val="B89855"/>
          <w:sz w:val="18"/>
          <w:szCs w:val="18"/>
        </w:rPr>
        <w:t xml:space="preserve">2. </w:t>
      </w:r>
      <w:r>
        <w:rPr>
          <w:color w:val="0E1A14"/>
          <w:sz w:val="19"/>
          <w:szCs w:val="19"/>
        </w:rPr>
        <w:t>إخفاء غير جوهري: إنذار مع تصحيح فوري.</w:t>
      </w:r>
    </w:p>
    <w:p w:rsidR="00B47E05" w:rsidRDefault="00E87ED6" w:rsidP="008748F3">
      <w:pPr>
        <w:spacing w:before="40" w:after="40" w:line="360" w:lineRule="auto"/>
        <w:ind w:right="600"/>
      </w:pPr>
      <w:r>
        <w:rPr>
          <w:b/>
          <w:bCs/>
          <w:color w:val="B89855"/>
          <w:sz w:val="18"/>
          <w:szCs w:val="18"/>
        </w:rPr>
        <w:t xml:space="preserve">3. </w:t>
      </w:r>
      <w:r>
        <w:rPr>
          <w:color w:val="0E1A14"/>
          <w:sz w:val="19"/>
          <w:szCs w:val="19"/>
        </w:rPr>
        <w:t>إخفاء جوهري أو تصويت في تضارب: تعليق العضوية.</w:t>
      </w:r>
    </w:p>
    <w:p w:rsidR="00B47E05" w:rsidRDefault="00E87ED6" w:rsidP="008748F3">
      <w:pPr>
        <w:spacing w:before="40" w:after="40" w:line="360" w:lineRule="auto"/>
        <w:ind w:right="600"/>
      </w:pPr>
      <w:r>
        <w:rPr>
          <w:b/>
          <w:bCs/>
          <w:color w:val="B89855"/>
          <w:sz w:val="18"/>
          <w:szCs w:val="18"/>
        </w:rPr>
        <w:t xml:space="preserve">4. </w:t>
      </w:r>
      <w:r>
        <w:rPr>
          <w:color w:val="0E1A14"/>
          <w:sz w:val="19"/>
          <w:szCs w:val="19"/>
        </w:rPr>
        <w:t>استغلال المعلومات أو الفساد: إنهاء العضوية وإحالة للجهات المختصة.</w:t>
      </w:r>
    </w:p>
    <w:p w:rsidR="00B47E05" w:rsidRDefault="00E87ED6" w:rsidP="008748F3">
      <w:pPr>
        <w:spacing w:before="280" w:after="120"/>
      </w:pPr>
      <w:r>
        <w:rPr>
          <w:b/>
          <w:bCs/>
          <w:color w:val="1F5F3F"/>
          <w:sz w:val="20"/>
          <w:szCs w:val="20"/>
        </w:rPr>
        <w:t xml:space="preserve">المادة (٢٦): </w:t>
      </w:r>
      <w:r>
        <w:rPr>
          <w:b/>
          <w:bCs/>
          <w:color w:val="143F2A"/>
          <w:sz w:val="20"/>
          <w:szCs w:val="20"/>
        </w:rPr>
        <w:t>الإجر</w:t>
      </w:r>
      <w:r>
        <w:rPr>
          <w:b/>
          <w:bCs/>
          <w:color w:val="143F2A"/>
          <w:sz w:val="20"/>
          <w:szCs w:val="20"/>
        </w:rPr>
        <w:t>اءات القانونية</w:t>
      </w:r>
    </w:p>
    <w:p w:rsidR="00B47E05" w:rsidRDefault="00E87ED6" w:rsidP="008748F3">
      <w:pPr>
        <w:spacing w:before="60" w:after="120" w:line="380" w:lineRule="auto"/>
        <w:ind w:right="200"/>
      </w:pPr>
      <w:r>
        <w:rPr>
          <w:color w:val="0E1A14"/>
          <w:sz w:val="20"/>
          <w:szCs w:val="20"/>
        </w:rPr>
        <w:t>في الحالات الجوهرية المتعلقة بالفساد أو استغلال النفوذ، تُحال القضية للجهات القضائية والرقابية المختصة وفق نظام مكافحة الرشوة وأنظمة هيئة نزاهة.</w:t>
      </w:r>
    </w:p>
    <w:p w:rsidR="00B47E05" w:rsidRDefault="00E87ED6">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B47E05" w:rsidTr="008748F3">
        <w:tblPrEx>
          <w:tblCellMar>
            <w:top w:w="0" w:type="dxa"/>
            <w:bottom w:w="0" w:type="dxa"/>
          </w:tblCellMar>
        </w:tblPrEx>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rsidR="00B47E05" w:rsidRDefault="00E87ED6">
            <w:pPr>
              <w:spacing w:after="80" w:line="280" w:lineRule="auto"/>
              <w:jc w:val="center"/>
            </w:pPr>
            <w:r>
              <w:rPr>
                <w:b/>
                <w:bCs/>
                <w:color w:val="D4B574"/>
                <w:sz w:val="18"/>
                <w:szCs w:val="18"/>
              </w:rPr>
              <w:t>الباب الثامن</w:t>
            </w:r>
          </w:p>
          <w:p w:rsidR="00B47E05" w:rsidRDefault="00E87ED6">
            <w:pPr>
              <w:spacing w:line="360" w:lineRule="auto"/>
              <w:jc w:val="center"/>
            </w:pPr>
            <w:r>
              <w:rPr>
                <w:b/>
                <w:bCs/>
                <w:color w:val="FFFFFF"/>
                <w:sz w:val="28"/>
                <w:szCs w:val="28"/>
              </w:rPr>
              <w:t>أحكام ختامية</w:t>
            </w:r>
          </w:p>
        </w:tc>
      </w:tr>
    </w:tbl>
    <w:p w:rsidR="00B47E05" w:rsidRDefault="00E87ED6" w:rsidP="008748F3">
      <w:pPr>
        <w:spacing w:before="280" w:after="120"/>
      </w:pPr>
      <w:r>
        <w:rPr>
          <w:b/>
          <w:bCs/>
          <w:color w:val="1F5F3F"/>
          <w:sz w:val="20"/>
          <w:szCs w:val="20"/>
        </w:rPr>
        <w:t xml:space="preserve">المادة (٢٧): </w:t>
      </w:r>
      <w:r>
        <w:rPr>
          <w:b/>
          <w:bCs/>
          <w:color w:val="143F2A"/>
          <w:sz w:val="20"/>
          <w:szCs w:val="20"/>
        </w:rPr>
        <w:t>التدريب والتوعية</w:t>
      </w:r>
    </w:p>
    <w:p w:rsidR="00B47E05" w:rsidRDefault="00E87ED6" w:rsidP="008748F3">
      <w:pPr>
        <w:spacing w:before="60" w:after="120" w:line="380" w:lineRule="auto"/>
        <w:ind w:right="200"/>
      </w:pPr>
      <w:r>
        <w:rPr>
          <w:color w:val="0E1A14"/>
          <w:sz w:val="20"/>
          <w:szCs w:val="20"/>
        </w:rPr>
        <w:lastRenderedPageBreak/>
        <w:t>تتولى الأمانة العامة برنامج توعوي دوري حول تضارب المصالح يشمل: ورشة تأسيسية لكل عضو جديد، تحديثات سنوية لجميع الأعضاء، وموارد إلكترونية متاحة للاطلاع.</w:t>
      </w:r>
    </w:p>
    <w:p w:rsidR="00B47E05" w:rsidRDefault="00E87ED6" w:rsidP="008748F3">
      <w:pPr>
        <w:spacing w:before="280" w:after="120"/>
      </w:pPr>
      <w:r>
        <w:rPr>
          <w:b/>
          <w:bCs/>
          <w:color w:val="1F5F3F"/>
          <w:sz w:val="20"/>
          <w:szCs w:val="20"/>
        </w:rPr>
        <w:t xml:space="preserve">المادة (٢٨): </w:t>
      </w:r>
      <w:r>
        <w:rPr>
          <w:b/>
          <w:bCs/>
          <w:color w:val="143F2A"/>
          <w:sz w:val="20"/>
          <w:szCs w:val="20"/>
        </w:rPr>
        <w:t>تفسير السياسة</w:t>
      </w:r>
    </w:p>
    <w:p w:rsidR="00B47E05" w:rsidRDefault="00E87ED6" w:rsidP="008748F3">
      <w:pPr>
        <w:spacing w:before="60" w:after="120" w:line="380" w:lineRule="auto"/>
        <w:ind w:right="200"/>
      </w:pPr>
      <w:r>
        <w:rPr>
          <w:color w:val="0E1A14"/>
          <w:sz w:val="20"/>
          <w:szCs w:val="20"/>
        </w:rPr>
        <w:t xml:space="preserve">تُفسَّر هذه السياسة بصورة موسعة لخدمة الهدف الجوهري وهو حماية موضوعية القرار، </w:t>
      </w:r>
      <w:r>
        <w:rPr>
          <w:color w:val="0E1A14"/>
          <w:sz w:val="20"/>
          <w:szCs w:val="20"/>
        </w:rPr>
        <w:t>وفي حال الشك يُلتزم بالإفصاح.</w:t>
      </w:r>
    </w:p>
    <w:p w:rsidR="00B47E05" w:rsidRDefault="00E87ED6" w:rsidP="008748F3">
      <w:pPr>
        <w:spacing w:before="280" w:after="120"/>
      </w:pPr>
      <w:r>
        <w:rPr>
          <w:b/>
          <w:bCs/>
          <w:color w:val="1F5F3F"/>
          <w:sz w:val="20"/>
          <w:szCs w:val="20"/>
        </w:rPr>
        <w:t xml:space="preserve">المادة (٢٩): </w:t>
      </w:r>
      <w:r>
        <w:rPr>
          <w:b/>
          <w:bCs/>
          <w:color w:val="143F2A"/>
          <w:sz w:val="20"/>
          <w:szCs w:val="20"/>
        </w:rPr>
        <w:t>تعديل السياسة</w:t>
      </w:r>
    </w:p>
    <w:p w:rsidR="00B47E05" w:rsidRDefault="00E87ED6" w:rsidP="008748F3">
      <w:pPr>
        <w:spacing w:before="60" w:after="120" w:line="380" w:lineRule="auto"/>
        <w:ind w:right="200"/>
      </w:pPr>
      <w:r>
        <w:rPr>
          <w:color w:val="0E1A14"/>
          <w:sz w:val="20"/>
          <w:szCs w:val="20"/>
        </w:rPr>
        <w:t>تُعدَّل بأغلبية ثلثي الأعضاء، بناءً على توصية لجنة الحوكمة.</w:t>
      </w:r>
    </w:p>
    <w:p w:rsidR="00B47E05" w:rsidRDefault="00E87ED6" w:rsidP="008748F3">
      <w:pPr>
        <w:spacing w:before="280" w:after="120"/>
      </w:pPr>
      <w:r>
        <w:rPr>
          <w:b/>
          <w:bCs/>
          <w:color w:val="1F5F3F"/>
          <w:sz w:val="20"/>
          <w:szCs w:val="20"/>
        </w:rPr>
        <w:t xml:space="preserve">المادة (٣٠): </w:t>
      </w:r>
      <w:r>
        <w:rPr>
          <w:b/>
          <w:bCs/>
          <w:color w:val="143F2A"/>
          <w:sz w:val="20"/>
          <w:szCs w:val="20"/>
        </w:rPr>
        <w:t>النفاذ</w:t>
      </w:r>
    </w:p>
    <w:p w:rsidR="00B47E05" w:rsidRDefault="00E87ED6" w:rsidP="008748F3">
      <w:pPr>
        <w:spacing w:before="60" w:after="120" w:line="380" w:lineRule="auto"/>
        <w:ind w:right="200"/>
      </w:pPr>
      <w:r>
        <w:rPr>
          <w:color w:val="0E1A14"/>
          <w:sz w:val="20"/>
          <w:szCs w:val="20"/>
        </w:rPr>
        <w:t>تدخل هذه السياسة حيز النفاذ من تاريخ اعتمادها، وتُلغي ما يتعارض معها من إجراءات سابقة.</w:t>
      </w:r>
    </w:p>
    <w:p w:rsidR="00B47E05" w:rsidRDefault="00E87ED6" w:rsidP="008748F3">
      <w:pPr>
        <w:pBdr>
          <w:bottom w:val="single" w:sz="12" w:space="4" w:color="1F5F3F"/>
        </w:pBdr>
        <w:spacing w:before="480" w:after="240"/>
      </w:pPr>
      <w:r>
        <w:rPr>
          <w:b/>
          <w:bCs/>
          <w:color w:val="143F2A"/>
          <w:sz w:val="28"/>
          <w:szCs w:val="28"/>
        </w:rPr>
        <w:t>اع</w:t>
      </w:r>
      <w:r>
        <w:rPr>
          <w:b/>
          <w:bCs/>
          <w:color w:val="143F2A"/>
          <w:sz w:val="28"/>
          <w:szCs w:val="28"/>
        </w:rPr>
        <w:t>ت</w:t>
      </w:r>
      <w:r>
        <w:rPr>
          <w:b/>
          <w:bCs/>
          <w:color w:val="143F2A"/>
          <w:sz w:val="28"/>
          <w:szCs w:val="28"/>
        </w:rPr>
        <w:t>ماد الوثيقة</w:t>
      </w:r>
    </w:p>
    <w:p w:rsidR="00B47E05" w:rsidRDefault="00E87ED6" w:rsidP="008748F3">
      <w:pPr>
        <w:spacing w:before="200" w:after="240" w:line="380" w:lineRule="auto"/>
      </w:pPr>
      <w:r>
        <w:rPr>
          <w:color w:val="0E1A14"/>
          <w:sz w:val="20"/>
          <w:szCs w:val="20"/>
        </w:rPr>
        <w:t>اعتُمدت هذه الوثيقة من قِبل المخوّلين أدناه، وأصبحت سارية المفعول من تاريخ التوقيع، ومُلزمة لجميع أعضاء مجلس الأمناء واللجان المنبثقة والأمانة العامة:</w:t>
      </w:r>
    </w:p>
    <w:tbl>
      <w:tblPr>
        <w:bidiVisual/>
        <w:tblW w:w="9360" w:type="dxa"/>
        <w:jc w:val="center"/>
        <w:tblBorders>
          <w:top w:val="none" w:sz="0" w:space="0" w:color="FFFFFF"/>
          <w:left w:val="none" w:sz="0" w:space="0" w:color="FFFFFF"/>
          <w:bottom w:val="none" w:sz="0" w:space="0" w:color="FFFFFF"/>
          <w:right w:val="none" w:sz="0" w:space="0" w:color="FFFFFF"/>
          <w:insideH w:val="none" w:sz="60" w:space="0" w:color="FFFFFF"/>
          <w:insideV w:val="none" w:sz="60" w:space="0" w:color="FFFFFF"/>
        </w:tblBorders>
        <w:tblCellMar>
          <w:left w:w="10" w:type="dxa"/>
          <w:right w:w="10" w:type="dxa"/>
        </w:tblCellMar>
        <w:tblLook w:val="0000" w:firstRow="0" w:lastRow="0" w:firstColumn="0" w:lastColumn="0" w:noHBand="0" w:noVBand="0"/>
      </w:tblPr>
      <w:tblGrid>
        <w:gridCol w:w="4680"/>
        <w:gridCol w:w="4680"/>
      </w:tblGrid>
      <w:tr w:rsidR="00B47E05" w:rsidTr="008748F3">
        <w:tblPrEx>
          <w:tblCellMar>
            <w:top w:w="0" w:type="dxa"/>
            <w:bottom w:w="0" w:type="dxa"/>
          </w:tblCellMar>
        </w:tblPrEx>
        <w:trPr>
          <w:jc w:val="center"/>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B47E05" w:rsidRDefault="00E87ED6" w:rsidP="008748F3">
            <w:pPr>
              <w:spacing w:after="200"/>
            </w:pPr>
            <w:r>
              <w:rPr>
                <w:b/>
                <w:bCs/>
                <w:color w:val="143F2A"/>
              </w:rPr>
              <w:t>رئيس مجلس الأمناء</w:t>
            </w:r>
          </w:p>
          <w:p w:rsidR="00B47E05" w:rsidRDefault="00E87ED6" w:rsidP="008748F3">
            <w:pPr>
              <w:spacing w:before="200" w:after="80"/>
            </w:pPr>
            <w:r>
              <w:rPr>
                <w:b/>
                <w:bCs/>
                <w:color w:val="6B7770"/>
                <w:sz w:val="18"/>
                <w:szCs w:val="18"/>
              </w:rPr>
              <w:t>الاسم:</w:t>
            </w:r>
          </w:p>
          <w:p w:rsidR="00B47E05" w:rsidRDefault="00B47E05" w:rsidP="008748F3">
            <w:pPr>
              <w:pBdr>
                <w:bottom w:val="single" w:sz="4" w:space="1" w:color="C9CFC9"/>
              </w:pBdr>
              <w:spacing w:before="60" w:after="240" w:line="200" w:lineRule="auto"/>
            </w:pPr>
          </w:p>
          <w:p w:rsidR="00B47E05" w:rsidRDefault="00E87ED6" w:rsidP="008748F3">
            <w:pPr>
              <w:spacing w:before="200" w:after="80"/>
            </w:pPr>
            <w:r>
              <w:rPr>
                <w:b/>
                <w:bCs/>
                <w:color w:val="6B7770"/>
                <w:sz w:val="18"/>
                <w:szCs w:val="18"/>
              </w:rPr>
              <w:t>التوقيع:</w:t>
            </w:r>
          </w:p>
          <w:p w:rsidR="00B47E05" w:rsidRPr="008748F3" w:rsidRDefault="00B47E05" w:rsidP="008748F3">
            <w:pPr>
              <w:pBdr>
                <w:bottom w:val="single" w:sz="4" w:space="1" w:color="C9CFC9"/>
              </w:pBdr>
              <w:spacing w:before="60" w:after="240" w:line="200" w:lineRule="auto"/>
              <w:rPr>
                <w:sz w:val="16"/>
                <w:szCs w:val="16"/>
              </w:rPr>
            </w:pPr>
          </w:p>
          <w:p w:rsidR="00B47E05" w:rsidRDefault="00E87ED6" w:rsidP="008748F3">
            <w:pPr>
              <w:spacing w:before="200" w:after="80"/>
            </w:pPr>
            <w:r>
              <w:rPr>
                <w:b/>
                <w:bCs/>
                <w:color w:val="6B7770"/>
                <w:sz w:val="18"/>
                <w:szCs w:val="18"/>
              </w:rPr>
              <w:t>التاريخ:</w:t>
            </w:r>
          </w:p>
          <w:p w:rsidR="00B47E05" w:rsidRDefault="00B47E05" w:rsidP="008748F3">
            <w:pPr>
              <w:pBdr>
                <w:bottom w:val="single" w:sz="4" w:space="1" w:color="C9CFC9"/>
              </w:pBdr>
              <w:spacing w:before="60" w:after="80" w:line="200" w:lineRule="auto"/>
            </w:pP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B47E05" w:rsidRDefault="00E87ED6" w:rsidP="008748F3">
            <w:pPr>
              <w:spacing w:after="200"/>
            </w:pPr>
            <w:r>
              <w:rPr>
                <w:b/>
                <w:bCs/>
                <w:color w:val="143F2A"/>
              </w:rPr>
              <w:t>نائب رئيس مجلس الأمناء</w:t>
            </w:r>
          </w:p>
          <w:p w:rsidR="00B47E05" w:rsidRDefault="00E87ED6" w:rsidP="008748F3">
            <w:pPr>
              <w:spacing w:before="200" w:after="80"/>
            </w:pPr>
            <w:r>
              <w:rPr>
                <w:b/>
                <w:bCs/>
                <w:color w:val="6B7770"/>
                <w:sz w:val="18"/>
                <w:szCs w:val="18"/>
              </w:rPr>
              <w:t>الاسم:</w:t>
            </w:r>
          </w:p>
          <w:p w:rsidR="00B47E05" w:rsidRDefault="00B47E05" w:rsidP="008748F3">
            <w:pPr>
              <w:pBdr>
                <w:bottom w:val="single" w:sz="4" w:space="1" w:color="C9CFC9"/>
              </w:pBdr>
              <w:spacing w:before="60" w:after="240" w:line="200" w:lineRule="auto"/>
            </w:pPr>
          </w:p>
          <w:p w:rsidR="00B47E05" w:rsidRDefault="00E87ED6" w:rsidP="008748F3">
            <w:pPr>
              <w:spacing w:before="200" w:after="80"/>
            </w:pPr>
            <w:r>
              <w:rPr>
                <w:b/>
                <w:bCs/>
                <w:color w:val="6B7770"/>
                <w:sz w:val="18"/>
                <w:szCs w:val="18"/>
              </w:rPr>
              <w:t>التوقيع:</w:t>
            </w:r>
          </w:p>
          <w:p w:rsidR="00B47E05" w:rsidRDefault="00B47E05" w:rsidP="008748F3">
            <w:pPr>
              <w:pBdr>
                <w:bottom w:val="single" w:sz="4" w:space="1" w:color="C9CFC9"/>
              </w:pBdr>
              <w:spacing w:before="60" w:after="240" w:line="200" w:lineRule="auto"/>
            </w:pPr>
          </w:p>
          <w:p w:rsidR="00B47E05" w:rsidRDefault="00E87ED6" w:rsidP="008748F3">
            <w:pPr>
              <w:spacing w:before="200" w:after="80"/>
            </w:pPr>
            <w:r>
              <w:rPr>
                <w:b/>
                <w:bCs/>
                <w:color w:val="6B7770"/>
                <w:sz w:val="18"/>
                <w:szCs w:val="18"/>
              </w:rPr>
              <w:t>التاريخ:</w:t>
            </w:r>
          </w:p>
          <w:p w:rsidR="00B47E05" w:rsidRDefault="00B47E05" w:rsidP="008748F3">
            <w:pPr>
              <w:pBdr>
                <w:bottom w:val="single" w:sz="4" w:space="1" w:color="C9CFC9"/>
              </w:pBdr>
              <w:spacing w:before="60" w:after="80" w:line="200" w:lineRule="auto"/>
            </w:pPr>
          </w:p>
        </w:tc>
      </w:tr>
      <w:tr w:rsidR="00B47E05" w:rsidTr="008748F3">
        <w:tblPrEx>
          <w:tblCellMar>
            <w:top w:w="0" w:type="dxa"/>
            <w:bottom w:w="0" w:type="dxa"/>
          </w:tblCellMar>
        </w:tblPrEx>
        <w:trPr>
          <w:jc w:val="center"/>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B47E05" w:rsidRDefault="00E87ED6" w:rsidP="008748F3">
            <w:pPr>
              <w:spacing w:after="200"/>
            </w:pPr>
            <w:r>
              <w:rPr>
                <w:b/>
                <w:bCs/>
                <w:color w:val="143F2A"/>
              </w:rPr>
              <w:t>أمين عام مجلس الأمناء</w:t>
            </w:r>
          </w:p>
          <w:p w:rsidR="00B47E05" w:rsidRDefault="00E87ED6" w:rsidP="008748F3">
            <w:pPr>
              <w:spacing w:before="200" w:after="80"/>
            </w:pPr>
            <w:r>
              <w:rPr>
                <w:b/>
                <w:bCs/>
                <w:color w:val="6B7770"/>
                <w:sz w:val="18"/>
                <w:szCs w:val="18"/>
              </w:rPr>
              <w:t>الاسم:</w:t>
            </w:r>
          </w:p>
          <w:p w:rsidR="00B47E05" w:rsidRDefault="00B47E05" w:rsidP="008748F3">
            <w:pPr>
              <w:pBdr>
                <w:bottom w:val="single" w:sz="4" w:space="1" w:color="C9CFC9"/>
              </w:pBdr>
              <w:spacing w:before="60" w:after="240" w:line="200" w:lineRule="auto"/>
            </w:pPr>
          </w:p>
          <w:p w:rsidR="00B47E05" w:rsidRDefault="00E87ED6" w:rsidP="008748F3">
            <w:pPr>
              <w:spacing w:before="200" w:after="80"/>
            </w:pPr>
            <w:r>
              <w:rPr>
                <w:b/>
                <w:bCs/>
                <w:color w:val="6B7770"/>
                <w:sz w:val="18"/>
                <w:szCs w:val="18"/>
              </w:rPr>
              <w:t>التوقيع:</w:t>
            </w:r>
          </w:p>
          <w:p w:rsidR="00B47E05" w:rsidRDefault="00B47E05" w:rsidP="008748F3">
            <w:pPr>
              <w:pBdr>
                <w:bottom w:val="single" w:sz="4" w:space="1" w:color="C9CFC9"/>
              </w:pBdr>
              <w:spacing w:before="60" w:after="240" w:line="200" w:lineRule="auto"/>
            </w:pPr>
          </w:p>
          <w:p w:rsidR="00B47E05" w:rsidRDefault="00E87ED6" w:rsidP="008748F3">
            <w:pPr>
              <w:spacing w:before="200" w:after="80"/>
            </w:pPr>
            <w:r>
              <w:rPr>
                <w:b/>
                <w:bCs/>
                <w:color w:val="6B7770"/>
                <w:sz w:val="18"/>
                <w:szCs w:val="18"/>
              </w:rPr>
              <w:t>التاريخ:</w:t>
            </w:r>
          </w:p>
          <w:p w:rsidR="00B47E05" w:rsidRDefault="00B47E05" w:rsidP="008748F3">
            <w:pPr>
              <w:pBdr>
                <w:bottom w:val="single" w:sz="4" w:space="1" w:color="C9CFC9"/>
              </w:pBdr>
              <w:spacing w:before="60" w:after="80" w:line="200" w:lineRule="auto"/>
            </w:pP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vAlign w:val="center"/>
          </w:tcPr>
          <w:p w:rsidR="00B47E05" w:rsidRDefault="00E87ED6" w:rsidP="008748F3">
            <w:pPr>
              <w:spacing w:after="200"/>
            </w:pPr>
            <w:r>
              <w:rPr>
                <w:b/>
                <w:bCs/>
                <w:color w:val="143F2A"/>
              </w:rPr>
              <w:t>ممثل لجنة الحوكمة</w:t>
            </w:r>
          </w:p>
          <w:p w:rsidR="00B47E05" w:rsidRDefault="00E87ED6" w:rsidP="008748F3">
            <w:pPr>
              <w:spacing w:before="200" w:after="80"/>
            </w:pPr>
            <w:r>
              <w:rPr>
                <w:b/>
                <w:bCs/>
                <w:color w:val="6B7770"/>
                <w:sz w:val="18"/>
                <w:szCs w:val="18"/>
              </w:rPr>
              <w:t>الاسم:</w:t>
            </w:r>
          </w:p>
          <w:p w:rsidR="00B47E05" w:rsidRDefault="00B47E05" w:rsidP="008748F3">
            <w:pPr>
              <w:pBdr>
                <w:bottom w:val="single" w:sz="4" w:space="1" w:color="C9CFC9"/>
              </w:pBdr>
              <w:spacing w:before="60" w:after="240" w:line="200" w:lineRule="auto"/>
            </w:pPr>
          </w:p>
          <w:p w:rsidR="00B47E05" w:rsidRDefault="00E87ED6" w:rsidP="008748F3">
            <w:pPr>
              <w:spacing w:before="200" w:after="80"/>
            </w:pPr>
            <w:r>
              <w:rPr>
                <w:b/>
                <w:bCs/>
                <w:color w:val="6B7770"/>
                <w:sz w:val="18"/>
                <w:szCs w:val="18"/>
              </w:rPr>
              <w:t>التوقيع:</w:t>
            </w:r>
          </w:p>
          <w:p w:rsidR="00B47E05" w:rsidRDefault="00B47E05" w:rsidP="008748F3">
            <w:pPr>
              <w:pBdr>
                <w:bottom w:val="single" w:sz="4" w:space="1" w:color="C9CFC9"/>
              </w:pBdr>
              <w:spacing w:before="60" w:after="240" w:line="200" w:lineRule="auto"/>
            </w:pPr>
          </w:p>
          <w:p w:rsidR="00B47E05" w:rsidRDefault="00E87ED6" w:rsidP="008748F3">
            <w:pPr>
              <w:spacing w:before="200" w:after="80"/>
            </w:pPr>
            <w:r>
              <w:rPr>
                <w:b/>
                <w:bCs/>
                <w:color w:val="6B7770"/>
                <w:sz w:val="18"/>
                <w:szCs w:val="18"/>
              </w:rPr>
              <w:t>التاريخ:</w:t>
            </w:r>
          </w:p>
          <w:p w:rsidR="00B47E05" w:rsidRDefault="00B47E05" w:rsidP="008748F3">
            <w:pPr>
              <w:pBdr>
                <w:bottom w:val="single" w:sz="4" w:space="1" w:color="C9CFC9"/>
              </w:pBdr>
              <w:spacing w:before="60" w:after="80" w:line="200" w:lineRule="auto"/>
            </w:pPr>
          </w:p>
        </w:tc>
      </w:tr>
    </w:tbl>
    <w:p w:rsidR="00E87ED6" w:rsidRDefault="00E87ED6" w:rsidP="008748F3">
      <w:bookmarkStart w:id="0" w:name="_GoBack"/>
      <w:bookmarkEnd w:id="0"/>
    </w:p>
    <w:sectPr w:rsidR="00E87ED6">
      <w:headerReference w:type="default" r:id="rId8"/>
      <w:footerReference w:type="default" r:id="rId9"/>
      <w:pgSz w:w="11906" w:h="16838"/>
      <w:pgMar w:top="1440" w:right="1080" w:bottom="1080" w:left="108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7ED6" w:rsidRDefault="00E87ED6">
      <w:pPr>
        <w:spacing w:line="240" w:lineRule="auto"/>
      </w:pPr>
      <w:r>
        <w:separator/>
      </w:r>
    </w:p>
  </w:endnote>
  <w:endnote w:type="continuationSeparator" w:id="0">
    <w:p w:rsidR="00E87ED6" w:rsidRDefault="00E87E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47E05" w:rsidRDefault="00B47E05">
    <w:pPr>
      <w:pBdr>
        <w:top w:val="single" w:sz="6" w:space="1" w:color="1F5F3F"/>
      </w:pBdr>
      <w:spacing w:after="60" w:line="60" w:lineRule="auto"/>
      <w:jc w:val="right"/>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B47E05">
      <w:tblPrEx>
        <w:tblCellMar>
          <w:top w:w="0" w:type="dxa"/>
          <w:bottom w:w="0" w:type="dxa"/>
        </w:tblCellMar>
      </w:tblPrEx>
      <w:trPr>
        <w:jc w:val="right"/>
      </w:trPr>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B47E05" w:rsidRDefault="00E87ED6">
          <w:pPr>
            <w:jc w:val="right"/>
          </w:pPr>
          <w:r>
            <w:rPr>
              <w:b/>
              <w:bCs/>
              <w:color w:val="6B7770"/>
              <w:sz w:val="12"/>
              <w:szCs w:val="12"/>
              <w:rtl w:val="0"/>
            </w:rPr>
            <w:t>BOT-COI-006</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B47E05" w:rsidRDefault="00E87ED6">
          <w:pPr>
            <w:jc w:val="center"/>
          </w:pPr>
          <w:r>
            <w:rPr>
              <w:color w:val="6B7770"/>
              <w:sz w:val="12"/>
              <w:szCs w:val="12"/>
            </w:rPr>
            <w:t>الإصدار الأول — ١٤٤٧هـ</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B47E05" w:rsidRDefault="00E87ED6">
          <w:pPr>
            <w:jc w:val="right"/>
          </w:pPr>
          <w:r>
            <w:rPr>
              <w:color w:val="6B7770"/>
              <w:sz w:val="12"/>
              <w:szCs w:val="12"/>
            </w:rPr>
            <w:t xml:space="preserve">صفحة </w:t>
          </w:r>
          <w:r>
            <w:rPr>
              <w:color w:val="6B7770"/>
              <w:sz w:val="12"/>
              <w:szCs w:val="12"/>
            </w:rPr>
            <w:fldChar w:fldCharType="begin"/>
          </w:r>
          <w:r>
            <w:rPr>
              <w:color w:val="6B7770"/>
              <w:sz w:val="12"/>
              <w:szCs w:val="12"/>
            </w:rPr>
            <w:instrText>PAGE</w:instrText>
          </w:r>
          <w:r w:rsidR="008748F3">
            <w:rPr>
              <w:color w:val="6B7770"/>
              <w:sz w:val="12"/>
              <w:szCs w:val="12"/>
            </w:rPr>
            <w:fldChar w:fldCharType="separate"/>
          </w:r>
          <w:r w:rsidR="008748F3">
            <w:rPr>
              <w:noProof/>
              <w:color w:val="6B7770"/>
              <w:sz w:val="12"/>
              <w:szCs w:val="12"/>
            </w:rPr>
            <w:t>4</w:t>
          </w:r>
          <w:r>
            <w:rPr>
              <w:color w:val="6B7770"/>
              <w:sz w:val="12"/>
              <w:szCs w:val="12"/>
            </w:rPr>
            <w:fldChar w:fldCharType="end"/>
          </w:r>
          <w:r>
            <w:rPr>
              <w:color w:val="6B7770"/>
              <w:sz w:val="12"/>
              <w:szCs w:val="12"/>
            </w:rPr>
            <w:t xml:space="preserve"> من </w:t>
          </w:r>
          <w:r>
            <w:rPr>
              <w:color w:val="6B7770"/>
              <w:sz w:val="12"/>
              <w:szCs w:val="12"/>
            </w:rPr>
            <w:fldChar w:fldCharType="begin"/>
          </w:r>
          <w:r>
            <w:rPr>
              <w:color w:val="6B7770"/>
              <w:sz w:val="12"/>
              <w:szCs w:val="12"/>
            </w:rPr>
            <w:instrText>NUMPAGES</w:instrText>
          </w:r>
          <w:r w:rsidR="008748F3">
            <w:rPr>
              <w:color w:val="6B7770"/>
              <w:sz w:val="12"/>
              <w:szCs w:val="12"/>
            </w:rPr>
            <w:fldChar w:fldCharType="separate"/>
          </w:r>
          <w:r w:rsidR="008748F3">
            <w:rPr>
              <w:noProof/>
              <w:color w:val="6B7770"/>
              <w:sz w:val="12"/>
              <w:szCs w:val="12"/>
            </w:rPr>
            <w:t>4</w:t>
          </w:r>
          <w:r>
            <w:rPr>
              <w:color w:val="6B7770"/>
              <w:sz w:val="12"/>
              <w:szCs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7ED6" w:rsidRDefault="00E87ED6">
      <w:pPr>
        <w:spacing w:line="240" w:lineRule="auto"/>
      </w:pPr>
      <w:r>
        <w:separator/>
      </w:r>
    </w:p>
  </w:footnote>
  <w:footnote w:type="continuationSeparator" w:id="0">
    <w:p w:rsidR="00E87ED6" w:rsidRDefault="00E87E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40"/>
      <w:gridCol w:w="6480"/>
      <w:gridCol w:w="1440"/>
    </w:tblGrid>
    <w:tr w:rsidR="00B47E05">
      <w:tblPrEx>
        <w:tblCellMar>
          <w:top w:w="0" w:type="dxa"/>
          <w:bottom w:w="0" w:type="dxa"/>
        </w:tblCellMar>
      </w:tblPrEx>
      <w:trPr>
        <w:jc w:val="right"/>
      </w:trPr>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B47E05" w:rsidRDefault="00E87ED6">
          <w:pPr>
            <w:spacing w:line="240" w:lineRule="auto"/>
            <w:jc w:val="right"/>
          </w:pPr>
          <w:r>
            <w:rPr>
              <w:b/>
              <w:bCs/>
              <w:color w:val="1F5F3F"/>
              <w:sz w:val="16"/>
              <w:szCs w:val="16"/>
            </w:rPr>
            <w:t>جامعة الملك خالد</w:t>
          </w:r>
        </w:p>
        <w:p w:rsidR="00B47E05" w:rsidRDefault="00E87ED6">
          <w:pPr>
            <w:spacing w:line="240" w:lineRule="auto"/>
            <w:jc w:val="right"/>
          </w:pPr>
          <w:r>
            <w:rPr>
              <w:color w:val="6B7770"/>
              <w:sz w:val="14"/>
              <w:szCs w:val="14"/>
            </w:rPr>
            <w:t>مجلس الأمناء</w:t>
          </w:r>
        </w:p>
      </w:tc>
      <w:tc>
        <w:tcPr>
          <w:tcW w:w="64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rsidR="00B47E05" w:rsidRDefault="00E87ED6">
          <w:pPr>
            <w:spacing w:line="280" w:lineRule="auto"/>
            <w:jc w:val="center"/>
          </w:pPr>
          <w:r>
            <w:rPr>
              <w:b/>
              <w:bCs/>
              <w:color w:val="143F2A"/>
              <w:sz w:val="18"/>
              <w:szCs w:val="18"/>
            </w:rPr>
            <w:t>سياسة تضارب المصالح</w:t>
          </w:r>
        </w:p>
        <w:p w:rsidR="00B47E05" w:rsidRDefault="00E87ED6">
          <w:pPr>
            <w:spacing w:line="220" w:lineRule="auto"/>
            <w:jc w:val="center"/>
          </w:pPr>
          <w:r>
            <w:rPr>
              <w:b/>
              <w:bCs/>
              <w:color w:val="B89855"/>
              <w:sz w:val="12"/>
              <w:szCs w:val="12"/>
              <w:rtl w:val="0"/>
            </w:rPr>
            <w:t>BOT-COI-006</w:t>
          </w:r>
        </w:p>
      </w:tc>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B47E05" w:rsidRDefault="00E87ED6">
          <w:pPr>
            <w:jc w:val="right"/>
          </w:pPr>
          <w:r>
            <w:rPr>
              <w:noProof/>
            </w:rPr>
            <w:drawing>
              <wp:inline distT="0" distB="0" distL="0" distR="0">
                <wp:extent cx="571500" cy="57150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r>
  </w:tbl>
  <w:p w:rsidR="00B47E05" w:rsidRDefault="00B47E05">
    <w:pPr>
      <w:pBdr>
        <w:bottom w:val="single" w:sz="8" w:space="1" w:color="B89855"/>
      </w:pBdr>
      <w:spacing w:line="60" w:lineRule="auto"/>
      <w:jc w:val="right"/>
    </w:pPr>
  </w:p>
  <w:p w:rsidR="00B47E05" w:rsidRDefault="00B47E05">
    <w:pPr>
      <w:spacing w:line="6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C16061"/>
    <w:multiLevelType w:val="hybridMultilevel"/>
    <w:tmpl w:val="6A384638"/>
    <w:lvl w:ilvl="0" w:tplc="59A8FC52">
      <w:start w:val="1"/>
      <w:numFmt w:val="bullet"/>
      <w:lvlText w:val="●"/>
      <w:lvlJc w:val="left"/>
      <w:pPr>
        <w:bidi/>
        <w:ind w:left="720" w:hanging="360"/>
      </w:pPr>
    </w:lvl>
    <w:lvl w:ilvl="1" w:tplc="A3FA5380">
      <w:start w:val="1"/>
      <w:numFmt w:val="bullet"/>
      <w:lvlText w:val="○"/>
      <w:lvlJc w:val="left"/>
      <w:pPr>
        <w:bidi/>
        <w:ind w:left="1440" w:hanging="360"/>
      </w:pPr>
    </w:lvl>
    <w:lvl w:ilvl="2" w:tplc="B406F64A">
      <w:start w:val="1"/>
      <w:numFmt w:val="bullet"/>
      <w:lvlText w:val="■"/>
      <w:lvlJc w:val="left"/>
      <w:pPr>
        <w:bidi/>
        <w:ind w:left="2160" w:hanging="360"/>
      </w:pPr>
    </w:lvl>
    <w:lvl w:ilvl="3" w:tplc="33CC7F3A">
      <w:start w:val="1"/>
      <w:numFmt w:val="bullet"/>
      <w:lvlText w:val="●"/>
      <w:lvlJc w:val="left"/>
      <w:pPr>
        <w:bidi/>
        <w:ind w:left="2880" w:hanging="360"/>
      </w:pPr>
    </w:lvl>
    <w:lvl w:ilvl="4" w:tplc="45D6701E">
      <w:start w:val="1"/>
      <w:numFmt w:val="bullet"/>
      <w:lvlText w:val="○"/>
      <w:lvlJc w:val="left"/>
      <w:pPr>
        <w:bidi/>
        <w:ind w:left="3600" w:hanging="360"/>
      </w:pPr>
    </w:lvl>
    <w:lvl w:ilvl="5" w:tplc="C7CECB58">
      <w:start w:val="1"/>
      <w:numFmt w:val="bullet"/>
      <w:lvlText w:val="■"/>
      <w:lvlJc w:val="left"/>
      <w:pPr>
        <w:bidi/>
        <w:ind w:left="4320" w:hanging="360"/>
      </w:pPr>
    </w:lvl>
    <w:lvl w:ilvl="6" w:tplc="6ACC7538">
      <w:start w:val="1"/>
      <w:numFmt w:val="bullet"/>
      <w:lvlText w:val="●"/>
      <w:lvlJc w:val="left"/>
      <w:pPr>
        <w:bidi/>
        <w:ind w:left="5040" w:hanging="360"/>
      </w:pPr>
    </w:lvl>
    <w:lvl w:ilvl="7" w:tplc="7C44C5B2">
      <w:start w:val="1"/>
      <w:numFmt w:val="bullet"/>
      <w:lvlText w:val="●"/>
      <w:lvlJc w:val="left"/>
      <w:pPr>
        <w:bidi/>
        <w:ind w:left="5760" w:hanging="360"/>
      </w:pPr>
    </w:lvl>
    <w:lvl w:ilvl="8" w:tplc="DC567496">
      <w:start w:val="1"/>
      <w:numFmt w:val="bullet"/>
      <w:lvlText w:val="●"/>
      <w:lvlJc w:val="left"/>
      <w:pPr>
        <w:bidi/>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E05"/>
    <w:rsid w:val="008748F3"/>
    <w:rsid w:val="00B47E05"/>
    <w:rsid w:val="00E87E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57FDA"/>
  <w15:docId w15:val="{7C25824E-8E74-4CCB-B1FD-4D5CDAD8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Sakkal Majalla" w:hAnsi="Sakkal Majalla" w:cs="Sakkal Majalla"/>
        <w:sz w:val="22"/>
        <w:szCs w:val="22"/>
        <w:rt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spacing w:line="320" w:lineRule="auto"/>
    </w:p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تشديد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1590</Words>
  <Characters>9067</Characters>
  <Application>Microsoft Office Word</Application>
  <DocSecurity>0</DocSecurity>
  <Lines>75</Lines>
  <Paragraphs>21</Paragraphs>
  <ScaleCrop>false</ScaleCrop>
  <Company>King Khalid University</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سياسة تضارب المصالح</dc:title>
  <dc:creator>جامعة الملك خالد - الأمانة العامة لمجلس الأمناء</dc:creator>
  <cp:lastModifiedBy>Mohammed Al Jouni</cp:lastModifiedBy>
  <cp:revision>2</cp:revision>
  <dcterms:created xsi:type="dcterms:W3CDTF">2026-04-30T03:05:00Z</dcterms:created>
  <dcterms:modified xsi:type="dcterms:W3CDTF">2026-04-30T10:26:00Z</dcterms:modified>
</cp:coreProperties>
</file>