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25C0" w:rsidRDefault="00CC0764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3825C0" w:rsidRDefault="00CC0764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3825C0" w:rsidRDefault="00CC0764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3825C0" w:rsidRDefault="00CC0764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p w:rsidR="003825C0" w:rsidRDefault="00CC0764">
      <w:pPr>
        <w:spacing w:line="240" w:lineRule="auto"/>
        <w:jc w:val="right"/>
      </w:pPr>
      <w:r>
        <w:rPr>
          <w:color w:val="0E1A14"/>
          <w:sz w:val="12"/>
          <w:szCs w:val="12"/>
        </w:rPr>
        <w:t xml:space="preserve"> </w:t>
      </w:r>
    </w:p>
    <w:tbl>
      <w:tblPr>
        <w:bidiVisual/>
        <w:tblW w:w="936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25C0">
        <w:tblPrEx>
          <w:tblCellMar>
            <w:top w:w="0" w:type="dxa"/>
            <w:bottom w:w="0" w:type="dxa"/>
          </w:tblCellMar>
        </w:tblPrEx>
        <w:trPr>
          <w:trHeight w:val="3600"/>
          <w:jc w:val="right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:rsidR="003825C0" w:rsidRDefault="00CC0764">
            <w:pPr>
              <w:spacing w:line="3600" w:lineRule="exact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1666875"/>
                  <wp:effectExtent l="0" t="0" r="0" b="0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25C0" w:rsidRDefault="00CC0764">
      <w:pPr>
        <w:spacing w:before="200"/>
        <w:jc w:val="right"/>
      </w:pPr>
      <w:r>
        <w:rPr>
          <w:color w:val="0E1A14"/>
          <w:sz w:val="12"/>
          <w:szCs w:val="12"/>
        </w:rPr>
        <w:t xml:space="preserve"> </w:t>
      </w:r>
    </w:p>
    <w:p w:rsidR="003825C0" w:rsidRDefault="00CC0764">
      <w:pPr>
        <w:spacing w:after="60"/>
        <w:jc w:val="center"/>
      </w:pPr>
      <w:r>
        <w:rPr>
          <w:b/>
          <w:bCs/>
          <w:color w:val="1F5F3F"/>
          <w:sz w:val="36"/>
          <w:szCs w:val="36"/>
        </w:rPr>
        <w:t>جامعة الملك خالد</w:t>
      </w:r>
    </w:p>
    <w:p w:rsidR="003825C0" w:rsidRDefault="00CC0764">
      <w:pPr>
        <w:spacing w:after="240"/>
        <w:jc w:val="center"/>
      </w:pPr>
      <w:r>
        <w:rPr>
          <w:color w:val="6B7770"/>
          <w:sz w:val="16"/>
          <w:szCs w:val="16"/>
          <w:rtl w:val="0"/>
        </w:rPr>
        <w:t>KING KHALID UNIVERSITY</w:t>
      </w:r>
    </w:p>
    <w:p w:rsidR="003825C0" w:rsidRDefault="003825C0">
      <w:pPr>
        <w:pBdr>
          <w:bottom w:val="double" w:sz="12" w:space="1" w:color="B89855"/>
        </w:pBdr>
        <w:spacing w:before="240" w:after="240" w:line="60" w:lineRule="auto"/>
        <w:jc w:val="right"/>
      </w:pPr>
    </w:p>
    <w:p w:rsidR="003825C0" w:rsidRDefault="00CC0764">
      <w:pPr>
        <w:spacing w:before="480" w:after="120" w:line="280" w:lineRule="auto"/>
        <w:jc w:val="center"/>
      </w:pPr>
      <w:r>
        <w:rPr>
          <w:b/>
          <w:bCs/>
          <w:color w:val="B89855"/>
          <w:sz w:val="18"/>
          <w:szCs w:val="18"/>
        </w:rPr>
        <w:t xml:space="preserve">الحزمة الثانية — الأدلة </w:t>
      </w:r>
      <w:proofErr w:type="spellStart"/>
      <w:r>
        <w:rPr>
          <w:b/>
          <w:bCs/>
          <w:color w:val="B89855"/>
          <w:sz w:val="18"/>
          <w:szCs w:val="18"/>
        </w:rPr>
        <w:t>الحوكمية</w:t>
      </w:r>
      <w:proofErr w:type="spellEnd"/>
    </w:p>
    <w:p w:rsidR="003825C0" w:rsidRDefault="00CC0764">
      <w:pPr>
        <w:spacing w:after="80"/>
        <w:jc w:val="center"/>
      </w:pPr>
      <w:r>
        <w:rPr>
          <w:color w:val="6B7770"/>
          <w:sz w:val="16"/>
          <w:szCs w:val="16"/>
        </w:rPr>
        <w:t>الوثيقة رقم (٣) من (٨)</w:t>
      </w:r>
    </w:p>
    <w:p w:rsidR="003825C0" w:rsidRDefault="00CC0764">
      <w:pPr>
        <w:spacing w:before="360" w:after="120" w:line="480" w:lineRule="auto"/>
        <w:jc w:val="center"/>
      </w:pPr>
      <w:r>
        <w:rPr>
          <w:b/>
          <w:bCs/>
          <w:color w:val="143F2A"/>
          <w:sz w:val="48"/>
          <w:szCs w:val="48"/>
        </w:rPr>
        <w:t>مصفوفة</w:t>
      </w:r>
      <w:bookmarkStart w:id="0" w:name="_GoBack"/>
      <w:bookmarkEnd w:id="0"/>
      <w:r>
        <w:rPr>
          <w:b/>
          <w:bCs/>
          <w:color w:val="143F2A"/>
          <w:sz w:val="48"/>
          <w:szCs w:val="48"/>
        </w:rPr>
        <w:t xml:space="preserve"> الصلاحيات</w:t>
      </w:r>
    </w:p>
    <w:p w:rsidR="003825C0" w:rsidRDefault="00CC0764">
      <w:pPr>
        <w:spacing w:before="60" w:after="240" w:line="360" w:lineRule="auto"/>
        <w:jc w:val="center"/>
      </w:pPr>
      <w:proofErr w:type="spellStart"/>
      <w:r>
        <w:rPr>
          <w:color w:val="1F5F3F"/>
        </w:rPr>
        <w:t>Delegation</w:t>
      </w:r>
      <w:proofErr w:type="spellEnd"/>
      <w:r>
        <w:rPr>
          <w:color w:val="1F5F3F"/>
        </w:rPr>
        <w:t xml:space="preserve"> </w:t>
      </w:r>
      <w:proofErr w:type="spellStart"/>
      <w:r>
        <w:rPr>
          <w:color w:val="1F5F3F"/>
        </w:rPr>
        <w:t>of</w:t>
      </w:r>
      <w:proofErr w:type="spellEnd"/>
      <w:r>
        <w:rPr>
          <w:color w:val="1F5F3F"/>
        </w:rPr>
        <w:t xml:space="preserve"> </w:t>
      </w:r>
      <w:proofErr w:type="spellStart"/>
      <w:r>
        <w:rPr>
          <w:color w:val="1F5F3F"/>
        </w:rPr>
        <w:t>Authority</w:t>
      </w:r>
      <w:proofErr w:type="spellEnd"/>
      <w:r>
        <w:rPr>
          <w:color w:val="1F5F3F"/>
        </w:rPr>
        <w:t xml:space="preserve"> </w:t>
      </w:r>
      <w:proofErr w:type="spellStart"/>
      <w:r>
        <w:rPr>
          <w:color w:val="1F5F3F"/>
        </w:rPr>
        <w:t>Matrix</w:t>
      </w:r>
      <w:proofErr w:type="spellEnd"/>
    </w:p>
    <w:p w:rsidR="003825C0" w:rsidRDefault="003825C0">
      <w:pPr>
        <w:pBdr>
          <w:bottom w:val="double" w:sz="12" w:space="1" w:color="B89855"/>
        </w:pBdr>
        <w:spacing w:before="360" w:after="240" w:line="60" w:lineRule="auto"/>
        <w:jc w:val="right"/>
      </w:pPr>
    </w:p>
    <w:p w:rsidR="003825C0" w:rsidRDefault="003825C0">
      <w:pPr>
        <w:spacing w:line="240" w:lineRule="auto"/>
        <w:jc w:val="right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0"/>
        <w:gridCol w:w="6520"/>
        <w:gridCol w:w="1420"/>
      </w:tblGrid>
      <w:tr w:rsidR="003825C0" w:rsidTr="001C211B">
        <w:tblPrEx>
          <w:tblCellMar>
            <w:top w:w="0" w:type="dxa"/>
            <w:bottom w:w="0" w:type="dxa"/>
          </w:tblCellMar>
        </w:tblPrEx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3825C0" w:rsidRDefault="003825C0" w:rsidP="001C211B">
            <w:pPr>
              <w:jc w:val="center"/>
            </w:pP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tbl>
            <w:tblPr>
              <w:tblW w:w="65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00"/>
              <w:gridCol w:w="3000"/>
            </w:tblGrid>
            <w:tr w:rsidR="003825C0" w:rsidTr="001C211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3825C0" w:rsidRDefault="00CC0764" w:rsidP="001C211B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الأمانة العامة لمجلس الأمناء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3825C0" w:rsidRDefault="00CC0764" w:rsidP="001C211B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الجهة المُصدرة :</w:t>
                  </w:r>
                </w:p>
              </w:tc>
            </w:tr>
            <w:tr w:rsidR="003825C0" w:rsidTr="001C211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3825C0" w:rsidRDefault="00CC0764" w:rsidP="001C211B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BOT-DOA-003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3825C0" w:rsidRDefault="00CC0764" w:rsidP="001C211B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رمز الوثيقة :</w:t>
                  </w:r>
                </w:p>
              </w:tc>
            </w:tr>
            <w:tr w:rsidR="003825C0" w:rsidTr="001C211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3825C0" w:rsidRDefault="00CC0764" w:rsidP="001C211B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الإصدار الأول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3825C0" w:rsidRDefault="00CC0764" w:rsidP="001C211B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الإصدار :</w:t>
                  </w:r>
                </w:p>
              </w:tc>
            </w:tr>
            <w:tr w:rsidR="003825C0" w:rsidTr="001C211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3825C0" w:rsidRDefault="00CC0764" w:rsidP="001C211B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ربيع الآخر ١٤٤٧هـ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3825C0" w:rsidRDefault="00CC0764" w:rsidP="001C211B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تاريخ الإصدار :</w:t>
                  </w:r>
                </w:p>
              </w:tc>
            </w:tr>
            <w:tr w:rsidR="003825C0" w:rsidTr="001C211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3825C0" w:rsidRDefault="00CC0764" w:rsidP="001C211B">
                  <w:pPr>
                    <w:jc w:val="center"/>
                  </w:pPr>
                  <w:r>
                    <w:rPr>
                      <w:color w:val="0E1A14"/>
                      <w:sz w:val="18"/>
                      <w:szCs w:val="18"/>
                    </w:rPr>
                    <w:t>معتمد</w:t>
                  </w:r>
                </w:p>
              </w:tc>
              <w:tc>
                <w:tcPr>
                  <w:tcW w:w="30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E5E7E5"/>
                    <w:right w:val="none" w:sz="0" w:space="0" w:color="FFFFFF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3825C0" w:rsidRDefault="00CC0764" w:rsidP="001C211B">
                  <w:pPr>
                    <w:jc w:val="center"/>
                  </w:pPr>
                  <w:r>
                    <w:rPr>
                      <w:b/>
                      <w:bCs/>
                      <w:color w:val="143F2A"/>
                      <w:sz w:val="18"/>
                      <w:szCs w:val="18"/>
                    </w:rPr>
                    <w:t>الحالة :</w:t>
                  </w:r>
                </w:p>
              </w:tc>
            </w:tr>
          </w:tbl>
          <w:p w:rsidR="003825C0" w:rsidRDefault="003825C0" w:rsidP="001C211B">
            <w:pPr>
              <w:jc w:val="center"/>
            </w:pPr>
          </w:p>
        </w:tc>
        <w:tc>
          <w:tcPr>
            <w:tcW w:w="1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3825C0" w:rsidRDefault="003825C0" w:rsidP="001C211B">
            <w:pPr>
              <w:jc w:val="center"/>
            </w:pPr>
          </w:p>
        </w:tc>
      </w:tr>
    </w:tbl>
    <w:p w:rsidR="003825C0" w:rsidRDefault="003825C0" w:rsidP="001C211B">
      <w:pPr>
        <w:pageBreakBefore/>
        <w:sectPr w:rsidR="003825C0">
          <w:pgSz w:w="11906" w:h="16838"/>
          <w:pgMar w:top="1080" w:right="1080" w:bottom="1080" w:left="1080" w:header="708" w:footer="708" w:gutter="0"/>
          <w:cols w:space="720"/>
          <w:bidi/>
          <w:docGrid w:linePitch="360"/>
        </w:sectPr>
      </w:pPr>
    </w:p>
    <w:p w:rsidR="003825C0" w:rsidRDefault="00CC0764" w:rsidP="001C211B">
      <w:pPr>
        <w:pBdr>
          <w:bottom w:val="single" w:sz="12" w:space="4" w:color="1F5F3F"/>
        </w:pBdr>
        <w:spacing w:before="240" w:after="240"/>
      </w:pPr>
      <w:r>
        <w:rPr>
          <w:b/>
          <w:bCs/>
          <w:color w:val="143F2A"/>
          <w:sz w:val="28"/>
          <w:szCs w:val="28"/>
        </w:rPr>
        <w:lastRenderedPageBreak/>
        <w:t>بيانات الوثيقة وضوابط الإصدار</w:t>
      </w:r>
    </w:p>
    <w:tbl>
      <w:tblPr>
        <w:bidiVisual/>
        <w:tblW w:w="936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825C0">
        <w:tblPrEx>
          <w:tblCellMar>
            <w:top w:w="0" w:type="dxa"/>
            <w:bottom w:w="0" w:type="dxa"/>
          </w:tblCellMar>
        </w:tblPrEx>
        <w:trPr>
          <w:tblHeader/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b/>
                <w:bCs/>
                <w:color w:val="FFFFFF"/>
                <w:sz w:val="18"/>
                <w:szCs w:val="18"/>
              </w:rPr>
              <w:t>البند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b/>
                <w:bCs/>
                <w:color w:val="FFFFFF"/>
                <w:sz w:val="18"/>
                <w:szCs w:val="18"/>
              </w:rPr>
              <w:t>التفاصيل</w:t>
            </w:r>
          </w:p>
        </w:tc>
      </w:tr>
      <w:tr w:rsidR="003825C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العنوان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مصفوفة الصلاحيات</w:t>
            </w:r>
          </w:p>
        </w:tc>
      </w:tr>
      <w:tr w:rsidR="003825C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الرمز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BOT-DOA-003</w:t>
            </w:r>
          </w:p>
        </w:tc>
      </w:tr>
      <w:tr w:rsidR="003825C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الإصدار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الإصدار الأول (1.0)</w:t>
            </w:r>
          </w:p>
        </w:tc>
      </w:tr>
      <w:tr w:rsidR="003825C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تاريخ الاعتماد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____ / ____ / ١٤٤٧هـ</w:t>
            </w:r>
          </w:p>
        </w:tc>
      </w:tr>
      <w:tr w:rsidR="003825C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تاريخ السريان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تاريخ اعتماد المجلس</w:t>
            </w:r>
          </w:p>
        </w:tc>
      </w:tr>
      <w:tr w:rsidR="003825C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تاريخ المراجعة التالية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بعد سنتين من الاعتماد أو عند تعديل المرجعيات</w:t>
            </w:r>
          </w:p>
        </w:tc>
      </w:tr>
      <w:tr w:rsidR="003825C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الجهة المُعدة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الأمانة العامة لمجلس الأمناء</w:t>
            </w:r>
          </w:p>
        </w:tc>
      </w:tr>
      <w:tr w:rsidR="003825C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الجهة المعتمدة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مجلس الأمناء</w:t>
            </w:r>
          </w:p>
        </w:tc>
      </w:tr>
      <w:tr w:rsidR="003825C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مالك الوثيقة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أمين عام مجلس الأمناء</w:t>
            </w:r>
          </w:p>
        </w:tc>
      </w:tr>
      <w:tr w:rsidR="003825C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تصنيف السرية</w:t>
            </w:r>
          </w:p>
        </w:tc>
        <w:tc>
          <w:tcPr>
            <w:tcW w:w="4680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وثيقة عامة</w:t>
            </w:r>
          </w:p>
        </w:tc>
      </w:tr>
    </w:tbl>
    <w:p w:rsidR="003825C0" w:rsidRDefault="003825C0" w:rsidP="001C211B">
      <w:pPr>
        <w:spacing w:before="120" w:after="120" w:line="200" w:lineRule="auto"/>
      </w:pPr>
    </w:p>
    <w:p w:rsidR="003825C0" w:rsidRDefault="00CC0764" w:rsidP="001C211B">
      <w:pPr>
        <w:spacing w:before="240" w:after="200"/>
      </w:pPr>
      <w:r>
        <w:rPr>
          <w:b/>
          <w:bCs/>
          <w:color w:val="1F5F3F"/>
        </w:rPr>
        <w:t>سجل المراجعات والتعديلات</w:t>
      </w:r>
    </w:p>
    <w:tbl>
      <w:tblPr>
        <w:bidiVisual/>
        <w:tblW w:w="936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825C0">
        <w:tblPrEx>
          <w:tblCellMar>
            <w:top w:w="0" w:type="dxa"/>
            <w:bottom w:w="0" w:type="dxa"/>
          </w:tblCellMar>
        </w:tblPrEx>
        <w:trPr>
          <w:tblHeader/>
          <w:jc w:val="right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b/>
                <w:bCs/>
                <w:color w:val="FFFFFF"/>
                <w:sz w:val="18"/>
                <w:szCs w:val="18"/>
              </w:rPr>
              <w:t>الإصدار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b/>
                <w:bCs/>
                <w:color w:val="FFFFFF"/>
                <w:sz w:val="18"/>
                <w:szCs w:val="18"/>
              </w:rPr>
              <w:t>التاريخ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b/>
                <w:bCs/>
                <w:color w:val="FFFFFF"/>
                <w:sz w:val="18"/>
                <w:szCs w:val="18"/>
              </w:rPr>
              <w:t>نوع التعديل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b/>
                <w:bCs/>
                <w:color w:val="FFFFFF"/>
                <w:sz w:val="18"/>
                <w:szCs w:val="18"/>
              </w:rPr>
              <w:t>وصف التعديل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1F5F3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b/>
                <w:bCs/>
                <w:color w:val="FFFFFF"/>
                <w:sz w:val="18"/>
                <w:szCs w:val="18"/>
              </w:rPr>
              <w:t>المعتمد</w:t>
            </w:r>
          </w:p>
        </w:tc>
      </w:tr>
      <w:tr w:rsidR="003825C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1.0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ربيع الآخر ١٤٤٧هـ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إصدار أولي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إصدار الوثيقة لأول مرة</w:t>
            </w:r>
          </w:p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CC0764" w:rsidP="001C211B">
            <w:r>
              <w:rPr>
                <w:color w:val="0E1A14"/>
                <w:sz w:val="17"/>
                <w:szCs w:val="17"/>
              </w:rPr>
              <w:t>مجلس الأمناء</w:t>
            </w:r>
          </w:p>
        </w:tc>
      </w:tr>
      <w:tr w:rsidR="003825C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3825C0" w:rsidP="001C211B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3825C0" w:rsidP="001C211B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3825C0" w:rsidP="001C211B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3825C0" w:rsidP="001C211B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2ED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3825C0" w:rsidP="001C211B"/>
        </w:tc>
      </w:tr>
      <w:tr w:rsidR="003825C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3825C0" w:rsidP="001C211B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3825C0" w:rsidP="001C211B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3825C0" w:rsidP="001C211B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3825C0" w:rsidP="001C211B"/>
        </w:tc>
        <w:tc>
          <w:tcPr>
            <w:tcW w:w="1872" w:type="dxa"/>
            <w:tcBorders>
              <w:top w:val="single" w:sz="4" w:space="0" w:color="C9CFC9"/>
              <w:left w:val="single" w:sz="4" w:space="0" w:color="C9CFC9"/>
              <w:bottom w:val="single" w:sz="4" w:space="0" w:color="C9CFC9"/>
              <w:right w:val="single" w:sz="4" w:space="0" w:color="C9CFC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825C0" w:rsidRDefault="003825C0" w:rsidP="001C211B"/>
        </w:tc>
      </w:tr>
    </w:tbl>
    <w:p w:rsidR="003825C0" w:rsidRDefault="003825C0" w:rsidP="001C211B">
      <w:pPr>
        <w:spacing w:before="120" w:after="120" w:line="200" w:lineRule="auto"/>
      </w:pPr>
    </w:p>
    <w:p w:rsidR="003825C0" w:rsidRDefault="00CC0764" w:rsidP="001C211B">
      <w:pPr>
        <w:spacing w:before="240" w:after="200"/>
      </w:pPr>
      <w:r>
        <w:rPr>
          <w:b/>
          <w:bCs/>
          <w:color w:val="1F5F3F"/>
        </w:rPr>
        <w:t>المرجعيات النظامية والمعيارية</w:t>
      </w:r>
    </w:p>
    <w:p w:rsidR="003825C0" w:rsidRDefault="00CC0764" w:rsidP="001C211B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b/>
          <w:bCs/>
          <w:color w:val="0E1A14"/>
          <w:sz w:val="18"/>
          <w:szCs w:val="18"/>
        </w:rPr>
        <w:t>نظام الجامعات</w:t>
      </w:r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>المرسوم الملكي رقم (م/٢٧)</w:t>
      </w:r>
    </w:p>
    <w:p w:rsidR="003825C0" w:rsidRDefault="00CC0764" w:rsidP="001C211B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b/>
          <w:bCs/>
          <w:color w:val="0E1A14"/>
          <w:sz w:val="18"/>
          <w:szCs w:val="18"/>
        </w:rPr>
        <w:t>اللائحة المنظمة للشؤون المالية في الجامعات</w:t>
      </w:r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>إصدار يناير ٢٠٢٥</w:t>
      </w:r>
    </w:p>
    <w:p w:rsidR="003825C0" w:rsidRDefault="00CC0764" w:rsidP="001C211B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b/>
          <w:bCs/>
          <w:color w:val="0E1A14"/>
          <w:sz w:val="18"/>
          <w:szCs w:val="18"/>
        </w:rPr>
        <w:t>ميثاق مجلس الأمناء</w:t>
      </w:r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>BOT-CHR-001</w:t>
      </w:r>
    </w:p>
    <w:p w:rsidR="003825C0" w:rsidRDefault="00CC0764" w:rsidP="001C211B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b/>
          <w:bCs/>
          <w:color w:val="0E1A14"/>
          <w:sz w:val="18"/>
          <w:szCs w:val="18"/>
        </w:rPr>
        <w:t>لائحة عمل المجلس</w:t>
      </w:r>
      <w:r>
        <w:rPr>
          <w:color w:val="6B7770"/>
          <w:sz w:val="18"/>
          <w:szCs w:val="18"/>
        </w:rPr>
        <w:t xml:space="preserve"> — </w:t>
      </w:r>
      <w:r>
        <w:rPr>
          <w:color w:val="6B7770"/>
          <w:sz w:val="16"/>
          <w:szCs w:val="16"/>
        </w:rPr>
        <w:t>BOT-BYL-002</w:t>
      </w:r>
    </w:p>
    <w:p w:rsidR="003825C0" w:rsidRDefault="00CC0764" w:rsidP="001C211B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8"/>
          <w:szCs w:val="18"/>
        </w:rPr>
        <w:t>اللوائح الصادرة عن مجلس شؤون الجامعات</w:t>
      </w:r>
    </w:p>
    <w:p w:rsidR="003825C0" w:rsidRDefault="00CC0764" w:rsidP="001C211B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lastRenderedPageBreak/>
        <w:t xml:space="preserve">6. </w:t>
      </w:r>
      <w:r>
        <w:rPr>
          <w:color w:val="0E1A14"/>
          <w:sz w:val="18"/>
          <w:szCs w:val="18"/>
        </w:rPr>
        <w:t xml:space="preserve">OECD </w:t>
      </w:r>
      <w:proofErr w:type="spellStart"/>
      <w:r>
        <w:rPr>
          <w:color w:val="0E1A14"/>
          <w:sz w:val="18"/>
          <w:szCs w:val="18"/>
        </w:rPr>
        <w:t>Guidelines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on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Corporate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Governance</w:t>
      </w:r>
      <w:proofErr w:type="spellEnd"/>
    </w:p>
    <w:p w:rsidR="003825C0" w:rsidRDefault="00CC0764" w:rsidP="001C211B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8"/>
          <w:szCs w:val="18"/>
        </w:rPr>
        <w:t xml:space="preserve">COSO </w:t>
      </w:r>
      <w:proofErr w:type="spellStart"/>
      <w:r>
        <w:rPr>
          <w:color w:val="0E1A14"/>
          <w:sz w:val="18"/>
          <w:szCs w:val="18"/>
        </w:rPr>
        <w:t>Internal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Control</w:t>
      </w:r>
      <w:proofErr w:type="spellEnd"/>
      <w:r>
        <w:rPr>
          <w:color w:val="0E1A14"/>
          <w:sz w:val="18"/>
          <w:szCs w:val="18"/>
        </w:rPr>
        <w:t xml:space="preserve"> — </w:t>
      </w:r>
      <w:proofErr w:type="spellStart"/>
      <w:r>
        <w:rPr>
          <w:color w:val="0E1A14"/>
          <w:sz w:val="18"/>
          <w:szCs w:val="18"/>
        </w:rPr>
        <w:t>Integrated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Fr</w:t>
      </w:r>
      <w:r>
        <w:rPr>
          <w:color w:val="0E1A14"/>
          <w:sz w:val="18"/>
          <w:szCs w:val="18"/>
        </w:rPr>
        <w:t>amework</w:t>
      </w:r>
      <w:proofErr w:type="spellEnd"/>
      <w:r>
        <w:rPr>
          <w:color w:val="0E1A14"/>
          <w:sz w:val="18"/>
          <w:szCs w:val="18"/>
        </w:rPr>
        <w:t xml:space="preserve"> (2013)</w:t>
      </w:r>
    </w:p>
    <w:p w:rsidR="003825C0" w:rsidRDefault="00CC0764" w:rsidP="001C211B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8. </w:t>
      </w:r>
      <w:r>
        <w:rPr>
          <w:color w:val="0E1A14"/>
          <w:sz w:val="18"/>
          <w:szCs w:val="18"/>
        </w:rPr>
        <w:t xml:space="preserve">ISO 37000:2021 — </w:t>
      </w:r>
      <w:proofErr w:type="spellStart"/>
      <w:r>
        <w:rPr>
          <w:color w:val="0E1A14"/>
          <w:sz w:val="18"/>
          <w:szCs w:val="18"/>
        </w:rPr>
        <w:t>Governance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of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Organizations</w:t>
      </w:r>
      <w:proofErr w:type="spellEnd"/>
    </w:p>
    <w:p w:rsidR="003825C0" w:rsidRDefault="00CC0764" w:rsidP="001C211B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9. </w:t>
      </w:r>
      <w:r>
        <w:rPr>
          <w:color w:val="0E1A14"/>
          <w:sz w:val="18"/>
          <w:szCs w:val="18"/>
        </w:rPr>
        <w:t xml:space="preserve">AGB </w:t>
      </w:r>
      <w:proofErr w:type="spellStart"/>
      <w:r>
        <w:rPr>
          <w:color w:val="0E1A14"/>
          <w:sz w:val="18"/>
          <w:szCs w:val="18"/>
        </w:rPr>
        <w:t>Statement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on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Board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Responsibility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for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Institutional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Governance</w:t>
      </w:r>
      <w:proofErr w:type="spellEnd"/>
    </w:p>
    <w:p w:rsidR="003825C0" w:rsidRDefault="00CC0764" w:rsidP="001C211B">
      <w:pPr>
        <w:spacing w:before="60" w:after="60"/>
        <w:ind w:right="200"/>
      </w:pPr>
      <w:r>
        <w:rPr>
          <w:b/>
          <w:bCs/>
          <w:color w:val="B89855"/>
          <w:sz w:val="18"/>
          <w:szCs w:val="18"/>
        </w:rPr>
        <w:t xml:space="preserve">10. </w:t>
      </w:r>
      <w:proofErr w:type="spellStart"/>
      <w:r>
        <w:rPr>
          <w:color w:val="0E1A14"/>
          <w:sz w:val="18"/>
          <w:szCs w:val="18"/>
        </w:rPr>
        <w:t>PwC</w:t>
      </w:r>
      <w:proofErr w:type="spellEnd"/>
      <w:r>
        <w:rPr>
          <w:color w:val="0E1A14"/>
          <w:sz w:val="18"/>
          <w:szCs w:val="18"/>
        </w:rPr>
        <w:t xml:space="preserve"> / </w:t>
      </w:r>
      <w:proofErr w:type="spellStart"/>
      <w:r>
        <w:rPr>
          <w:color w:val="0E1A14"/>
          <w:sz w:val="18"/>
          <w:szCs w:val="18"/>
        </w:rPr>
        <w:t>Deloitte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Best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Practices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in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Delegation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of</w:t>
      </w:r>
      <w:proofErr w:type="spellEnd"/>
      <w:r>
        <w:rPr>
          <w:color w:val="0E1A14"/>
          <w:sz w:val="18"/>
          <w:szCs w:val="18"/>
        </w:rPr>
        <w:t xml:space="preserve"> </w:t>
      </w:r>
      <w:proofErr w:type="spellStart"/>
      <w:r>
        <w:rPr>
          <w:color w:val="0E1A14"/>
          <w:sz w:val="18"/>
          <w:szCs w:val="18"/>
        </w:rPr>
        <w:t>Authority</w:t>
      </w:r>
      <w:proofErr w:type="spellEnd"/>
    </w:p>
    <w:p w:rsidR="003825C0" w:rsidRDefault="00CC0764" w:rsidP="001C211B">
      <w:pPr>
        <w:pageBreakBefore/>
      </w:pPr>
      <w:r>
        <w:lastRenderedPageBreak/>
        <w:br/>
      </w:r>
    </w:p>
    <w:p w:rsidR="003825C0" w:rsidRDefault="00CC0764" w:rsidP="001C211B">
      <w:pPr>
        <w:pBdr>
          <w:bottom w:val="single" w:sz="12" w:space="4" w:color="1F5F3F"/>
        </w:pBdr>
        <w:spacing w:before="240" w:after="240"/>
      </w:pPr>
      <w:r>
        <w:rPr>
          <w:b/>
          <w:bCs/>
          <w:color w:val="143F2A"/>
          <w:sz w:val="32"/>
          <w:szCs w:val="32"/>
        </w:rPr>
        <w:t>المحتويات</w:t>
      </w:r>
    </w:p>
    <w:p w:rsidR="003825C0" w:rsidRDefault="00CC0764" w:rsidP="001C211B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الأول: الإطار العام للصلاحيات</w:t>
      </w:r>
    </w:p>
    <w:p w:rsidR="003825C0" w:rsidRDefault="00CC0764" w:rsidP="001C211B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الثاني: قواعد التفويض</w:t>
      </w:r>
    </w:p>
    <w:p w:rsidR="003825C0" w:rsidRDefault="00CC0764" w:rsidP="001C211B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الثالث: مصفوفة الصلاحيات الاستراتيجية</w:t>
      </w:r>
    </w:p>
    <w:p w:rsidR="003825C0" w:rsidRDefault="00CC0764" w:rsidP="001C211B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الرابع: مصفوفة الصلاحيات المالية</w:t>
      </w:r>
    </w:p>
    <w:p w:rsidR="003825C0" w:rsidRDefault="00CC0764" w:rsidP="001C211B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الخامس: مصفوفة الصلاحيات الإدارية والموارد البشرية</w:t>
      </w:r>
    </w:p>
    <w:p w:rsidR="003825C0" w:rsidRDefault="00CC0764" w:rsidP="001C211B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السادس: مصفوفة الصلاحيات الأكاديمية</w:t>
      </w:r>
    </w:p>
    <w:p w:rsidR="003825C0" w:rsidRDefault="00CC0764" w:rsidP="001C211B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السابع: صلاحيات الشراكات والاتفاقيات</w:t>
      </w:r>
    </w:p>
    <w:p w:rsidR="003825C0" w:rsidRDefault="00CC0764" w:rsidP="001C211B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</w:t>
      </w:r>
      <w:r>
        <w:rPr>
          <w:b/>
          <w:bCs/>
          <w:color w:val="1F5F3F"/>
        </w:rPr>
        <w:t>اب الثامن: المراجعة والتطوير</w:t>
      </w:r>
    </w:p>
    <w:p w:rsidR="003825C0" w:rsidRDefault="00CC0764" w:rsidP="001C211B">
      <w:pPr>
        <w:pBdr>
          <w:bottom w:val="dotted" w:sz="4" w:space="1" w:color="E5E7E5"/>
        </w:pBdr>
        <w:spacing w:before="200" w:after="80"/>
      </w:pPr>
      <w:r>
        <w:rPr>
          <w:b/>
          <w:bCs/>
          <w:color w:val="1F5F3F"/>
        </w:rPr>
        <w:t>الباب التاسع: أحكام ختامية</w:t>
      </w:r>
    </w:p>
    <w:p w:rsidR="003825C0" w:rsidRDefault="00CC0764" w:rsidP="001C211B">
      <w:pPr>
        <w:pageBreakBefore/>
      </w:pPr>
      <w:r>
        <w:lastRenderedPageBreak/>
        <w:br/>
      </w:r>
    </w:p>
    <w:p w:rsidR="003825C0" w:rsidRDefault="00CC0764" w:rsidP="001C211B">
      <w:pPr>
        <w:pBdr>
          <w:bottom w:val="single" w:sz="12" w:space="4" w:color="1F5F3F"/>
        </w:pBdr>
        <w:spacing w:before="240" w:after="240"/>
      </w:pPr>
      <w:r>
        <w:rPr>
          <w:b/>
          <w:bCs/>
          <w:color w:val="143F2A"/>
          <w:sz w:val="28"/>
          <w:szCs w:val="28"/>
        </w:rPr>
        <w:t>تقديم</w:t>
      </w:r>
    </w:p>
    <w:p w:rsidR="003825C0" w:rsidRDefault="00CC0764" w:rsidP="001C211B">
      <w:pPr>
        <w:spacing w:before="120" w:after="120" w:line="380" w:lineRule="auto"/>
        <w:ind w:right="100"/>
      </w:pPr>
      <w:r>
        <w:rPr>
          <w:color w:val="0E1A14"/>
          <w:sz w:val="20"/>
          <w:szCs w:val="20"/>
        </w:rPr>
        <w:t xml:space="preserve">تُعد مصفوفة الصلاحيات الوثيقة المركزية التي تُحدد بدقة من يملك حق اتخاذ كل قرار في الجامعة، وضمن أي حدود ونطاقات. تنبع أهمية هذه الوثيقة من كونها الترجمة العملية لمبدأ الفصل </w:t>
      </w:r>
      <w:proofErr w:type="spellStart"/>
      <w:r>
        <w:rPr>
          <w:color w:val="0E1A14"/>
          <w:sz w:val="20"/>
          <w:szCs w:val="20"/>
        </w:rPr>
        <w:t>الحوكمي</w:t>
      </w:r>
      <w:proofErr w:type="spellEnd"/>
      <w:r>
        <w:rPr>
          <w:color w:val="0E1A14"/>
          <w:sz w:val="20"/>
          <w:szCs w:val="20"/>
        </w:rPr>
        <w:t xml:space="preserve"> بين الإشرا</w:t>
      </w:r>
      <w:r>
        <w:rPr>
          <w:color w:val="0E1A14"/>
          <w:sz w:val="20"/>
          <w:szCs w:val="20"/>
        </w:rPr>
        <w:t>ف الاستراتيجي (</w:t>
      </w:r>
      <w:proofErr w:type="spellStart"/>
      <w:r>
        <w:rPr>
          <w:color w:val="0E1A14"/>
          <w:sz w:val="20"/>
          <w:szCs w:val="20"/>
        </w:rPr>
        <w:t>Board</w:t>
      </w:r>
      <w:proofErr w:type="spellEnd"/>
      <w:r>
        <w:rPr>
          <w:color w:val="0E1A14"/>
          <w:sz w:val="20"/>
          <w:szCs w:val="20"/>
        </w:rPr>
        <w:t>) والإدارة التنفيذية (</w:t>
      </w:r>
      <w:proofErr w:type="spellStart"/>
      <w:r>
        <w:rPr>
          <w:color w:val="0E1A14"/>
          <w:sz w:val="20"/>
          <w:szCs w:val="20"/>
        </w:rPr>
        <w:t>Management</w:t>
      </w:r>
      <w:proofErr w:type="spellEnd"/>
      <w:r>
        <w:rPr>
          <w:color w:val="0E1A14"/>
          <w:sz w:val="20"/>
          <w:szCs w:val="20"/>
        </w:rPr>
        <w:t>).</w:t>
      </w:r>
    </w:p>
    <w:p w:rsidR="003825C0" w:rsidRDefault="00CC0764" w:rsidP="001C211B">
      <w:pPr>
        <w:spacing w:before="120" w:after="120" w:line="380" w:lineRule="auto"/>
        <w:ind w:right="100"/>
      </w:pPr>
      <w:r>
        <w:rPr>
          <w:color w:val="0E1A14"/>
          <w:sz w:val="20"/>
          <w:szCs w:val="20"/>
        </w:rPr>
        <w:t>صُممت المصفوفة وفق منهجية RACI المعدلة، حيث يُحدد لكل قرار: من يعتمد (</w:t>
      </w:r>
      <w:proofErr w:type="spellStart"/>
      <w:r>
        <w:rPr>
          <w:color w:val="0E1A14"/>
          <w:sz w:val="20"/>
          <w:szCs w:val="20"/>
        </w:rPr>
        <w:t>Approves</w:t>
      </w:r>
      <w:proofErr w:type="spellEnd"/>
      <w:r>
        <w:rPr>
          <w:color w:val="0E1A14"/>
          <w:sz w:val="20"/>
          <w:szCs w:val="20"/>
        </w:rPr>
        <w:t>)، من يُوصي (</w:t>
      </w:r>
      <w:proofErr w:type="spellStart"/>
      <w:r>
        <w:rPr>
          <w:color w:val="0E1A14"/>
          <w:sz w:val="20"/>
          <w:szCs w:val="20"/>
        </w:rPr>
        <w:t>Recommends</w:t>
      </w:r>
      <w:proofErr w:type="spellEnd"/>
      <w:r>
        <w:rPr>
          <w:color w:val="0E1A14"/>
          <w:sz w:val="20"/>
          <w:szCs w:val="20"/>
        </w:rPr>
        <w:t>)، من يُستشار (</w:t>
      </w:r>
      <w:proofErr w:type="spellStart"/>
      <w:r>
        <w:rPr>
          <w:color w:val="0E1A14"/>
          <w:sz w:val="20"/>
          <w:szCs w:val="20"/>
        </w:rPr>
        <w:t>Consulted</w:t>
      </w:r>
      <w:proofErr w:type="spellEnd"/>
      <w:r>
        <w:rPr>
          <w:color w:val="0E1A14"/>
          <w:sz w:val="20"/>
          <w:szCs w:val="20"/>
        </w:rPr>
        <w:t>)، ومن يُبلَّغ (</w:t>
      </w:r>
      <w:proofErr w:type="spellStart"/>
      <w:r>
        <w:rPr>
          <w:color w:val="0E1A14"/>
          <w:sz w:val="20"/>
          <w:szCs w:val="20"/>
        </w:rPr>
        <w:t>Informed</w:t>
      </w:r>
      <w:proofErr w:type="spellEnd"/>
      <w:r>
        <w:rPr>
          <w:color w:val="0E1A14"/>
          <w:sz w:val="20"/>
          <w:szCs w:val="20"/>
        </w:rPr>
        <w:t>). ويتسق ذلك مع مبادئ COSO للرقابة الداخلية وأفضل مم</w:t>
      </w:r>
      <w:r>
        <w:rPr>
          <w:color w:val="0E1A14"/>
          <w:sz w:val="20"/>
          <w:szCs w:val="20"/>
        </w:rPr>
        <w:t>ارسات الحوكمة المؤسسية الدولية.</w:t>
      </w:r>
    </w:p>
    <w:p w:rsidR="003825C0" w:rsidRDefault="00CC0764" w:rsidP="001C211B">
      <w:pPr>
        <w:spacing w:before="120" w:after="120" w:line="380" w:lineRule="auto"/>
        <w:ind w:right="100"/>
      </w:pPr>
      <w:r>
        <w:rPr>
          <w:b/>
          <w:bCs/>
          <w:color w:val="143F2A"/>
          <w:sz w:val="20"/>
          <w:szCs w:val="20"/>
        </w:rPr>
        <w:t>هذه المصفوفة ملزمة قانونياً، وأي قرار يُتخذ خارج نطاق الصلاحيات المحددة فيها يُعد باطلاً ولا يترتب عليه أثر، ويُحمّل متخذه المسؤولية الإدارية والمالية.</w:t>
      </w:r>
    </w:p>
    <w:p w:rsidR="003825C0" w:rsidRDefault="00CC0764" w:rsidP="001C211B">
      <w:pPr>
        <w:spacing w:before="120" w:after="120" w:line="380" w:lineRule="auto"/>
        <w:ind w:right="100"/>
      </w:pPr>
      <w:r>
        <w:rPr>
          <w:color w:val="0E1A14"/>
          <w:sz w:val="20"/>
          <w:szCs w:val="20"/>
        </w:rPr>
        <w:t>تنطبق المصفوفة على جميع المستويات التنظيمية، وتُعد المرجع المعتمد عند أي تنازع في الصلاحيات، وأساساً لمراجعة الأداء والمحاسبة.</w:t>
      </w: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B89855"/>
              <w:left w:val="single" w:sz="4" w:space="0" w:color="B89855"/>
              <w:bottom w:val="single" w:sz="4" w:space="0" w:color="B89855"/>
              <w:right w:val="single" w:sz="24" w:space="0" w:color="B89855"/>
            </w:tcBorders>
            <w:shd w:val="clear" w:color="auto" w:fill="F2EDD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25C0" w:rsidRDefault="00CC0764" w:rsidP="001C211B">
            <w:r>
              <w:rPr>
                <w:b/>
                <w:bCs/>
                <w:color w:val="B89855"/>
                <w:sz w:val="20"/>
                <w:szCs w:val="20"/>
              </w:rPr>
              <w:t xml:space="preserve">ℹ  </w:t>
            </w:r>
            <w:r>
              <w:rPr>
                <w:color w:val="0E1A14"/>
                <w:sz w:val="18"/>
                <w:szCs w:val="18"/>
              </w:rPr>
              <w:t>مفتاح الترميز: A = الجهة المعتمدة (</w:t>
            </w:r>
            <w:proofErr w:type="spellStart"/>
            <w:r>
              <w:rPr>
                <w:color w:val="0E1A14"/>
                <w:sz w:val="18"/>
                <w:szCs w:val="18"/>
              </w:rPr>
              <w:t>Approves</w:t>
            </w:r>
            <w:proofErr w:type="spellEnd"/>
            <w:r>
              <w:rPr>
                <w:color w:val="0E1A14"/>
                <w:sz w:val="18"/>
                <w:szCs w:val="18"/>
              </w:rPr>
              <w:t>) | R = الجهة التي تُوصي (</w:t>
            </w:r>
            <w:proofErr w:type="spellStart"/>
            <w:r>
              <w:rPr>
                <w:color w:val="0E1A14"/>
                <w:sz w:val="18"/>
                <w:szCs w:val="18"/>
              </w:rPr>
              <w:t>Recommends</w:t>
            </w:r>
            <w:proofErr w:type="spellEnd"/>
            <w:r>
              <w:rPr>
                <w:color w:val="0E1A14"/>
                <w:sz w:val="18"/>
                <w:szCs w:val="18"/>
              </w:rPr>
              <w:t>) | I = الجهة التي تُبلَّغ (</w:t>
            </w:r>
            <w:proofErr w:type="spellStart"/>
            <w:r>
              <w:rPr>
                <w:color w:val="0E1A14"/>
                <w:sz w:val="18"/>
                <w:szCs w:val="18"/>
              </w:rPr>
              <w:t>Informed</w:t>
            </w:r>
            <w:proofErr w:type="spellEnd"/>
            <w:r>
              <w:rPr>
                <w:color w:val="0E1A14"/>
                <w:sz w:val="18"/>
                <w:szCs w:val="18"/>
              </w:rPr>
              <w:t xml:space="preserve">) | — = لا </w:t>
            </w:r>
            <w:r>
              <w:rPr>
                <w:color w:val="0E1A14"/>
                <w:sz w:val="18"/>
                <w:szCs w:val="18"/>
              </w:rPr>
              <w:t>صلاحية</w:t>
            </w:r>
          </w:p>
        </w:tc>
      </w:tr>
    </w:tbl>
    <w:p w:rsidR="003825C0" w:rsidRDefault="00CC0764">
      <w:pPr>
        <w:pageBreakBefore/>
      </w:pPr>
      <w:r>
        <w:lastRenderedPageBreak/>
        <w:br/>
      </w:r>
    </w:p>
    <w:p w:rsidR="003825C0" w:rsidRDefault="00CC0764" w:rsidP="001C211B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3825C0" w:rsidRDefault="00CC0764" w:rsidP="001C211B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الأول</w:t>
            </w:r>
          </w:p>
          <w:p w:rsidR="003825C0" w:rsidRDefault="00CC0764" w:rsidP="001C211B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الإطار العام للصلاحيات</w:t>
            </w:r>
          </w:p>
        </w:tc>
      </w:tr>
    </w:tbl>
    <w:p w:rsidR="003825C0" w:rsidRDefault="003825C0" w:rsidP="001C211B">
      <w:pPr>
        <w:spacing w:before="240" w:after="240"/>
      </w:pPr>
    </w:p>
    <w:p w:rsidR="003825C0" w:rsidRDefault="00CC0764" w:rsidP="001C211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(١): </w:t>
      </w:r>
      <w:r>
        <w:rPr>
          <w:b/>
          <w:bCs/>
          <w:color w:val="143F2A"/>
          <w:sz w:val="20"/>
          <w:szCs w:val="20"/>
        </w:rPr>
        <w:t>مصادر الصلاحيات</w:t>
      </w:r>
    </w:p>
    <w:p w:rsidR="003825C0" w:rsidRDefault="00CC0764" w:rsidP="001C211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تُستمد صلاحيات الجهات المختلفة في الجامعة من المصادر التالية بترتيب الأولوية: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نظام الجامعات الصادر بالمرسوم الملكي رقم (م/٢٧).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اللوائح التنفيذية الصادرة عن مجلس شؤون الجامعات.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ميثاق مجلس الأمناء.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هذه المصفوفة كوثيقة معتمدة من المجلس.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قرارات التفويض الفردية الصادرة عن المجلس.</w:t>
      </w:r>
    </w:p>
    <w:p w:rsidR="003825C0" w:rsidRDefault="00CC0764" w:rsidP="001C211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(٢): </w:t>
      </w:r>
      <w:r>
        <w:rPr>
          <w:b/>
          <w:bCs/>
          <w:color w:val="143F2A"/>
          <w:sz w:val="20"/>
          <w:szCs w:val="20"/>
        </w:rPr>
        <w:t>هرمية الصلاحيات</w:t>
      </w:r>
    </w:p>
    <w:p w:rsidR="003825C0" w:rsidRDefault="00CC0764" w:rsidP="001C211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تتوزع الصلاحيات في الجامعة على المستويات التالية: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المستوى الأول — مجلس الأمناء: الصلاحيات الاستراتيجية والإشرافية والمالية الكبرى.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المستوى الثاني — رئيس مجلس الأمناء: الصلاحيات التنفيذية المتعلقة بإدارة المجلس.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المستوى الثالث — رئيس الجامعة: الصلاحيات التنفيذية العليا للإدارة اليومية.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المستوى الرابع — الوكلاء التنفيذيون: الصلاحيات الوظيفية في نطاق الوكالات.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المستوى الخامس — العمداء والمديرون: الصلاحيات التشغيلية المحلية.</w:t>
      </w: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B89855"/>
              <w:left w:val="single" w:sz="4" w:space="0" w:color="B89855"/>
              <w:bottom w:val="single" w:sz="4" w:space="0" w:color="B89855"/>
              <w:right w:val="single" w:sz="24" w:space="0" w:color="B89855"/>
            </w:tcBorders>
            <w:shd w:val="clear" w:color="auto" w:fill="F2EDD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25C0" w:rsidRDefault="00CC0764" w:rsidP="001C211B">
            <w:r>
              <w:rPr>
                <w:b/>
                <w:bCs/>
                <w:color w:val="B89855"/>
                <w:sz w:val="20"/>
                <w:szCs w:val="20"/>
              </w:rPr>
              <w:t xml:space="preserve">◆  </w:t>
            </w:r>
            <w:r>
              <w:rPr>
                <w:color w:val="0E1A14"/>
                <w:sz w:val="18"/>
                <w:szCs w:val="18"/>
              </w:rPr>
              <w:t>يُحظر تجاوز هذه الهرمية، ولا يجوز لأي مستوى ممارسة صلاحيات مستوى أعلى إلا بتفويض رسمي مكتوب.</w:t>
            </w:r>
          </w:p>
        </w:tc>
      </w:tr>
    </w:tbl>
    <w:p w:rsidR="003825C0" w:rsidRDefault="00CC0764" w:rsidP="001C211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(٣): </w:t>
      </w:r>
      <w:r>
        <w:rPr>
          <w:b/>
          <w:bCs/>
          <w:color w:val="143F2A"/>
          <w:sz w:val="20"/>
          <w:szCs w:val="20"/>
        </w:rPr>
        <w:t>تصنيف القرارات</w:t>
      </w:r>
    </w:p>
    <w:p w:rsidR="003825C0" w:rsidRDefault="00CC0764" w:rsidP="001C211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تُصنَّف القرارات في الجامعة وفق ما يلي: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قرارات استراتيجية: ذات أثر طويل المدى على هوية الجامعة وتوجهها.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قرارات هيكلية: تتعلق بالبنية التنظيمية والإدارية.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lastRenderedPageBreak/>
        <w:t xml:space="preserve">3. </w:t>
      </w:r>
      <w:r>
        <w:rPr>
          <w:color w:val="0E1A14"/>
          <w:sz w:val="19"/>
          <w:szCs w:val="19"/>
        </w:rPr>
        <w:t>قرارات مالية: تتعلق بالموارد المالية والميزانية.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قرارات تشغيلية: تتعلق بإدا</w:t>
      </w:r>
      <w:r>
        <w:rPr>
          <w:color w:val="0E1A14"/>
          <w:sz w:val="19"/>
          <w:szCs w:val="19"/>
        </w:rPr>
        <w:t>رة الأنشطة اليومية.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قرارات أكاديمية: تتعلق بالشأن العلمي والبحثي.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قرارات الموارد البشرية: تتعلق بمنسوبي الجامعة.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9"/>
          <w:szCs w:val="19"/>
        </w:rPr>
        <w:t>قرارات شراكات: تتعلق بالعلاقات الخارجية.</w:t>
      </w:r>
    </w:p>
    <w:p w:rsidR="003825C0" w:rsidRDefault="00CC0764" w:rsidP="001C211B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3825C0" w:rsidRDefault="00CC0764" w:rsidP="001C211B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الثاني</w:t>
            </w:r>
          </w:p>
          <w:p w:rsidR="003825C0" w:rsidRDefault="00CC0764" w:rsidP="001C211B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قواعد التفويض</w:t>
            </w:r>
          </w:p>
        </w:tc>
      </w:tr>
    </w:tbl>
    <w:p w:rsidR="003825C0" w:rsidRDefault="003825C0" w:rsidP="001C211B">
      <w:pPr>
        <w:spacing w:before="240" w:after="240"/>
      </w:pPr>
    </w:p>
    <w:p w:rsidR="003825C0" w:rsidRDefault="00CC0764" w:rsidP="001C211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(٤): </w:t>
      </w:r>
      <w:r>
        <w:rPr>
          <w:b/>
          <w:bCs/>
          <w:color w:val="143F2A"/>
          <w:sz w:val="20"/>
          <w:szCs w:val="20"/>
        </w:rPr>
        <w:t>مبدأ التفويض</w:t>
      </w:r>
    </w:p>
    <w:p w:rsidR="003825C0" w:rsidRDefault="00CC0764" w:rsidP="001C211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تُعد صلاحيات المجلس أصلاً، ويجوز له تفويض جزء منها للجهات الأخرى وفق الضوابط المنصوص عليها في هذه المصفوفة، ووفق نموذج تفويض الصلاحيات الرسمي (BOT-FRM-008).</w:t>
      </w:r>
    </w:p>
    <w:p w:rsidR="003825C0" w:rsidRDefault="00CC0764" w:rsidP="001C211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لا يُلغي التفويض المسؤولية النهائية للمفوِّض، ويظل المجلس مسؤولاً أمام الجهات العليا عن جميع القرار</w:t>
      </w:r>
      <w:r>
        <w:rPr>
          <w:color w:val="0E1A14"/>
          <w:sz w:val="20"/>
          <w:szCs w:val="20"/>
        </w:rPr>
        <w:t>ات المتخذة في إطار صلاحياته الأصلية.</w:t>
      </w:r>
    </w:p>
    <w:p w:rsidR="003825C0" w:rsidRDefault="00CC0764" w:rsidP="001C211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(٥): </w:t>
      </w:r>
      <w:r>
        <w:rPr>
          <w:b/>
          <w:bCs/>
          <w:color w:val="143F2A"/>
          <w:sz w:val="20"/>
          <w:szCs w:val="20"/>
        </w:rPr>
        <w:t>ضوابط التفويض</w:t>
      </w:r>
    </w:p>
    <w:p w:rsidR="003825C0" w:rsidRDefault="00CC0764" w:rsidP="001C211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يخضع التفويض للضوابط التالية: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أن يكون كتابياً وموثقاً بقرار من المجلس.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أن يكون محدداً بنطاق وحدود زمنية واضحة.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ألا يشمل الصلاحيات التي يحظر النظام تفويضها.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 xml:space="preserve">أن يخضع لتقارير دورية من </w:t>
      </w:r>
      <w:r>
        <w:rPr>
          <w:color w:val="0E1A14"/>
          <w:sz w:val="19"/>
          <w:szCs w:val="19"/>
        </w:rPr>
        <w:t>المُفوَّض إليه.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>قابل للإلغاء في أي وقت بقرار من المجلس.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يُلغى تلقائياً بانتهاء عضوية المُفوَّض إليه.</w:t>
      </w:r>
    </w:p>
    <w:p w:rsidR="003825C0" w:rsidRDefault="00CC0764" w:rsidP="001C211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(٦): </w:t>
      </w:r>
      <w:r>
        <w:rPr>
          <w:b/>
          <w:bCs/>
          <w:color w:val="143F2A"/>
          <w:sz w:val="20"/>
          <w:szCs w:val="20"/>
        </w:rPr>
        <w:t>صلاحيات لا تُفوَّض (</w:t>
      </w:r>
      <w:proofErr w:type="spellStart"/>
      <w:r>
        <w:rPr>
          <w:b/>
          <w:bCs/>
          <w:color w:val="143F2A"/>
          <w:sz w:val="20"/>
          <w:szCs w:val="20"/>
        </w:rPr>
        <w:t>Reserved</w:t>
      </w:r>
      <w:proofErr w:type="spellEnd"/>
      <w:r>
        <w:rPr>
          <w:b/>
          <w:bCs/>
          <w:color w:val="143F2A"/>
          <w:sz w:val="20"/>
          <w:szCs w:val="20"/>
        </w:rPr>
        <w:t xml:space="preserve"> </w:t>
      </w:r>
      <w:proofErr w:type="spellStart"/>
      <w:r>
        <w:rPr>
          <w:b/>
          <w:bCs/>
          <w:color w:val="143F2A"/>
          <w:sz w:val="20"/>
          <w:szCs w:val="20"/>
        </w:rPr>
        <w:t>Powers</w:t>
      </w:r>
      <w:proofErr w:type="spellEnd"/>
      <w:r>
        <w:rPr>
          <w:b/>
          <w:bCs/>
          <w:color w:val="143F2A"/>
          <w:sz w:val="20"/>
          <w:szCs w:val="20"/>
        </w:rPr>
        <w:t>)</w:t>
      </w:r>
    </w:p>
    <w:p w:rsidR="003825C0" w:rsidRDefault="00CC0764" w:rsidP="001C211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لا يجوز للمجلس تفويض الصلاحيات التالية، وتظل حصراً ضمن اختصاصه: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 xml:space="preserve">تعديل الميثاق واللوائح </w:t>
      </w:r>
      <w:proofErr w:type="spellStart"/>
      <w:r>
        <w:rPr>
          <w:color w:val="0E1A14"/>
          <w:sz w:val="19"/>
          <w:szCs w:val="19"/>
        </w:rPr>
        <w:t>الحوكمية</w:t>
      </w:r>
      <w:proofErr w:type="spellEnd"/>
      <w:r>
        <w:rPr>
          <w:color w:val="0E1A14"/>
          <w:sz w:val="19"/>
          <w:szCs w:val="19"/>
        </w:rPr>
        <w:t xml:space="preserve"> الأساسية.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اعتماد الخطة الاستراتيجية الكلية للجامعة.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lastRenderedPageBreak/>
        <w:t xml:space="preserve">3. </w:t>
      </w:r>
      <w:r>
        <w:rPr>
          <w:color w:val="0E1A14"/>
          <w:sz w:val="19"/>
          <w:szCs w:val="19"/>
        </w:rPr>
        <w:t>اعتماد الميزانية السنوية والحساب الختامي.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ترشيح رئيس الجامعة والتوصية بتعيينه أو إعفائه.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5. </w:t>
      </w:r>
      <w:r>
        <w:rPr>
          <w:color w:val="0E1A14"/>
          <w:sz w:val="19"/>
          <w:szCs w:val="19"/>
        </w:rPr>
        <w:t xml:space="preserve">إنشاء أو إلغاء أو دمج الكليات </w:t>
      </w:r>
      <w:proofErr w:type="spellStart"/>
      <w:r>
        <w:rPr>
          <w:color w:val="0E1A14"/>
          <w:sz w:val="19"/>
          <w:szCs w:val="19"/>
        </w:rPr>
        <w:t>والعمادات</w:t>
      </w:r>
      <w:proofErr w:type="spellEnd"/>
      <w:r>
        <w:rPr>
          <w:color w:val="0E1A14"/>
          <w:sz w:val="19"/>
          <w:szCs w:val="19"/>
        </w:rPr>
        <w:t>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6. </w:t>
      </w:r>
      <w:r>
        <w:rPr>
          <w:color w:val="0E1A14"/>
          <w:sz w:val="19"/>
          <w:szCs w:val="19"/>
        </w:rPr>
        <w:t>إقرار الشراكات الاستراتيجية</w:t>
      </w:r>
      <w:r>
        <w:rPr>
          <w:color w:val="0E1A14"/>
          <w:sz w:val="19"/>
          <w:szCs w:val="19"/>
        </w:rPr>
        <w:t xml:space="preserve"> ذات الأثر طويل المدى.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7. </w:t>
      </w:r>
      <w:r>
        <w:rPr>
          <w:color w:val="0E1A14"/>
          <w:sz w:val="19"/>
          <w:szCs w:val="19"/>
        </w:rPr>
        <w:t>تعيين المراجع الخارجي للحسابات.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8. </w:t>
      </w:r>
      <w:r>
        <w:rPr>
          <w:color w:val="0E1A14"/>
          <w:sz w:val="19"/>
          <w:szCs w:val="19"/>
        </w:rPr>
        <w:t>أي قرار يستوجب أغلبية الثلثين.</w:t>
      </w:r>
    </w:p>
    <w:p w:rsidR="003825C0" w:rsidRDefault="00CC0764" w:rsidP="001C211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(٧): </w:t>
      </w:r>
      <w:r>
        <w:rPr>
          <w:b/>
          <w:bCs/>
          <w:color w:val="143F2A"/>
          <w:sz w:val="20"/>
          <w:szCs w:val="20"/>
        </w:rPr>
        <w:t>التصعيد عند الشك</w:t>
      </w:r>
    </w:p>
    <w:p w:rsidR="003825C0" w:rsidRDefault="00CC0764" w:rsidP="001C211B">
      <w:pPr>
        <w:spacing w:before="60" w:after="120" w:line="380" w:lineRule="auto"/>
        <w:ind w:right="200"/>
      </w:pPr>
      <w:r>
        <w:rPr>
          <w:color w:val="0E1A14"/>
          <w:sz w:val="20"/>
          <w:szCs w:val="20"/>
        </w:rPr>
        <w:t xml:space="preserve">في حال وجود غموض في الجهة المختصة باتخاذ قرار معين، يُصعَّد الأمر إلى المستوى الأعلى للحسم. ويُعد التصعيد ممارسة </w:t>
      </w:r>
      <w:proofErr w:type="spellStart"/>
      <w:r>
        <w:rPr>
          <w:color w:val="0E1A14"/>
          <w:sz w:val="20"/>
          <w:szCs w:val="20"/>
        </w:rPr>
        <w:t>حوكمية</w:t>
      </w:r>
      <w:proofErr w:type="spellEnd"/>
      <w:r>
        <w:rPr>
          <w:color w:val="0E1A14"/>
          <w:sz w:val="20"/>
          <w:szCs w:val="20"/>
        </w:rPr>
        <w:t xml:space="preserve"> صحيحة لا تأخر إدارياً.</w:t>
      </w:r>
    </w:p>
    <w:p w:rsidR="003825C0" w:rsidRDefault="00CC0764">
      <w:pPr>
        <w:pageBreakBefore/>
      </w:pPr>
      <w:r>
        <w:lastRenderedPageBreak/>
        <w:br/>
      </w:r>
    </w:p>
    <w:p w:rsidR="003825C0" w:rsidRDefault="00CC0764">
      <w:pPr>
        <w:shd w:val="clear" w:color="auto" w:fill="1F5F3F"/>
        <w:spacing w:before="480" w:after="120" w:line="360" w:lineRule="auto"/>
        <w:jc w:val="center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3825C0" w:rsidRDefault="00CC0764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الثالث</w:t>
            </w:r>
          </w:p>
          <w:p w:rsidR="003825C0" w:rsidRDefault="00CC0764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مصفوفة الصلاحيات الاستراتيجية</w:t>
            </w:r>
          </w:p>
        </w:tc>
      </w:tr>
    </w:tbl>
    <w:p w:rsidR="003825C0" w:rsidRDefault="003825C0" w:rsidP="001C211B">
      <w:pPr>
        <w:spacing w:before="240" w:after="240"/>
      </w:pPr>
    </w:p>
    <w:p w:rsidR="003825C0" w:rsidRDefault="00CC0764" w:rsidP="001C211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(٨): </w:t>
      </w:r>
      <w:r>
        <w:rPr>
          <w:b/>
          <w:bCs/>
          <w:color w:val="143F2A"/>
          <w:sz w:val="20"/>
          <w:szCs w:val="20"/>
        </w:rPr>
        <w:t>صلاحيات الرؤية والاستراتيجية</w:t>
      </w:r>
    </w:p>
    <w:p w:rsidR="003825C0" w:rsidRDefault="00CC0764" w:rsidP="001C211B">
      <w:pPr>
        <w:spacing w:before="60" w:after="120" w:line="380" w:lineRule="auto"/>
        <w:ind w:right="200"/>
      </w:pPr>
      <w:r>
        <w:rPr>
          <w:color w:val="0E1A14"/>
          <w:sz w:val="20"/>
          <w:szCs w:val="20"/>
        </w:rPr>
        <w:t>يوضح الجدول التالي توزيع صلاحيات اتخاذ القرارات الاستراتيجية الكبرى:</w:t>
      </w:r>
    </w:p>
    <w:p w:rsidR="003825C0" w:rsidRDefault="003825C0">
      <w:pPr>
        <w:spacing w:before="80" w:after="80" w:line="200" w:lineRule="auto"/>
        <w:jc w:val="right"/>
      </w:pP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1140"/>
        <w:gridCol w:w="1140"/>
        <w:gridCol w:w="1140"/>
        <w:gridCol w:w="1140"/>
      </w:tblGrid>
      <w:tr w:rsidR="003825C0" w:rsidTr="001C211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00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البند / القرار</w:t>
            </w:r>
          </w:p>
        </w:tc>
        <w:tc>
          <w:tcPr>
            <w:tcW w:w="180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السقف / النطاق</w:t>
            </w:r>
          </w:p>
        </w:tc>
        <w:tc>
          <w:tcPr>
            <w:tcW w:w="114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المجلس</w:t>
            </w:r>
          </w:p>
        </w:tc>
        <w:tc>
          <w:tcPr>
            <w:tcW w:w="114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الرئيس</w:t>
            </w:r>
          </w:p>
        </w:tc>
        <w:tc>
          <w:tcPr>
            <w:tcW w:w="114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رئيس الجامعة</w:t>
            </w:r>
          </w:p>
        </w:tc>
        <w:tc>
          <w:tcPr>
            <w:tcW w:w="114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الوكيل / المنفذ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اعتماد رؤية ورسالة الجامعة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تأسيسي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اعتماد الخطة الاستراتيجية الخمسية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استراتيجي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اعتماد التحديثات السنوية للخطة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استراتيجي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اعتماد سياسات الجامعة الكبرى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سياسات عامة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إقرار التحول المؤسسي / إعادة الهيكلة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تحولي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اعتماد التصنيف الدولي المستهدف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استراتيجي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إنشاء كلية أو عمادة جديدة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هيكلي كبير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إلغاء أو دمج كلية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هيكلي كبير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إنشاء مركز بحثي رئيسي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هيكلي متوسط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تعديل الهيكل التنظيمي العام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هيكلي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تعديل الهيكل الإداري داخل الوكالات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تشغيلي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</w:tbl>
    <w:p w:rsidR="003825C0" w:rsidRDefault="00CC0764">
      <w:pPr>
        <w:pageBreakBefore/>
      </w:pPr>
      <w:r>
        <w:lastRenderedPageBreak/>
        <w:br/>
      </w:r>
    </w:p>
    <w:p w:rsidR="003825C0" w:rsidRDefault="00CC0764">
      <w:pPr>
        <w:shd w:val="clear" w:color="auto" w:fill="1F5F3F"/>
        <w:spacing w:before="480" w:after="120" w:line="360" w:lineRule="auto"/>
        <w:jc w:val="center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3825C0" w:rsidRDefault="00CC0764" w:rsidP="001C211B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الرابع</w:t>
            </w:r>
          </w:p>
          <w:p w:rsidR="003825C0" w:rsidRDefault="00CC0764" w:rsidP="001C211B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مصفوفة الصلاحيات المالية</w:t>
            </w:r>
          </w:p>
        </w:tc>
      </w:tr>
    </w:tbl>
    <w:p w:rsidR="003825C0" w:rsidRDefault="003825C0" w:rsidP="001C211B">
      <w:pPr>
        <w:spacing w:before="240" w:after="240"/>
      </w:pPr>
    </w:p>
    <w:p w:rsidR="003825C0" w:rsidRDefault="00CC0764" w:rsidP="001C211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(٩): </w:t>
      </w:r>
      <w:r>
        <w:rPr>
          <w:b/>
          <w:bCs/>
          <w:color w:val="143F2A"/>
          <w:sz w:val="20"/>
          <w:szCs w:val="20"/>
        </w:rPr>
        <w:t>الصلاحيات المالية الأساسية</w:t>
      </w:r>
    </w:p>
    <w:p w:rsidR="003825C0" w:rsidRDefault="00CC0764" w:rsidP="001C211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تُحدد سقوف الصلاحيات المالية بالريال السعودي (ر.س) لكل قرار وفق طبيعته. وتشمل المبالغ الضرائب والرسوم.</w:t>
      </w:r>
    </w:p>
    <w:p w:rsidR="003825C0" w:rsidRDefault="00CC0764" w:rsidP="001C211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السقف المُحدد هو الحد الأقصى للقرار الواحد، ولا يجوز تجزئة قرار لتجاوز السقف.</w:t>
      </w:r>
    </w:p>
    <w:p w:rsidR="003825C0" w:rsidRDefault="003825C0" w:rsidP="001C211B">
      <w:pPr>
        <w:spacing w:before="80" w:after="80" w:line="200" w:lineRule="auto"/>
      </w:pP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1140"/>
        <w:gridCol w:w="1140"/>
        <w:gridCol w:w="1140"/>
        <w:gridCol w:w="1140"/>
      </w:tblGrid>
      <w:tr w:rsidR="003825C0" w:rsidTr="001C211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00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البند / القرار</w:t>
            </w:r>
          </w:p>
        </w:tc>
        <w:tc>
          <w:tcPr>
            <w:tcW w:w="180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السقف / النطاق</w:t>
            </w:r>
          </w:p>
        </w:tc>
        <w:tc>
          <w:tcPr>
            <w:tcW w:w="114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المجلس</w:t>
            </w:r>
          </w:p>
        </w:tc>
        <w:tc>
          <w:tcPr>
            <w:tcW w:w="114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الرئيس</w:t>
            </w:r>
          </w:p>
        </w:tc>
        <w:tc>
          <w:tcPr>
            <w:tcW w:w="114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رئيس الجامعة</w:t>
            </w:r>
          </w:p>
        </w:tc>
        <w:tc>
          <w:tcPr>
            <w:tcW w:w="114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الوكيل / المنفذ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اعتماد الميزانية السنوية الكلية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كل المبلغ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اعتماد الحساب الختامي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كل المبلغ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تعديل بنود الميزانية بين الأبواب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أكثر من ٥٪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تعديل بنود الميزانية بين الأبواب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حتى ٥٪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تعديل بنود داخل الباب الواحد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حتى ١٠٪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العقود والمشاريع الرأسمالية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أكثر من ٥٠ مليون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العقود والمشاريع الرأسمالية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١٠ — ٥٠ مليون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العقود والمشاريع الرأسمالية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أقل من ١٠ مليون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اتفاقيات التشغيل والصيانة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أكثر من ٢٠ مليون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اتفاقيات التشغيل والصيانة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٥ — ٢٠ مليون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اتفاقيات التشغيل والصيانة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أقل من ٥ مليون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السياسات الاستثمارية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كل البنود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قرارات الاستثمار الفردية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أكثر من ٣٠ مليون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قرارات الاستثمار الفردية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حتى ٣٠ مليون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lastRenderedPageBreak/>
              <w:t>تعيين المراجع المالي الخارجي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تأسيسي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تعديل الرسوم الدراسية للدراسات العليا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كل القرارات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إقرار سلم الرواتب والمكافآت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كل القرارات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اعتماد المكافآت الاستثنائية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أكثر من ٥٠٠ ألف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اعتماد التبرعات الخارجة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أكثر من مليون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قبول التبرعات والأوقاف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أكثر من ٥ مليون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قبول التبرعات والأوقاف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أقل من ٥ مليون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</w:tbl>
    <w:p w:rsidR="003825C0" w:rsidRDefault="003825C0">
      <w:pPr>
        <w:spacing w:before="100" w:after="100" w:line="200" w:lineRule="auto"/>
        <w:jc w:val="right"/>
      </w:pP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B89855"/>
              <w:left w:val="single" w:sz="4" w:space="0" w:color="B89855"/>
              <w:bottom w:val="single" w:sz="4" w:space="0" w:color="B89855"/>
              <w:right w:val="single" w:sz="24" w:space="0" w:color="B89855"/>
            </w:tcBorders>
            <w:shd w:val="clear" w:color="auto" w:fill="F2EDD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825C0" w:rsidRDefault="00CC0764">
            <w:pPr>
              <w:jc w:val="right"/>
            </w:pPr>
            <w:r>
              <w:rPr>
                <w:b/>
                <w:bCs/>
                <w:color w:val="B89855"/>
                <w:sz w:val="20"/>
                <w:szCs w:val="20"/>
              </w:rPr>
              <w:t xml:space="preserve">⚠  </w:t>
            </w:r>
            <w:r>
              <w:rPr>
                <w:color w:val="0E1A14"/>
                <w:sz w:val="18"/>
                <w:szCs w:val="18"/>
              </w:rPr>
              <w:t>القرارات المالية التي تتجاوز سقف رئيس الجامعة تُرفع للمجلس بصورة وثيقة كاملة تشمل: التبرير، البدائل، الأثر المالي، تحليل المخاطر، وتوصية لجنة المراجعة المالية.</w:t>
            </w:r>
          </w:p>
        </w:tc>
      </w:tr>
    </w:tbl>
    <w:p w:rsidR="003825C0" w:rsidRDefault="00CC0764">
      <w:pPr>
        <w:pageBreakBefore/>
      </w:pPr>
      <w:r>
        <w:lastRenderedPageBreak/>
        <w:br/>
      </w:r>
    </w:p>
    <w:p w:rsidR="003825C0" w:rsidRDefault="00CC0764">
      <w:pPr>
        <w:shd w:val="clear" w:color="auto" w:fill="1F5F3F"/>
        <w:spacing w:before="480" w:after="120" w:line="360" w:lineRule="auto"/>
        <w:jc w:val="center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3825C0" w:rsidRDefault="00CC0764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الخامس</w:t>
            </w:r>
          </w:p>
          <w:p w:rsidR="003825C0" w:rsidRDefault="00CC0764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مصفوفة الصلاحيات الإدارية والموارد البشرية</w:t>
            </w:r>
          </w:p>
        </w:tc>
      </w:tr>
    </w:tbl>
    <w:p w:rsidR="003825C0" w:rsidRDefault="003825C0">
      <w:pPr>
        <w:spacing w:before="240" w:after="240"/>
        <w:jc w:val="right"/>
      </w:pPr>
    </w:p>
    <w:p w:rsidR="003825C0" w:rsidRDefault="00CC0764" w:rsidP="001C211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(١٠): </w:t>
      </w:r>
      <w:r>
        <w:rPr>
          <w:b/>
          <w:bCs/>
          <w:color w:val="143F2A"/>
          <w:sz w:val="20"/>
          <w:szCs w:val="20"/>
        </w:rPr>
        <w:t>صلاحيات الموارد البشرية</w:t>
      </w:r>
    </w:p>
    <w:p w:rsidR="003825C0" w:rsidRDefault="00CC0764" w:rsidP="001C211B">
      <w:pPr>
        <w:spacing w:before="60" w:after="120" w:line="380" w:lineRule="auto"/>
        <w:ind w:right="200"/>
      </w:pPr>
      <w:r>
        <w:rPr>
          <w:color w:val="0E1A14"/>
          <w:sz w:val="20"/>
          <w:szCs w:val="20"/>
        </w:rPr>
        <w:t>يُحدد الجدول التالي الجهة المختصة بالقرارات المتعلقة بمنسوبي الجامعة:</w:t>
      </w:r>
    </w:p>
    <w:p w:rsidR="003825C0" w:rsidRDefault="003825C0" w:rsidP="001C211B">
      <w:pPr>
        <w:spacing w:before="80" w:after="80" w:line="200" w:lineRule="auto"/>
      </w:pP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1140"/>
        <w:gridCol w:w="1140"/>
        <w:gridCol w:w="1140"/>
        <w:gridCol w:w="1140"/>
      </w:tblGrid>
      <w:tr w:rsidR="003825C0" w:rsidTr="001C211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00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البند / القرار</w:t>
            </w:r>
          </w:p>
        </w:tc>
        <w:tc>
          <w:tcPr>
            <w:tcW w:w="180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السقف / النطاق</w:t>
            </w:r>
          </w:p>
        </w:tc>
        <w:tc>
          <w:tcPr>
            <w:tcW w:w="114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المجلس</w:t>
            </w:r>
          </w:p>
        </w:tc>
        <w:tc>
          <w:tcPr>
            <w:tcW w:w="114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الرئيس</w:t>
            </w:r>
          </w:p>
        </w:tc>
        <w:tc>
          <w:tcPr>
            <w:tcW w:w="114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رئيس الجامعة</w:t>
            </w:r>
          </w:p>
        </w:tc>
        <w:tc>
          <w:tcPr>
            <w:tcW w:w="114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الوكيل / المنفذ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ترشيح رئيس الجامعة للجهة العليا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تأسيسي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تقييم الأداء السنوي لرئيس الجامعة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إشرافي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اعتماد لوائح الموارد البشرية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كل اللوائح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تعيين الوكلاء التنفيذيين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وكيل ج/أعلى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تعيين العمداء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 xml:space="preserve">كل </w:t>
            </w:r>
            <w:proofErr w:type="spellStart"/>
            <w:r>
              <w:rPr>
                <w:color w:val="0E1A14"/>
                <w:sz w:val="15"/>
                <w:szCs w:val="15"/>
              </w:rPr>
              <w:t>العمادات</w:t>
            </w:r>
            <w:proofErr w:type="spellEnd"/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تعيين أعضاء هيئة التدريس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كل المراتب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تعيين الموظفين الإداريين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كل المراتب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إنهاء خدمة وكيل أو عميد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تأديبي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إنهاء خدمة عضو هيئة تدريس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تأديبي / غير تأديبي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ترقية أعضاء هيئة التدريس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إلى أستاذ مشارك/أستاذ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اعتماد سياسة الابتعاث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كل السياسة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اعتماد قرارات الابتعاث الفردية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كل القرارات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اعتماد سياسة التطوير المهني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كل السياسة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اعتماد التعويضات الاستثنائية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أكثر من ١٠٠ ألف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البدلات الخاصة (الإسكان، السكن)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كل القرارات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</w:tbl>
    <w:p w:rsidR="003825C0" w:rsidRDefault="00CC0764">
      <w:pPr>
        <w:pageBreakBefore/>
      </w:pPr>
      <w:r>
        <w:lastRenderedPageBreak/>
        <w:br/>
      </w:r>
    </w:p>
    <w:p w:rsidR="003825C0" w:rsidRDefault="00CC0764">
      <w:pPr>
        <w:shd w:val="clear" w:color="auto" w:fill="1F5F3F"/>
        <w:spacing w:before="480" w:after="120" w:line="360" w:lineRule="auto"/>
        <w:jc w:val="center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3825C0" w:rsidRDefault="00CC0764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السادس</w:t>
            </w:r>
          </w:p>
          <w:p w:rsidR="003825C0" w:rsidRDefault="00CC0764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مصفوفة الصلاحيات الأكاديمية</w:t>
            </w:r>
          </w:p>
        </w:tc>
      </w:tr>
    </w:tbl>
    <w:p w:rsidR="003825C0" w:rsidRPr="001C211B" w:rsidRDefault="003825C0">
      <w:pPr>
        <w:spacing w:before="240" w:after="240"/>
        <w:jc w:val="right"/>
        <w:rPr>
          <w:sz w:val="6"/>
          <w:szCs w:val="6"/>
        </w:rPr>
      </w:pPr>
    </w:p>
    <w:p w:rsidR="003825C0" w:rsidRDefault="00CC0764">
      <w:pPr>
        <w:spacing w:before="280" w:after="120"/>
        <w:jc w:val="right"/>
      </w:pPr>
      <w:r>
        <w:rPr>
          <w:b/>
          <w:bCs/>
          <w:color w:val="1F5F3F"/>
          <w:sz w:val="20"/>
          <w:szCs w:val="20"/>
        </w:rPr>
        <w:t xml:space="preserve">المادة (١١): </w:t>
      </w:r>
      <w:r>
        <w:rPr>
          <w:b/>
          <w:bCs/>
          <w:color w:val="143F2A"/>
          <w:sz w:val="20"/>
          <w:szCs w:val="20"/>
        </w:rPr>
        <w:t>الصلاحيات الأكاديمية والبحثية</w:t>
      </w:r>
    </w:p>
    <w:p w:rsidR="003825C0" w:rsidRDefault="00CC0764">
      <w:pPr>
        <w:spacing w:before="60" w:after="80" w:line="380" w:lineRule="auto"/>
        <w:ind w:right="200"/>
        <w:jc w:val="right"/>
      </w:pPr>
      <w:r>
        <w:rPr>
          <w:color w:val="0E1A14"/>
          <w:sz w:val="20"/>
          <w:szCs w:val="20"/>
        </w:rPr>
        <w:t>تخضع القرارات الأكاديمية لتكامل بين مجلس الأمناء ومجلس الجامعة وفق الضوابط التالية:</w:t>
      </w:r>
    </w:p>
    <w:p w:rsidR="003825C0" w:rsidRDefault="00CC0764">
      <w:pPr>
        <w:spacing w:before="40" w:after="40" w:line="360" w:lineRule="auto"/>
        <w:ind w:right="600"/>
        <w:jc w:val="right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القرارات الأكاديمية الاستراتيجية: من اختصاص مجلس الأمناء.</w:t>
      </w:r>
    </w:p>
    <w:p w:rsidR="003825C0" w:rsidRDefault="00CC0764">
      <w:pPr>
        <w:spacing w:before="40" w:after="40" w:line="360" w:lineRule="auto"/>
        <w:ind w:right="600"/>
        <w:jc w:val="right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القرارات الأكاديمية التشغيلية: من اختصاص مجلس الجامعة.</w:t>
      </w:r>
    </w:p>
    <w:p w:rsidR="003825C0" w:rsidRDefault="00CC0764">
      <w:pPr>
        <w:spacing w:before="40" w:after="40" w:line="360" w:lineRule="auto"/>
        <w:ind w:right="600"/>
        <w:jc w:val="right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القرارات الأكاديمية الفردية: من اختصاص العمداء أو رؤساء الأقسام.</w:t>
      </w:r>
    </w:p>
    <w:p w:rsidR="003825C0" w:rsidRDefault="003825C0">
      <w:pPr>
        <w:spacing w:before="60" w:after="60" w:line="200" w:lineRule="auto"/>
        <w:jc w:val="right"/>
      </w:pP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1140"/>
        <w:gridCol w:w="1140"/>
        <w:gridCol w:w="1140"/>
        <w:gridCol w:w="1140"/>
      </w:tblGrid>
      <w:tr w:rsidR="003825C0" w:rsidTr="001C211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00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البند / القرار</w:t>
            </w:r>
          </w:p>
        </w:tc>
        <w:tc>
          <w:tcPr>
            <w:tcW w:w="180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السقف / النطاق</w:t>
            </w:r>
          </w:p>
        </w:tc>
        <w:tc>
          <w:tcPr>
            <w:tcW w:w="114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المجلس</w:t>
            </w:r>
          </w:p>
        </w:tc>
        <w:tc>
          <w:tcPr>
            <w:tcW w:w="114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الرئيس</w:t>
            </w:r>
          </w:p>
        </w:tc>
        <w:tc>
          <w:tcPr>
            <w:tcW w:w="114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رئيس الجامعة</w:t>
            </w:r>
          </w:p>
        </w:tc>
        <w:tc>
          <w:tcPr>
            <w:tcW w:w="114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الوكيل / المنفذ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إقرار البرامج الأكاديمية الجديدة (بكالوريوس)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كل البرامج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إقرار برامج الدراسات العليا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ماجستير ودكتوراه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إقرار البرامج المهنية / غير الأكاديمية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كل البرامج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إلغاء برنامج أكاديمي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كل البرامج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تعديل الخطط الدراسية الجوهري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أكثر من ٣٠٪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تعديل الخطط الدراسية المحدود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أقل من ٣٠٪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اعتماد سياسة القبول والتسجيل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كل السياسة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تحديد أعداد القبول السنوي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كل السنوات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اعتماد سياسة البحث العلمي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كل السياسة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إقرار المنح البحثية الكبرى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أكثر من ١٠ مليون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إقرار المنح البحثية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أقل من ١٠ مليون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اعتماد الاعتمادات الأكاديمية الدولية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كل الاعتمادات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اعتماد الدراسات العليا - رسائل وأطروحات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كل الدرجات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</w:tr>
    </w:tbl>
    <w:p w:rsidR="003825C0" w:rsidRDefault="00CC0764">
      <w:pPr>
        <w:pageBreakBefore/>
      </w:pPr>
      <w:r>
        <w:lastRenderedPageBreak/>
        <w:br/>
      </w:r>
    </w:p>
    <w:p w:rsidR="003825C0" w:rsidRDefault="00CC0764">
      <w:pPr>
        <w:shd w:val="clear" w:color="auto" w:fill="1F5F3F"/>
        <w:spacing w:before="480" w:after="120" w:line="360" w:lineRule="auto"/>
        <w:jc w:val="center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3825C0" w:rsidRDefault="00CC0764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السابع</w:t>
            </w:r>
          </w:p>
          <w:p w:rsidR="003825C0" w:rsidRDefault="00CC0764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صلاحيات الشراكات والاتفاقيات</w:t>
            </w:r>
          </w:p>
        </w:tc>
      </w:tr>
    </w:tbl>
    <w:p w:rsidR="003825C0" w:rsidRDefault="003825C0" w:rsidP="001C211B">
      <w:pPr>
        <w:spacing w:before="240" w:after="240"/>
      </w:pPr>
    </w:p>
    <w:p w:rsidR="003825C0" w:rsidRDefault="00CC0764" w:rsidP="001C211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(١٢): </w:t>
      </w:r>
      <w:r>
        <w:rPr>
          <w:b/>
          <w:bCs/>
          <w:color w:val="143F2A"/>
          <w:sz w:val="20"/>
          <w:szCs w:val="20"/>
        </w:rPr>
        <w:t>الشراكات والاتفاقيات</w:t>
      </w:r>
    </w:p>
    <w:p w:rsidR="003825C0" w:rsidRDefault="00CC0764" w:rsidP="001C211B">
      <w:pPr>
        <w:spacing w:before="60" w:after="120" w:line="380" w:lineRule="auto"/>
        <w:ind w:right="200"/>
      </w:pPr>
      <w:r>
        <w:rPr>
          <w:color w:val="0E1A14"/>
          <w:sz w:val="20"/>
          <w:szCs w:val="20"/>
        </w:rPr>
        <w:t>تُصنَّف الشراكات وفق الأثر الاستراتيجي والتعرض المالي:</w:t>
      </w:r>
    </w:p>
    <w:p w:rsidR="003825C0" w:rsidRDefault="003825C0" w:rsidP="001C211B">
      <w:pPr>
        <w:spacing w:before="60" w:after="60" w:line="200" w:lineRule="auto"/>
      </w:pPr>
    </w:p>
    <w:tbl>
      <w:tblPr>
        <w:bidiVisual/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1140"/>
        <w:gridCol w:w="1140"/>
        <w:gridCol w:w="1140"/>
        <w:gridCol w:w="1140"/>
      </w:tblGrid>
      <w:tr w:rsidR="003825C0" w:rsidTr="001C211B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00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البند / القرار</w:t>
            </w:r>
          </w:p>
        </w:tc>
        <w:tc>
          <w:tcPr>
            <w:tcW w:w="180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السقف / النطاق</w:t>
            </w:r>
          </w:p>
        </w:tc>
        <w:tc>
          <w:tcPr>
            <w:tcW w:w="114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المجلس</w:t>
            </w:r>
          </w:p>
        </w:tc>
        <w:tc>
          <w:tcPr>
            <w:tcW w:w="114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الرئيس</w:t>
            </w:r>
          </w:p>
        </w:tc>
        <w:tc>
          <w:tcPr>
            <w:tcW w:w="114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رئيس الجامعة</w:t>
            </w:r>
          </w:p>
        </w:tc>
        <w:tc>
          <w:tcPr>
            <w:tcW w:w="1140" w:type="dxa"/>
            <w:tcBorders>
              <w:top w:val="single" w:sz="6" w:space="0" w:color="143F2A"/>
              <w:left w:val="single" w:sz="4" w:space="0" w:color="B89855"/>
              <w:bottom w:val="single" w:sz="6" w:space="0" w:color="B89855"/>
              <w:right w:val="single" w:sz="4" w:space="0" w:color="B89855"/>
            </w:tcBorders>
            <w:shd w:val="clear" w:color="auto" w:fill="143F2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الوكيل / المنفذ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الشراكات الاستراتيجية الدولية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تحالف / اندماج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اتفاقيات تعاون مع جامعات دولية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أكثر من ١٠ مليون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اتفاقيات تعاون مع جامعات دولية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أقل من ١٠ مليون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اتفاقيات مع جهات حكومية محلية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أكثر من ٢٠ مليون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اتفاقيات مع جهات حكومية محلية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أقل من ٢٠ مليون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اتفاقيات مع القطاع الخاص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أكثر من ١٠ مليون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اتفاقيات مع القطاع الخاص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أقل من ١٠ مليون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تأسيس فرع للجامعة محلياً أو دولياً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تأسيسي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اتفاقيات الاستضافة الأكاديمية المؤقتة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أقل من سنتين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اتفاقيات الاستضافة الأكاديمية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أكثر من سنتين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</w:tr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0E1A14"/>
                <w:sz w:val="15"/>
                <w:szCs w:val="15"/>
              </w:rPr>
              <w:t>اعتماد الكراسي البحثية الممولة</w:t>
            </w:r>
          </w:p>
        </w:tc>
        <w:tc>
          <w:tcPr>
            <w:tcW w:w="180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0E1A14"/>
                <w:sz w:val="15"/>
                <w:szCs w:val="15"/>
              </w:rPr>
              <w:t>كل الكراسي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1F5F3F"/>
                <w:sz w:val="18"/>
                <w:szCs w:val="18"/>
                <w:rtl w:val="0"/>
              </w:rPr>
              <w:t>A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—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b/>
                <w:bCs/>
                <w:color w:val="DD7000"/>
                <w:sz w:val="18"/>
                <w:szCs w:val="18"/>
                <w:rtl w:val="0"/>
              </w:rPr>
              <w:t>R</w:t>
            </w:r>
          </w:p>
        </w:tc>
        <w:tc>
          <w:tcPr>
            <w:tcW w:w="1140" w:type="dxa"/>
            <w:tcBorders>
              <w:top w:val="single" w:sz="4" w:space="0" w:color="E5E7E5"/>
              <w:left w:val="single" w:sz="4" w:space="0" w:color="E5E7E5"/>
              <w:bottom w:val="single" w:sz="4" w:space="0" w:color="E5E7E5"/>
              <w:right w:val="single" w:sz="4" w:space="0" w:color="E5E7E5"/>
            </w:tcBorders>
            <w:shd w:val="clear" w:color="auto" w:fill="F2EDD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3825C0" w:rsidRDefault="00CC0764" w:rsidP="001C211B">
            <w:pPr>
              <w:spacing w:line="280" w:lineRule="auto"/>
              <w:jc w:val="center"/>
            </w:pPr>
            <w:r>
              <w:rPr>
                <w:color w:val="6B7770"/>
                <w:sz w:val="14"/>
                <w:szCs w:val="14"/>
                <w:rtl w:val="0"/>
              </w:rPr>
              <w:t>I</w:t>
            </w:r>
          </w:p>
        </w:tc>
      </w:tr>
    </w:tbl>
    <w:p w:rsidR="003825C0" w:rsidRDefault="00CC0764" w:rsidP="001C211B">
      <w:pPr>
        <w:pageBreakBefore/>
      </w:pPr>
      <w:r>
        <w:lastRenderedPageBreak/>
        <w:br/>
      </w:r>
    </w:p>
    <w:p w:rsidR="003825C0" w:rsidRDefault="00CC0764" w:rsidP="001C211B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25C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3825C0" w:rsidRDefault="00CC0764" w:rsidP="001C211B">
            <w:pPr>
              <w:spacing w:after="80" w:line="280" w:lineRule="auto"/>
            </w:pPr>
            <w:r>
              <w:rPr>
                <w:b/>
                <w:bCs/>
                <w:color w:val="D4B574"/>
                <w:sz w:val="18"/>
                <w:szCs w:val="18"/>
              </w:rPr>
              <w:t>الباب الثامن</w:t>
            </w:r>
          </w:p>
          <w:p w:rsidR="003825C0" w:rsidRDefault="00CC0764" w:rsidP="001C211B">
            <w:pPr>
              <w:spacing w:line="360" w:lineRule="auto"/>
            </w:pPr>
            <w:r>
              <w:rPr>
                <w:b/>
                <w:bCs/>
                <w:color w:val="FFFFFF"/>
                <w:sz w:val="28"/>
                <w:szCs w:val="28"/>
              </w:rPr>
              <w:t>المراجعة والتطوير</w:t>
            </w:r>
          </w:p>
        </w:tc>
      </w:tr>
    </w:tbl>
    <w:p w:rsidR="003825C0" w:rsidRDefault="003825C0" w:rsidP="001C211B">
      <w:pPr>
        <w:spacing w:before="240" w:after="240"/>
      </w:pPr>
    </w:p>
    <w:p w:rsidR="003825C0" w:rsidRDefault="00CC0764" w:rsidP="001C211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(١٣): </w:t>
      </w:r>
      <w:r>
        <w:rPr>
          <w:b/>
          <w:bCs/>
          <w:color w:val="143F2A"/>
          <w:sz w:val="20"/>
          <w:szCs w:val="20"/>
        </w:rPr>
        <w:t>المراجعة الدورية</w:t>
      </w:r>
    </w:p>
    <w:p w:rsidR="003825C0" w:rsidRDefault="00CC0764" w:rsidP="001C211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تُراجع هذه المصفوفة وفق الضوابط التالية: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مراجعة شاملة كل (سنتين) كحد أقصى.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مراجعة فورية عند تحديث أي من المرجعيات الأعلى (نظام الجامعات أو لوائحه).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مراجعة مستهدفة عند ظهور حالات تنازع متكررة في الصلاحيات.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تتولى لجنة الحوكمة إعداد توصيات التحديث وعرضها على المجلس.</w:t>
      </w:r>
    </w:p>
    <w:p w:rsidR="003825C0" w:rsidRDefault="00CC0764" w:rsidP="001C211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(١٤): </w:t>
      </w:r>
      <w:r>
        <w:rPr>
          <w:b/>
          <w:bCs/>
          <w:color w:val="143F2A"/>
          <w:sz w:val="20"/>
          <w:szCs w:val="20"/>
        </w:rPr>
        <w:t>تطبيق المصفوفة وقياس الأداء</w:t>
      </w:r>
    </w:p>
    <w:p w:rsidR="003825C0" w:rsidRDefault="00CC0764" w:rsidP="001C211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تُقاس فعالية تطبيق المصفوفة عبر: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عدد القرارات المتخذة خارج نطاق الصلاحيات (يجب أن يكون صفراً).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عدد حالات التنازع في الصلاحيات.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متوسط زمن اتخاذ القرارات في كل مستوى.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نسبة القرارات التي يتم تصعيدها مقابل المُتخذة محليا</w:t>
      </w:r>
      <w:r>
        <w:rPr>
          <w:color w:val="0E1A14"/>
          <w:sz w:val="19"/>
          <w:szCs w:val="19"/>
        </w:rPr>
        <w:t>ً.</w:t>
      </w:r>
    </w:p>
    <w:p w:rsidR="003825C0" w:rsidRDefault="00CC0764" w:rsidP="001C211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تُرفع تقارير دورية للمجلس عن مؤشرات الأداء كل (٦) أشهر.</w:t>
      </w:r>
    </w:p>
    <w:p w:rsidR="003825C0" w:rsidRDefault="00CC0764" w:rsidP="001C211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(١٥): </w:t>
      </w:r>
      <w:r>
        <w:rPr>
          <w:b/>
          <w:bCs/>
          <w:color w:val="143F2A"/>
          <w:sz w:val="20"/>
          <w:szCs w:val="20"/>
        </w:rPr>
        <w:t>تعديل المصفوفة</w:t>
      </w:r>
    </w:p>
    <w:p w:rsidR="003825C0" w:rsidRDefault="00CC0764" w:rsidP="001C211B">
      <w:pPr>
        <w:spacing w:before="60" w:after="120" w:line="380" w:lineRule="auto"/>
        <w:ind w:right="200"/>
      </w:pPr>
      <w:r>
        <w:rPr>
          <w:color w:val="0E1A14"/>
          <w:sz w:val="20"/>
          <w:szCs w:val="20"/>
        </w:rPr>
        <w:t>تُعدَّل هذه المصفوفة بأغلبية ثلثي أعضاء مجلس الأمناء، ويُلتزم بإعمال التعديلات بعد (٣٠) يوماً من اعتمادها لإتاحة التواصل والتدريب.</w:t>
      </w:r>
    </w:p>
    <w:p w:rsidR="003825C0" w:rsidRDefault="00CC0764" w:rsidP="001C211B">
      <w:pPr>
        <w:shd w:val="clear" w:color="auto" w:fill="1F5F3F"/>
        <w:spacing w:before="480" w:after="120" w:line="360" w:lineRule="auto"/>
      </w:pPr>
      <w:r>
        <w:rPr>
          <w:color w:val="0E1A14"/>
          <w:sz w:val="8"/>
          <w:szCs w:val="8"/>
        </w:rPr>
        <w:t xml:space="preserve">  </w:t>
      </w:r>
    </w:p>
    <w:tbl>
      <w:tblPr>
        <w:bidiVisual/>
        <w:tblW w:w="93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25C0" w:rsidTr="001C211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24" w:space="0" w:color="B89855"/>
              <w:left w:val="none" w:sz="0" w:space="0" w:color="FFFFFF"/>
              <w:bottom w:val="single" w:sz="24" w:space="0" w:color="B89855"/>
              <w:right w:val="none" w:sz="0" w:space="0" w:color="FFFFFF"/>
            </w:tcBorders>
            <w:shd w:val="clear" w:color="auto" w:fill="143F2A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:rsidR="003825C0" w:rsidRDefault="00CC0764" w:rsidP="001C211B">
            <w:pPr>
              <w:spacing w:after="80" w:line="280" w:lineRule="auto"/>
              <w:jc w:val="center"/>
            </w:pPr>
            <w:r>
              <w:rPr>
                <w:b/>
                <w:bCs/>
                <w:color w:val="D4B574"/>
                <w:sz w:val="18"/>
                <w:szCs w:val="18"/>
              </w:rPr>
              <w:lastRenderedPageBreak/>
              <w:t>الباب التاسع</w:t>
            </w:r>
          </w:p>
          <w:p w:rsidR="003825C0" w:rsidRDefault="00CC0764" w:rsidP="001C211B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أحكام ختامية</w:t>
            </w:r>
          </w:p>
        </w:tc>
      </w:tr>
    </w:tbl>
    <w:p w:rsidR="003825C0" w:rsidRDefault="003825C0" w:rsidP="001C211B">
      <w:pPr>
        <w:spacing w:before="240" w:after="240"/>
      </w:pPr>
    </w:p>
    <w:p w:rsidR="003825C0" w:rsidRDefault="00CC0764" w:rsidP="001C211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(١٦): </w:t>
      </w:r>
      <w:r>
        <w:rPr>
          <w:b/>
          <w:bCs/>
          <w:color w:val="143F2A"/>
          <w:sz w:val="20"/>
          <w:szCs w:val="20"/>
        </w:rPr>
        <w:t>حالات الطوارئ</w:t>
      </w:r>
    </w:p>
    <w:p w:rsidR="003825C0" w:rsidRDefault="00CC0764" w:rsidP="001C211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في حالات الطوارئ التي تتطلب قراراً عاجلاً يتجاوز سقف رئيس الجامعة ولا يمكن انعقاد المجلس، يجوز لرئيس مجلس الأمناء بالتشاور مع لجنة الطوارئ اتخاذ القرار اللازم وفق الضوابط التالية: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 xml:space="preserve">ألا تتجاوز قيمة القرار سقف رئيس الجامعة بأكثر </w:t>
      </w:r>
      <w:r>
        <w:rPr>
          <w:color w:val="0E1A14"/>
          <w:sz w:val="19"/>
          <w:szCs w:val="19"/>
        </w:rPr>
        <w:t>من ٣٠٪.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أن يُعرض القرار على المجلس في أول اجتماع للمصادقة.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أن تُوثَّق حالة الطوارئ والمبررات بصورة كاملة.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أن يُبلَّغ مجلس شؤون الجامعات بالقرار.</w:t>
      </w:r>
    </w:p>
    <w:p w:rsidR="003825C0" w:rsidRDefault="00CC0764" w:rsidP="001C211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(١٧): </w:t>
      </w:r>
      <w:r>
        <w:rPr>
          <w:b/>
          <w:bCs/>
          <w:color w:val="143F2A"/>
          <w:sz w:val="20"/>
          <w:szCs w:val="20"/>
        </w:rPr>
        <w:t>تنازع الصلاحيات</w:t>
      </w:r>
    </w:p>
    <w:p w:rsidR="003825C0" w:rsidRDefault="00CC0764" w:rsidP="001C211B">
      <w:pPr>
        <w:spacing w:before="60" w:after="80" w:line="380" w:lineRule="auto"/>
        <w:ind w:right="200"/>
      </w:pPr>
      <w:r>
        <w:rPr>
          <w:color w:val="0E1A14"/>
          <w:sz w:val="20"/>
          <w:szCs w:val="20"/>
        </w:rPr>
        <w:t>في حال نشوء تنازع في الصلاحيات بين الجهات، يُتبع ما يلي: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1. </w:t>
      </w:r>
      <w:r>
        <w:rPr>
          <w:color w:val="0E1A14"/>
          <w:sz w:val="19"/>
          <w:szCs w:val="19"/>
        </w:rPr>
        <w:t>محاولة الحل بالاتفاق المباشر بين الأطراف.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2. </w:t>
      </w:r>
      <w:r>
        <w:rPr>
          <w:color w:val="0E1A14"/>
          <w:sz w:val="19"/>
          <w:szCs w:val="19"/>
        </w:rPr>
        <w:t>في حال التعذر، يُحال الأمر للأمانة العامة لإصدار رأي تفسيري.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3. </w:t>
      </w:r>
      <w:r>
        <w:rPr>
          <w:color w:val="0E1A14"/>
          <w:sz w:val="19"/>
          <w:szCs w:val="19"/>
        </w:rPr>
        <w:t>في حال الخلاف، يُرفع الأمر للمجلس للحسم النهائي.</w:t>
      </w:r>
    </w:p>
    <w:p w:rsidR="003825C0" w:rsidRDefault="00CC0764" w:rsidP="001C211B">
      <w:pPr>
        <w:spacing w:before="40" w:after="40" w:line="360" w:lineRule="auto"/>
        <w:ind w:right="600"/>
      </w:pPr>
      <w:r>
        <w:rPr>
          <w:b/>
          <w:bCs/>
          <w:color w:val="B89855"/>
          <w:sz w:val="18"/>
          <w:szCs w:val="18"/>
        </w:rPr>
        <w:t xml:space="preserve">4. </w:t>
      </w:r>
      <w:r>
        <w:rPr>
          <w:color w:val="0E1A14"/>
          <w:sz w:val="19"/>
          <w:szCs w:val="19"/>
        </w:rPr>
        <w:t>قرار المجلس بشأن التنازع نهائي وملزم.</w:t>
      </w:r>
    </w:p>
    <w:p w:rsidR="003825C0" w:rsidRDefault="00CC0764" w:rsidP="001C211B">
      <w:pPr>
        <w:spacing w:before="280" w:after="120"/>
      </w:pPr>
      <w:r>
        <w:rPr>
          <w:b/>
          <w:bCs/>
          <w:color w:val="1F5F3F"/>
          <w:sz w:val="20"/>
          <w:szCs w:val="20"/>
        </w:rPr>
        <w:t xml:space="preserve">المادة (١٨): </w:t>
      </w:r>
      <w:r>
        <w:rPr>
          <w:b/>
          <w:bCs/>
          <w:color w:val="143F2A"/>
          <w:sz w:val="20"/>
          <w:szCs w:val="20"/>
        </w:rPr>
        <w:t>النفاذ</w:t>
      </w:r>
    </w:p>
    <w:p w:rsidR="003825C0" w:rsidRDefault="00CC0764" w:rsidP="001C211B">
      <w:pPr>
        <w:spacing w:before="60" w:after="120" w:line="380" w:lineRule="auto"/>
        <w:ind w:right="200"/>
      </w:pPr>
      <w:r>
        <w:rPr>
          <w:color w:val="0E1A14"/>
          <w:sz w:val="20"/>
          <w:szCs w:val="20"/>
        </w:rPr>
        <w:t>تدخل هذه المصفوفة حيز النفاذ من تاريخ اعتمادها، وتُلغي ما يتعارض معها من قرارات تفويض سابقة.</w:t>
      </w:r>
    </w:p>
    <w:p w:rsidR="003825C0" w:rsidRDefault="00CC0764" w:rsidP="001C211B">
      <w:r>
        <w:br/>
      </w:r>
    </w:p>
    <w:p w:rsidR="003825C0" w:rsidRDefault="00CC0764" w:rsidP="001C211B">
      <w:pPr>
        <w:pBdr>
          <w:bottom w:val="single" w:sz="12" w:space="4" w:color="1F5F3F"/>
        </w:pBdr>
        <w:spacing w:before="480" w:after="240"/>
      </w:pPr>
      <w:r>
        <w:rPr>
          <w:b/>
          <w:bCs/>
          <w:color w:val="143F2A"/>
          <w:sz w:val="28"/>
          <w:szCs w:val="28"/>
        </w:rPr>
        <w:t>اعتماد الوثيقة</w:t>
      </w:r>
    </w:p>
    <w:p w:rsidR="003825C0" w:rsidRDefault="00CC0764" w:rsidP="001C211B">
      <w:pPr>
        <w:spacing w:before="200" w:after="240" w:line="380" w:lineRule="auto"/>
      </w:pPr>
      <w:r>
        <w:rPr>
          <w:color w:val="0E1A14"/>
          <w:sz w:val="20"/>
          <w:szCs w:val="20"/>
        </w:rPr>
        <w:t>اعتُمدت هذه الوثيقة من قِبل المخوّلين أدناه، وأصبحت سارية المفعول من تاريخ التوقيع، ومُلزمة لجميع أعضاء مجلس الأمناء واللجان المنبثقة والأمانة الع</w:t>
      </w:r>
      <w:r>
        <w:rPr>
          <w:color w:val="0E1A14"/>
          <w:sz w:val="20"/>
          <w:szCs w:val="20"/>
        </w:rPr>
        <w:t>امة:</w:t>
      </w:r>
    </w:p>
    <w:tbl>
      <w:tblPr>
        <w:bidiVisual/>
        <w:tblW w:w="936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60" w:space="0" w:color="FFFFFF"/>
          <w:insideV w:val="none" w:sz="6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825C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8" w:space="0" w:color="1F5F3F"/>
              <w:left w:val="single" w:sz="4" w:space="0" w:color="1F5F3F"/>
              <w:bottom w:val="single" w:sz="8" w:space="0" w:color="1F5F3F"/>
              <w:right w:val="single" w:sz="4" w:space="0" w:color="1F5F3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825C0" w:rsidRDefault="00CC0764" w:rsidP="001C211B">
            <w:pPr>
              <w:spacing w:after="200"/>
            </w:pPr>
            <w:r>
              <w:rPr>
                <w:b/>
                <w:bCs/>
                <w:color w:val="143F2A"/>
              </w:rPr>
              <w:lastRenderedPageBreak/>
              <w:t>رئيس مجلس الأمناء</w:t>
            </w:r>
          </w:p>
          <w:p w:rsidR="003825C0" w:rsidRDefault="00CC0764" w:rsidP="001C211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الاسم: </w:t>
            </w:r>
          </w:p>
          <w:p w:rsidR="003825C0" w:rsidRDefault="00CC0764" w:rsidP="001C211B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3825C0" w:rsidRDefault="00CC0764" w:rsidP="001C211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التوقيع: </w:t>
            </w:r>
          </w:p>
          <w:p w:rsidR="003825C0" w:rsidRDefault="00CC0764" w:rsidP="001C211B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3825C0" w:rsidRDefault="00CC0764" w:rsidP="001C211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التاريخ: </w:t>
            </w:r>
          </w:p>
          <w:p w:rsidR="003825C0" w:rsidRDefault="00CC0764" w:rsidP="001C211B">
            <w:pPr>
              <w:pBdr>
                <w:bottom w:val="single" w:sz="4" w:space="1" w:color="C9CFC9"/>
              </w:pBdr>
              <w:spacing w:before="60" w:after="8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1F5F3F"/>
              <w:left w:val="single" w:sz="4" w:space="0" w:color="1F5F3F"/>
              <w:bottom w:val="single" w:sz="8" w:space="0" w:color="1F5F3F"/>
              <w:right w:val="single" w:sz="4" w:space="0" w:color="1F5F3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825C0" w:rsidRDefault="00CC0764" w:rsidP="001C211B">
            <w:pPr>
              <w:spacing w:after="200"/>
            </w:pPr>
            <w:r>
              <w:rPr>
                <w:b/>
                <w:bCs/>
                <w:color w:val="143F2A"/>
              </w:rPr>
              <w:t>نائب رئيس مجلس الأمناء</w:t>
            </w:r>
          </w:p>
          <w:p w:rsidR="003825C0" w:rsidRDefault="00CC0764" w:rsidP="001C211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الاسم: </w:t>
            </w:r>
          </w:p>
          <w:p w:rsidR="003825C0" w:rsidRDefault="00CC0764" w:rsidP="001C211B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3825C0" w:rsidRDefault="00CC0764" w:rsidP="001C211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التوقيع: </w:t>
            </w:r>
          </w:p>
          <w:p w:rsidR="003825C0" w:rsidRDefault="00CC0764" w:rsidP="001C211B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3825C0" w:rsidRDefault="00CC0764" w:rsidP="001C211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التاريخ: </w:t>
            </w:r>
          </w:p>
          <w:p w:rsidR="003825C0" w:rsidRDefault="00CC0764" w:rsidP="001C211B">
            <w:pPr>
              <w:pBdr>
                <w:bottom w:val="single" w:sz="4" w:space="1" w:color="C9CFC9"/>
              </w:pBdr>
              <w:spacing w:before="60" w:after="8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</w:tc>
      </w:tr>
      <w:tr w:rsidR="003825C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680" w:type="dxa"/>
            <w:tcBorders>
              <w:top w:val="single" w:sz="8" w:space="0" w:color="1F5F3F"/>
              <w:left w:val="single" w:sz="4" w:space="0" w:color="1F5F3F"/>
              <w:bottom w:val="single" w:sz="8" w:space="0" w:color="1F5F3F"/>
              <w:right w:val="single" w:sz="4" w:space="0" w:color="1F5F3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825C0" w:rsidRDefault="00CC0764" w:rsidP="001C211B">
            <w:pPr>
              <w:spacing w:after="200"/>
            </w:pPr>
            <w:r>
              <w:rPr>
                <w:b/>
                <w:bCs/>
                <w:color w:val="143F2A"/>
              </w:rPr>
              <w:t>أمين عام مجلس الأمناء</w:t>
            </w:r>
          </w:p>
          <w:p w:rsidR="003825C0" w:rsidRDefault="00CC0764" w:rsidP="001C211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الاسم: </w:t>
            </w:r>
          </w:p>
          <w:p w:rsidR="003825C0" w:rsidRDefault="00CC0764" w:rsidP="001C211B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3825C0" w:rsidRDefault="00CC0764" w:rsidP="001C211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التوقيع: </w:t>
            </w:r>
          </w:p>
          <w:p w:rsidR="003825C0" w:rsidRDefault="00CC0764" w:rsidP="001C211B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3825C0" w:rsidRDefault="00CC0764" w:rsidP="001C211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التاريخ: </w:t>
            </w:r>
          </w:p>
          <w:p w:rsidR="003825C0" w:rsidRDefault="00CC0764" w:rsidP="001C211B">
            <w:pPr>
              <w:pBdr>
                <w:bottom w:val="single" w:sz="4" w:space="1" w:color="C9CFC9"/>
              </w:pBdr>
              <w:spacing w:before="60" w:after="8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1F5F3F"/>
              <w:left w:val="single" w:sz="4" w:space="0" w:color="1F5F3F"/>
              <w:bottom w:val="single" w:sz="8" w:space="0" w:color="1F5F3F"/>
              <w:right w:val="single" w:sz="4" w:space="0" w:color="1F5F3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3825C0" w:rsidRDefault="00CC0764" w:rsidP="001C211B">
            <w:pPr>
              <w:spacing w:after="200"/>
            </w:pPr>
            <w:r>
              <w:rPr>
                <w:b/>
                <w:bCs/>
                <w:color w:val="143F2A"/>
              </w:rPr>
              <w:t>ممثل لجنة الحوكمة والمخاطر</w:t>
            </w:r>
          </w:p>
          <w:p w:rsidR="003825C0" w:rsidRDefault="00CC0764" w:rsidP="001C211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الاسم: </w:t>
            </w:r>
          </w:p>
          <w:p w:rsidR="003825C0" w:rsidRDefault="00CC0764" w:rsidP="001C211B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3825C0" w:rsidRDefault="00CC0764" w:rsidP="001C211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التوقيع: </w:t>
            </w:r>
          </w:p>
          <w:p w:rsidR="003825C0" w:rsidRDefault="00CC0764" w:rsidP="001C211B">
            <w:pPr>
              <w:pBdr>
                <w:bottom w:val="single" w:sz="4" w:space="1" w:color="C9CFC9"/>
              </w:pBdr>
              <w:spacing w:before="60" w:after="24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  <w:p w:rsidR="003825C0" w:rsidRDefault="00CC0764" w:rsidP="001C211B">
            <w:pPr>
              <w:spacing w:before="200" w:after="80"/>
            </w:pPr>
            <w:r>
              <w:rPr>
                <w:b/>
                <w:bCs/>
                <w:color w:val="6B7770"/>
                <w:sz w:val="18"/>
                <w:szCs w:val="18"/>
              </w:rPr>
              <w:t xml:space="preserve">التاريخ: </w:t>
            </w:r>
          </w:p>
          <w:p w:rsidR="003825C0" w:rsidRDefault="00CC0764" w:rsidP="001C211B">
            <w:pPr>
              <w:pBdr>
                <w:bottom w:val="single" w:sz="4" w:space="1" w:color="C9CFC9"/>
              </w:pBdr>
              <w:spacing w:before="60" w:after="80" w:line="200" w:lineRule="auto"/>
            </w:pPr>
            <w:r>
              <w:rPr>
                <w:color w:val="0E1A14"/>
                <w:sz w:val="18"/>
                <w:szCs w:val="18"/>
              </w:rPr>
              <w:t xml:space="preserve"> </w:t>
            </w:r>
          </w:p>
        </w:tc>
      </w:tr>
    </w:tbl>
    <w:p w:rsidR="00CC0764" w:rsidRDefault="00CC0764"/>
    <w:sectPr w:rsidR="00CC0764">
      <w:headerReference w:type="default" r:id="rId8"/>
      <w:footerReference w:type="default" r:id="rId9"/>
      <w:pgSz w:w="11906" w:h="16838"/>
      <w:pgMar w:top="1440" w:right="1080" w:bottom="1080" w:left="1080" w:header="708" w:footer="708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0764" w:rsidRDefault="00CC0764">
      <w:pPr>
        <w:spacing w:line="240" w:lineRule="auto"/>
      </w:pPr>
      <w:r>
        <w:separator/>
      </w:r>
    </w:p>
  </w:endnote>
  <w:endnote w:type="continuationSeparator" w:id="0">
    <w:p w:rsidR="00CC0764" w:rsidRDefault="00CC07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25C0" w:rsidRDefault="003825C0">
    <w:pPr>
      <w:pBdr>
        <w:top w:val="single" w:sz="6" w:space="1" w:color="1F5F3F"/>
      </w:pBdr>
      <w:spacing w:after="60" w:line="60" w:lineRule="auto"/>
      <w:jc w:val="right"/>
    </w:pPr>
  </w:p>
  <w:tbl>
    <w:tblPr>
      <w:bidiVisual/>
      <w:tblW w:w="9360" w:type="dxa"/>
      <w:jc w:val="righ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3825C0">
      <w:tblPrEx>
        <w:tblCellMar>
          <w:top w:w="0" w:type="dxa"/>
          <w:bottom w:w="0" w:type="dxa"/>
        </w:tblCellMar>
      </w:tblPrEx>
      <w:trPr>
        <w:jc w:val="right"/>
      </w:trPr>
      <w:tc>
        <w:tcPr>
          <w:tcW w:w="31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3825C0" w:rsidRDefault="00CC0764">
          <w:pPr>
            <w:jc w:val="right"/>
          </w:pPr>
          <w:r>
            <w:rPr>
              <w:b/>
              <w:bCs/>
              <w:color w:val="6B7770"/>
              <w:sz w:val="12"/>
              <w:szCs w:val="12"/>
              <w:rtl w:val="0"/>
            </w:rPr>
            <w:t>BOT-DOA-003</w:t>
          </w:r>
        </w:p>
      </w:tc>
      <w:tc>
        <w:tcPr>
          <w:tcW w:w="31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3825C0" w:rsidRDefault="00CC0764">
          <w:pPr>
            <w:jc w:val="center"/>
          </w:pPr>
          <w:r>
            <w:rPr>
              <w:color w:val="6B7770"/>
              <w:sz w:val="12"/>
              <w:szCs w:val="12"/>
            </w:rPr>
            <w:t>الإصدار الأول — ١٤٤٧هـ</w:t>
          </w:r>
        </w:p>
      </w:tc>
      <w:tc>
        <w:tcPr>
          <w:tcW w:w="31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3825C0" w:rsidRDefault="00CC0764">
          <w:pPr>
            <w:jc w:val="right"/>
          </w:pPr>
          <w:r>
            <w:rPr>
              <w:color w:val="6B7770"/>
              <w:sz w:val="12"/>
              <w:szCs w:val="12"/>
            </w:rPr>
            <w:t xml:space="preserve">صفحة </w:t>
          </w:r>
          <w:r>
            <w:rPr>
              <w:color w:val="6B7770"/>
              <w:sz w:val="12"/>
              <w:szCs w:val="12"/>
            </w:rPr>
            <w:fldChar w:fldCharType="begin"/>
          </w:r>
          <w:r>
            <w:rPr>
              <w:color w:val="6B7770"/>
              <w:sz w:val="12"/>
              <w:szCs w:val="12"/>
            </w:rPr>
            <w:instrText>PAGE</w:instrText>
          </w:r>
          <w:r w:rsidR="001C211B">
            <w:rPr>
              <w:color w:val="6B7770"/>
              <w:sz w:val="12"/>
              <w:szCs w:val="12"/>
            </w:rPr>
            <w:fldChar w:fldCharType="separate"/>
          </w:r>
          <w:r w:rsidR="001C211B">
            <w:rPr>
              <w:noProof/>
              <w:color w:val="6B7770"/>
              <w:sz w:val="12"/>
              <w:szCs w:val="12"/>
            </w:rPr>
            <w:t>4</w:t>
          </w:r>
          <w:r>
            <w:rPr>
              <w:color w:val="6B7770"/>
              <w:sz w:val="12"/>
              <w:szCs w:val="12"/>
            </w:rPr>
            <w:fldChar w:fldCharType="end"/>
          </w:r>
          <w:r>
            <w:rPr>
              <w:color w:val="6B7770"/>
              <w:sz w:val="12"/>
              <w:szCs w:val="12"/>
            </w:rPr>
            <w:t xml:space="preserve"> من </w:t>
          </w:r>
          <w:r>
            <w:rPr>
              <w:color w:val="6B7770"/>
              <w:sz w:val="12"/>
              <w:szCs w:val="12"/>
            </w:rPr>
            <w:fldChar w:fldCharType="begin"/>
          </w:r>
          <w:r>
            <w:rPr>
              <w:color w:val="6B7770"/>
              <w:sz w:val="12"/>
              <w:szCs w:val="12"/>
            </w:rPr>
            <w:instrText>NUMPAGES</w:instrText>
          </w:r>
          <w:r w:rsidR="001C211B">
            <w:rPr>
              <w:color w:val="6B7770"/>
              <w:sz w:val="12"/>
              <w:szCs w:val="12"/>
            </w:rPr>
            <w:fldChar w:fldCharType="separate"/>
          </w:r>
          <w:r w:rsidR="001C211B">
            <w:rPr>
              <w:noProof/>
              <w:color w:val="6B7770"/>
              <w:sz w:val="12"/>
              <w:szCs w:val="12"/>
            </w:rPr>
            <w:t>4</w:t>
          </w:r>
          <w:r>
            <w:rPr>
              <w:color w:val="6B7770"/>
              <w:sz w:val="12"/>
              <w:szCs w:val="1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0764" w:rsidRDefault="00CC0764">
      <w:pPr>
        <w:spacing w:line="240" w:lineRule="auto"/>
      </w:pPr>
      <w:r>
        <w:separator/>
      </w:r>
    </w:p>
  </w:footnote>
  <w:footnote w:type="continuationSeparator" w:id="0">
    <w:p w:rsidR="00CC0764" w:rsidRDefault="00CC07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bidiVisual/>
      <w:tblW w:w="9360" w:type="dxa"/>
      <w:jc w:val="righ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440"/>
      <w:gridCol w:w="6480"/>
      <w:gridCol w:w="1440"/>
    </w:tblGrid>
    <w:tr w:rsidR="003825C0">
      <w:tblPrEx>
        <w:tblCellMar>
          <w:top w:w="0" w:type="dxa"/>
          <w:bottom w:w="0" w:type="dxa"/>
        </w:tblCellMar>
      </w:tblPrEx>
      <w:trPr>
        <w:jc w:val="right"/>
      </w:trPr>
      <w:tc>
        <w:tcPr>
          <w:tcW w:w="14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:rsidR="003825C0" w:rsidRDefault="00CC0764">
          <w:pPr>
            <w:spacing w:line="240" w:lineRule="auto"/>
            <w:jc w:val="right"/>
          </w:pPr>
          <w:r>
            <w:rPr>
              <w:b/>
              <w:bCs/>
              <w:color w:val="1F5F3F"/>
              <w:sz w:val="16"/>
              <w:szCs w:val="16"/>
            </w:rPr>
            <w:t>جامعة الملك خالد</w:t>
          </w:r>
        </w:p>
        <w:p w:rsidR="003825C0" w:rsidRDefault="00CC0764">
          <w:pPr>
            <w:spacing w:line="240" w:lineRule="auto"/>
            <w:jc w:val="right"/>
          </w:pPr>
          <w:r>
            <w:rPr>
              <w:color w:val="6B7770"/>
              <w:sz w:val="14"/>
              <w:szCs w:val="14"/>
            </w:rPr>
            <w:t>مجلس الأمناء</w:t>
          </w:r>
        </w:p>
      </w:tc>
      <w:tc>
        <w:tcPr>
          <w:tcW w:w="64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100" w:type="dxa"/>
            <w:bottom w:w="40" w:type="dxa"/>
            <w:right w:w="100" w:type="dxa"/>
          </w:tcMar>
          <w:vAlign w:val="center"/>
        </w:tcPr>
        <w:p w:rsidR="003825C0" w:rsidRDefault="00CC0764">
          <w:pPr>
            <w:spacing w:line="280" w:lineRule="auto"/>
            <w:jc w:val="center"/>
          </w:pPr>
          <w:r>
            <w:rPr>
              <w:b/>
              <w:bCs/>
              <w:color w:val="143F2A"/>
              <w:sz w:val="18"/>
              <w:szCs w:val="18"/>
            </w:rPr>
            <w:t>مصفوفة الصلاحيات</w:t>
          </w:r>
        </w:p>
        <w:p w:rsidR="003825C0" w:rsidRDefault="00CC0764">
          <w:pPr>
            <w:spacing w:line="220" w:lineRule="auto"/>
            <w:jc w:val="center"/>
          </w:pPr>
          <w:r>
            <w:rPr>
              <w:b/>
              <w:bCs/>
              <w:color w:val="B89855"/>
              <w:sz w:val="12"/>
              <w:szCs w:val="12"/>
              <w:rtl w:val="0"/>
            </w:rPr>
            <w:t>BOT-DOA-003</w:t>
          </w:r>
        </w:p>
      </w:tc>
      <w:tc>
        <w:tcPr>
          <w:tcW w:w="14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:rsidR="003825C0" w:rsidRDefault="00CC0764">
          <w:pPr>
            <w:jc w:val="right"/>
          </w:pPr>
          <w:r>
            <w:rPr>
              <w:noProof/>
            </w:rPr>
            <w:drawing>
              <wp:inline distT="0" distB="0" distL="0" distR="0">
                <wp:extent cx="571500" cy="571500"/>
                <wp:effectExtent l="0" t="0" r="0" b="0"/>
                <wp:docPr id="2" name="صورة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3825C0" w:rsidRDefault="003825C0">
    <w:pPr>
      <w:pBdr>
        <w:bottom w:val="single" w:sz="8" w:space="1" w:color="B89855"/>
      </w:pBdr>
      <w:spacing w:line="60" w:lineRule="auto"/>
      <w:jc w:val="right"/>
    </w:pPr>
  </w:p>
  <w:p w:rsidR="003825C0" w:rsidRDefault="003825C0">
    <w:pPr>
      <w:spacing w:line="6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605D8"/>
    <w:multiLevelType w:val="hybridMultilevel"/>
    <w:tmpl w:val="B6685524"/>
    <w:lvl w:ilvl="0" w:tplc="DA129BFA">
      <w:start w:val="1"/>
      <w:numFmt w:val="bullet"/>
      <w:lvlText w:val="●"/>
      <w:lvlJc w:val="left"/>
      <w:pPr>
        <w:bidi/>
        <w:ind w:left="720" w:hanging="360"/>
      </w:pPr>
    </w:lvl>
    <w:lvl w:ilvl="1" w:tplc="5756F3FA">
      <w:start w:val="1"/>
      <w:numFmt w:val="bullet"/>
      <w:lvlText w:val="○"/>
      <w:lvlJc w:val="left"/>
      <w:pPr>
        <w:bidi/>
        <w:ind w:left="1440" w:hanging="360"/>
      </w:pPr>
    </w:lvl>
    <w:lvl w:ilvl="2" w:tplc="586EE336">
      <w:start w:val="1"/>
      <w:numFmt w:val="bullet"/>
      <w:lvlText w:val="■"/>
      <w:lvlJc w:val="left"/>
      <w:pPr>
        <w:bidi/>
        <w:ind w:left="2160" w:hanging="360"/>
      </w:pPr>
    </w:lvl>
    <w:lvl w:ilvl="3" w:tplc="1CC61F64">
      <w:start w:val="1"/>
      <w:numFmt w:val="bullet"/>
      <w:lvlText w:val="●"/>
      <w:lvlJc w:val="left"/>
      <w:pPr>
        <w:bidi/>
        <w:ind w:left="2880" w:hanging="360"/>
      </w:pPr>
    </w:lvl>
    <w:lvl w:ilvl="4" w:tplc="946EAFE4">
      <w:start w:val="1"/>
      <w:numFmt w:val="bullet"/>
      <w:lvlText w:val="○"/>
      <w:lvlJc w:val="left"/>
      <w:pPr>
        <w:bidi/>
        <w:ind w:left="3600" w:hanging="360"/>
      </w:pPr>
    </w:lvl>
    <w:lvl w:ilvl="5" w:tplc="4F084212">
      <w:start w:val="1"/>
      <w:numFmt w:val="bullet"/>
      <w:lvlText w:val="■"/>
      <w:lvlJc w:val="left"/>
      <w:pPr>
        <w:bidi/>
        <w:ind w:left="4320" w:hanging="360"/>
      </w:pPr>
    </w:lvl>
    <w:lvl w:ilvl="6" w:tplc="F9AA9B6E">
      <w:start w:val="1"/>
      <w:numFmt w:val="bullet"/>
      <w:lvlText w:val="●"/>
      <w:lvlJc w:val="left"/>
      <w:pPr>
        <w:bidi/>
        <w:ind w:left="5040" w:hanging="360"/>
      </w:pPr>
    </w:lvl>
    <w:lvl w:ilvl="7" w:tplc="78EA1794">
      <w:start w:val="1"/>
      <w:numFmt w:val="bullet"/>
      <w:lvlText w:val="●"/>
      <w:lvlJc w:val="left"/>
      <w:pPr>
        <w:bidi/>
        <w:ind w:left="5760" w:hanging="360"/>
      </w:pPr>
    </w:lvl>
    <w:lvl w:ilvl="8" w:tplc="ECC4C164">
      <w:start w:val="1"/>
      <w:numFmt w:val="bullet"/>
      <w:lvlText w:val="●"/>
      <w:lvlJc w:val="left"/>
      <w:pPr>
        <w:bidi/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5C0"/>
    <w:rsid w:val="001C211B"/>
    <w:rsid w:val="003825C0"/>
    <w:rsid w:val="00CC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652117"/>
  <w15:docId w15:val="{ADCD9620-3AD8-481F-8C09-AE221E3F6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Sakkal Majalla" w:eastAsia="Sakkal Majalla" w:hAnsi="Sakkal Majalla" w:cs="Sakkal Majalla"/>
        <w:sz w:val="22"/>
        <w:szCs w:val="22"/>
        <w:rtl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  <w:spacing w:line="320" w:lineRule="auto"/>
    </w:p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تشديد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basedOn w:val="a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1877</Words>
  <Characters>10701</Characters>
  <Application>Microsoft Office Word</Application>
  <DocSecurity>0</DocSecurity>
  <Lines>89</Lines>
  <Paragraphs>25</Paragraphs>
  <ScaleCrop>false</ScaleCrop>
  <Company>King Khalid University</Company>
  <LinksUpToDate>false</LinksUpToDate>
  <CharactersWithSpaces>12553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مصفوفة الصلاحيات</dc:title>
  <dc:creator>جامعة الملك خالد - الأمانة العامة لمجلس الأمناء</dc:creator>
  <cp:lastModifiedBy>Mohammed Al Jouni</cp:lastModifiedBy>
  <cp:revision>2</cp:revision>
  <dcterms:created xsi:type="dcterms:W3CDTF">2026-04-30T03:02:00Z</dcterms:created>
  <dcterms:modified xsi:type="dcterms:W3CDTF">2026-04-30T10:38:00Z</dcterms:modified>
</cp:coreProperties>
</file>