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3239" w:rsidRDefault="00956417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763239" w:rsidRDefault="00956417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763239" w:rsidRDefault="00956417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763239" w:rsidRDefault="00956417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763239" w:rsidRDefault="00956417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239">
        <w:tblPrEx>
          <w:tblCellMar>
            <w:top w:w="0" w:type="dxa"/>
            <w:bottom w:w="0" w:type="dxa"/>
          </w:tblCellMar>
        </w:tblPrEx>
        <w:trPr>
          <w:trHeight w:val="3600"/>
          <w:jc w:val="right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763239" w:rsidRDefault="00956417">
            <w:pPr>
              <w:spacing w:line="3600" w:lineRule="exac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666875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3239" w:rsidRDefault="00956417">
      <w:pPr>
        <w:spacing w:before="200"/>
        <w:jc w:val="right"/>
      </w:pPr>
      <w:r>
        <w:rPr>
          <w:color w:val="0E1A14"/>
          <w:sz w:val="12"/>
          <w:szCs w:val="12"/>
        </w:rPr>
        <w:t xml:space="preserve"> </w:t>
      </w:r>
    </w:p>
    <w:p w:rsidR="00763239" w:rsidRDefault="00956417">
      <w:pPr>
        <w:spacing w:after="60"/>
        <w:jc w:val="center"/>
      </w:pPr>
      <w:r>
        <w:rPr>
          <w:b/>
          <w:bCs/>
          <w:color w:val="1F5F3F"/>
          <w:sz w:val="36"/>
          <w:szCs w:val="36"/>
        </w:rPr>
        <w:t>جامعة الملك خالد</w:t>
      </w:r>
    </w:p>
    <w:p w:rsidR="00763239" w:rsidRDefault="00956417">
      <w:pPr>
        <w:spacing w:after="240"/>
        <w:jc w:val="center"/>
      </w:pPr>
      <w:r>
        <w:rPr>
          <w:color w:val="6B7770"/>
          <w:sz w:val="16"/>
          <w:szCs w:val="16"/>
          <w:rtl w:val="0"/>
        </w:rPr>
        <w:t>KING KHALID UNIVERSITY</w:t>
      </w:r>
    </w:p>
    <w:p w:rsidR="00763239" w:rsidRDefault="00763239">
      <w:pPr>
        <w:pBdr>
          <w:bottom w:val="double" w:sz="12" w:space="1" w:color="B89855"/>
        </w:pBdr>
        <w:spacing w:before="240" w:after="240" w:line="60" w:lineRule="auto"/>
        <w:jc w:val="right"/>
      </w:pPr>
    </w:p>
    <w:p w:rsidR="00763239" w:rsidRDefault="00956417">
      <w:pPr>
        <w:spacing w:before="480" w:after="120" w:line="280" w:lineRule="auto"/>
        <w:jc w:val="center"/>
      </w:pPr>
      <w:r>
        <w:rPr>
          <w:b/>
          <w:bCs/>
          <w:color w:val="B89855"/>
          <w:sz w:val="18"/>
          <w:szCs w:val="18"/>
        </w:rPr>
        <w:t xml:space="preserve">الحزمة الثانية — الأدلة </w:t>
      </w:r>
      <w:proofErr w:type="spellStart"/>
      <w:r>
        <w:rPr>
          <w:b/>
          <w:bCs/>
          <w:color w:val="B89855"/>
          <w:sz w:val="18"/>
          <w:szCs w:val="18"/>
        </w:rPr>
        <w:t>الحوكمية</w:t>
      </w:r>
      <w:proofErr w:type="spellEnd"/>
    </w:p>
    <w:p w:rsidR="00763239" w:rsidRDefault="00956417">
      <w:pPr>
        <w:spacing w:after="80"/>
        <w:jc w:val="center"/>
      </w:pPr>
      <w:r>
        <w:rPr>
          <w:color w:val="6B7770"/>
          <w:sz w:val="16"/>
          <w:szCs w:val="16"/>
        </w:rPr>
        <w:t>الوثيقة رقم (٠) من (٨)</w:t>
      </w:r>
    </w:p>
    <w:p w:rsidR="00763239" w:rsidRDefault="00956417">
      <w:pPr>
        <w:spacing w:before="360" w:after="120" w:line="480" w:lineRule="auto"/>
        <w:jc w:val="center"/>
      </w:pPr>
      <w:r>
        <w:rPr>
          <w:b/>
          <w:bCs/>
          <w:color w:val="143F2A"/>
          <w:sz w:val="48"/>
          <w:szCs w:val="48"/>
        </w:rPr>
        <w:t xml:space="preserve">المؤشر الرئيسي لحزمة الأدلة </w:t>
      </w:r>
      <w:proofErr w:type="spellStart"/>
      <w:r>
        <w:rPr>
          <w:b/>
          <w:bCs/>
          <w:color w:val="143F2A"/>
          <w:sz w:val="48"/>
          <w:szCs w:val="48"/>
        </w:rPr>
        <w:t>الحوكمية</w:t>
      </w:r>
      <w:proofErr w:type="spellEnd"/>
    </w:p>
    <w:p w:rsidR="00763239" w:rsidRDefault="00956417">
      <w:pPr>
        <w:spacing w:before="60" w:after="240" w:line="360" w:lineRule="auto"/>
        <w:jc w:val="center"/>
      </w:pPr>
      <w:proofErr w:type="spellStart"/>
      <w:r>
        <w:rPr>
          <w:color w:val="1F5F3F"/>
        </w:rPr>
        <w:t>Master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Index</w:t>
      </w:r>
      <w:proofErr w:type="spellEnd"/>
      <w:r>
        <w:rPr>
          <w:color w:val="1F5F3F"/>
        </w:rPr>
        <w:t xml:space="preserve"> — </w:t>
      </w:r>
      <w:proofErr w:type="spellStart"/>
      <w:r>
        <w:rPr>
          <w:color w:val="1F5F3F"/>
        </w:rPr>
        <w:t>Governance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Documentation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Package</w:t>
      </w:r>
      <w:proofErr w:type="spellEnd"/>
    </w:p>
    <w:p w:rsidR="00763239" w:rsidRDefault="00763239">
      <w:pPr>
        <w:pBdr>
          <w:bottom w:val="double" w:sz="12" w:space="1" w:color="B89855"/>
        </w:pBdr>
        <w:spacing w:before="360" w:after="240" w:line="60" w:lineRule="auto"/>
        <w:jc w:val="right"/>
      </w:pPr>
    </w:p>
    <w:p w:rsidR="00763239" w:rsidRDefault="00763239">
      <w:pPr>
        <w:spacing w:line="240" w:lineRule="auto"/>
        <w:jc w:val="right"/>
      </w:pP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6520"/>
        <w:gridCol w:w="1420"/>
      </w:tblGrid>
      <w:tr w:rsidR="0076323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63239" w:rsidRDefault="00763239"/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6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0"/>
              <w:gridCol w:w="3000"/>
            </w:tblGrid>
            <w:tr w:rsidR="00763239" w:rsidTr="00E109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الأمانة العامة لمجلس الأمناء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الجهة المُصدرة :</w:t>
                  </w:r>
                </w:p>
              </w:tc>
            </w:tr>
            <w:tr w:rsidR="00763239" w:rsidTr="00E109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BOT-IDX-000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رمز الوثيقة :</w:t>
                  </w:r>
                </w:p>
              </w:tc>
            </w:tr>
            <w:tr w:rsidR="00763239" w:rsidTr="00E109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الإصدار الأول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الإصدار :</w:t>
                  </w:r>
                </w:p>
              </w:tc>
            </w:tr>
            <w:tr w:rsidR="00763239" w:rsidTr="00E109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ربيع الآخر ١٤٤٧هـ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تاريخ الإصدار :</w:t>
                  </w:r>
                </w:p>
              </w:tc>
            </w:tr>
            <w:tr w:rsidR="00763239" w:rsidTr="00E1093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معتمد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:rsidR="00763239" w:rsidRDefault="00956417" w:rsidP="00E10934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الحالة :</w:t>
                  </w:r>
                </w:p>
              </w:tc>
            </w:tr>
          </w:tbl>
          <w:p w:rsidR="00763239" w:rsidRDefault="00763239"/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63239" w:rsidRDefault="00763239"/>
        </w:tc>
      </w:tr>
    </w:tbl>
    <w:p w:rsidR="00763239" w:rsidRDefault="00956417">
      <w:pPr>
        <w:pageBreakBefore/>
      </w:pPr>
      <w:r>
        <w:lastRenderedPageBreak/>
        <w:br/>
      </w:r>
    </w:p>
    <w:p w:rsidR="00763239" w:rsidRDefault="00763239">
      <w:pPr>
        <w:sectPr w:rsidR="00763239">
          <w:pgSz w:w="11906" w:h="16838"/>
          <w:pgMar w:top="1080" w:right="1080" w:bottom="1080" w:left="1080" w:header="708" w:footer="708" w:gutter="0"/>
          <w:cols w:space="720"/>
          <w:bidi/>
          <w:docGrid w:linePitch="360"/>
        </w:sectPr>
      </w:pPr>
    </w:p>
    <w:p w:rsidR="00763239" w:rsidRDefault="00956417" w:rsidP="00E10934">
      <w:pPr>
        <w:pBdr>
          <w:bottom w:val="single" w:sz="12" w:space="4" w:color="1F5F3F"/>
        </w:pBdr>
        <w:spacing w:before="240" w:after="240"/>
      </w:pPr>
      <w:bookmarkStart w:id="0" w:name="_GoBack"/>
      <w:r>
        <w:rPr>
          <w:b/>
          <w:bCs/>
          <w:color w:val="143F2A"/>
          <w:sz w:val="28"/>
          <w:szCs w:val="28"/>
        </w:rPr>
        <w:lastRenderedPageBreak/>
        <w:t>بيانات الوثيقة وضوابط الإصدار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3239" w:rsidTr="00E1093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bookmarkEnd w:id="0"/>
          <w:p w:rsidR="00763239" w:rsidRDefault="00956417" w:rsidP="00E10934">
            <w:r>
              <w:rPr>
                <w:b/>
                <w:bCs/>
                <w:color w:val="FFFFFF"/>
                <w:sz w:val="18"/>
                <w:szCs w:val="18"/>
              </w:rPr>
              <w:t>البند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b/>
                <w:bCs/>
                <w:color w:val="FFFFFF"/>
                <w:sz w:val="18"/>
                <w:szCs w:val="18"/>
              </w:rPr>
              <w:t>التفاصيل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العنوان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 xml:space="preserve">المؤشر الرئيسي لحزمة الأدلة </w:t>
            </w:r>
            <w:proofErr w:type="spellStart"/>
            <w:r>
              <w:rPr>
                <w:color w:val="0E1A14"/>
                <w:sz w:val="17"/>
                <w:szCs w:val="17"/>
              </w:rPr>
              <w:t>الحوكمية</w:t>
            </w:r>
            <w:proofErr w:type="spellEnd"/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الرمز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BOT-IDX-000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الإصدار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الإصدار الأول (1.0)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تاريخ الاعتماد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____ / ____ / ١٤٤٧هـ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تاريخ السريان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تاريخ اعتماد المجلس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تاريخ المراجعة التالية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بعد سنتين من الاعتماد أو عند تعديل المرجعيات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الجهة المُعدة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الأمانة العامة لمجلس الأمناء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الجهة المعتمدة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مالك الوثيقة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أمين عام مجلس الأمناء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تصنيف السرية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r>
              <w:rPr>
                <w:color w:val="0E1A14"/>
                <w:sz w:val="17"/>
                <w:szCs w:val="17"/>
              </w:rPr>
              <w:t>وثيقة عامة</w:t>
            </w:r>
          </w:p>
        </w:tc>
      </w:tr>
    </w:tbl>
    <w:p w:rsidR="00763239" w:rsidRDefault="00763239" w:rsidP="00E10934">
      <w:pPr>
        <w:spacing w:before="120" w:after="120" w:line="200" w:lineRule="auto"/>
      </w:pPr>
    </w:p>
    <w:p w:rsidR="00763239" w:rsidRDefault="00956417" w:rsidP="00E10934">
      <w:pPr>
        <w:spacing w:before="240" w:after="200"/>
      </w:pPr>
      <w:r>
        <w:rPr>
          <w:b/>
          <w:bCs/>
          <w:color w:val="1F5F3F"/>
        </w:rPr>
        <w:t>سجل المراجعات والتعديلات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63239" w:rsidTr="00E1093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الإصدار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التاريخ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نوع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وصف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المعتمد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color w:val="0E1A14"/>
                <w:sz w:val="17"/>
                <w:szCs w:val="17"/>
              </w:rPr>
              <w:t>1.0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color w:val="0E1A14"/>
                <w:sz w:val="17"/>
                <w:szCs w:val="17"/>
              </w:rPr>
              <w:t>ربيع الآخر ١٤٤٧هـ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color w:val="0E1A14"/>
                <w:sz w:val="17"/>
                <w:szCs w:val="17"/>
              </w:rPr>
              <w:t>إصدار أولي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color w:val="0E1A14"/>
                <w:sz w:val="17"/>
                <w:szCs w:val="17"/>
              </w:rPr>
              <w:t>إصدار الوثيقة لأول مرة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763239" w:rsidP="00E10934">
            <w:pPr>
              <w:jc w:val="center"/>
            </w:pPr>
          </w:p>
        </w:tc>
      </w:tr>
    </w:tbl>
    <w:p w:rsidR="00763239" w:rsidRDefault="00763239" w:rsidP="00E10934">
      <w:pPr>
        <w:spacing w:before="120" w:after="120" w:line="200" w:lineRule="auto"/>
      </w:pPr>
    </w:p>
    <w:p w:rsidR="00763239" w:rsidRDefault="00956417" w:rsidP="00E10934">
      <w:pPr>
        <w:spacing w:before="240" w:after="200"/>
      </w:pPr>
      <w:r>
        <w:rPr>
          <w:b/>
          <w:bCs/>
          <w:color w:val="1F5F3F"/>
        </w:rPr>
        <w:t>المرجعيات النظامية والمعيارية</w:t>
      </w:r>
    </w:p>
    <w:p w:rsidR="00763239" w:rsidRDefault="00956417" w:rsidP="00E10934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b/>
          <w:bCs/>
          <w:color w:val="0E1A14"/>
          <w:sz w:val="18"/>
          <w:szCs w:val="18"/>
        </w:rPr>
        <w:t>نظام الجامعات</w:t>
      </w:r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م.</w:t>
      </w:r>
      <w:proofErr w:type="gramStart"/>
      <w:r>
        <w:rPr>
          <w:color w:val="6B7770"/>
          <w:sz w:val="16"/>
          <w:szCs w:val="16"/>
        </w:rPr>
        <w:t>و</w:t>
      </w:r>
      <w:proofErr w:type="spellEnd"/>
      <w:r>
        <w:rPr>
          <w:color w:val="6B7770"/>
          <w:sz w:val="16"/>
          <w:szCs w:val="16"/>
        </w:rPr>
        <w:t xml:space="preserve"> رقم</w:t>
      </w:r>
      <w:proofErr w:type="gramEnd"/>
      <w:r>
        <w:rPr>
          <w:color w:val="6B7770"/>
          <w:sz w:val="16"/>
          <w:szCs w:val="16"/>
        </w:rPr>
        <w:t xml:space="preserve"> ١٨٣ — ١٤٤١هـ</w:t>
      </w:r>
    </w:p>
    <w:p w:rsidR="00763239" w:rsidRDefault="00956417" w:rsidP="00E10934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8"/>
          <w:szCs w:val="18"/>
        </w:rPr>
        <w:t>اللائحة المنظمة للشؤون المالية في الجامعات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مجلس شؤون الجامعات، يناير ٢٠٢٥</w:t>
      </w:r>
    </w:p>
    <w:p w:rsidR="00763239" w:rsidRDefault="00956417" w:rsidP="00E10934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8"/>
          <w:szCs w:val="18"/>
        </w:rPr>
        <w:t xml:space="preserve">OECD </w:t>
      </w:r>
      <w:proofErr w:type="spellStart"/>
      <w:r>
        <w:rPr>
          <w:color w:val="0E1A14"/>
          <w:sz w:val="18"/>
          <w:szCs w:val="18"/>
        </w:rPr>
        <w:t>Principles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Corporate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Governance</w:t>
      </w:r>
      <w:proofErr w:type="spellEnd"/>
      <w:r>
        <w:rPr>
          <w:color w:val="0E1A14"/>
          <w:sz w:val="18"/>
          <w:szCs w:val="18"/>
        </w:rPr>
        <w:t xml:space="preserve"> (2023)</w:t>
      </w:r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International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Reference</w:t>
      </w:r>
      <w:proofErr w:type="spellEnd"/>
    </w:p>
    <w:p w:rsidR="00763239" w:rsidRDefault="00956417" w:rsidP="00E10934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8"/>
          <w:szCs w:val="18"/>
        </w:rPr>
        <w:t xml:space="preserve">ISO 37000:2021 — </w:t>
      </w:r>
      <w:proofErr w:type="spellStart"/>
      <w:r>
        <w:rPr>
          <w:color w:val="0E1A14"/>
          <w:sz w:val="18"/>
          <w:szCs w:val="18"/>
        </w:rPr>
        <w:t>Governance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Organizations</w:t>
      </w:r>
      <w:proofErr w:type="spellEnd"/>
      <w:r>
        <w:rPr>
          <w:color w:val="6B7770"/>
          <w:sz w:val="18"/>
          <w:szCs w:val="18"/>
        </w:rPr>
        <w:t xml:space="preserve"> — </w:t>
      </w:r>
      <w:proofErr w:type="spellStart"/>
      <w:r>
        <w:rPr>
          <w:color w:val="6B7770"/>
          <w:sz w:val="16"/>
          <w:szCs w:val="16"/>
        </w:rPr>
        <w:t>International</w:t>
      </w:r>
      <w:proofErr w:type="spellEnd"/>
      <w:r>
        <w:rPr>
          <w:color w:val="6B7770"/>
          <w:sz w:val="16"/>
          <w:szCs w:val="16"/>
        </w:rPr>
        <w:t xml:space="preserve"> </w:t>
      </w:r>
      <w:proofErr w:type="spellStart"/>
      <w:r>
        <w:rPr>
          <w:color w:val="6B7770"/>
          <w:sz w:val="16"/>
          <w:szCs w:val="16"/>
        </w:rPr>
        <w:t>Standard</w:t>
      </w:r>
      <w:proofErr w:type="spellEnd"/>
    </w:p>
    <w:p w:rsidR="00763239" w:rsidRDefault="00956417" w:rsidP="00E10934">
      <w:pPr>
        <w:pageBreakBefore/>
      </w:pPr>
      <w:r>
        <w:lastRenderedPageBreak/>
        <w:br/>
      </w:r>
    </w:p>
    <w:p w:rsidR="00763239" w:rsidRDefault="00956417" w:rsidP="00E10934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t>تقديم</w:t>
      </w:r>
    </w:p>
    <w:p w:rsidR="00763239" w:rsidRDefault="00956417" w:rsidP="00E10934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تُمثّل هذه الحزمة الإطار </w:t>
      </w:r>
      <w:proofErr w:type="spellStart"/>
      <w:r>
        <w:rPr>
          <w:color w:val="0E1A14"/>
          <w:sz w:val="20"/>
          <w:szCs w:val="20"/>
        </w:rPr>
        <w:t>الحوكمي</w:t>
      </w:r>
      <w:proofErr w:type="spellEnd"/>
      <w:r>
        <w:rPr>
          <w:color w:val="0E1A14"/>
          <w:sz w:val="20"/>
          <w:szCs w:val="20"/>
        </w:rPr>
        <w:t xml:space="preserve"> المتكامل لمجلس أمناء جامعة الملك خالد، وتتكون من ثماني (٨) وثائق رسمية تغطي جميع جوانب عمل المجلس من التأسيس إلى الممارسة اليومية.</w:t>
      </w:r>
    </w:p>
    <w:p w:rsidR="00763239" w:rsidRDefault="00956417" w:rsidP="00E10934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تستند هذه الحزمة إلى المرجعيات السعودية الحديثة — وفي مقدمتها نظام الجامعات الجديد — مع است</w:t>
      </w:r>
      <w:r>
        <w:rPr>
          <w:color w:val="0E1A14"/>
          <w:sz w:val="20"/>
          <w:szCs w:val="20"/>
        </w:rPr>
        <w:t xml:space="preserve">لهام أعلى الممارسات الدولية في حوكمة الجامعات (OECD، ISO 37000، AGB، </w:t>
      </w:r>
      <w:proofErr w:type="spellStart"/>
      <w:r>
        <w:rPr>
          <w:color w:val="0E1A14"/>
          <w:sz w:val="20"/>
          <w:szCs w:val="20"/>
        </w:rPr>
        <w:t>Cadbury</w:t>
      </w:r>
      <w:proofErr w:type="spellEnd"/>
      <w:r>
        <w:rPr>
          <w:color w:val="0E1A14"/>
          <w:sz w:val="20"/>
          <w:szCs w:val="20"/>
        </w:rPr>
        <w:t xml:space="preserve">، </w:t>
      </w:r>
      <w:proofErr w:type="spellStart"/>
      <w:r>
        <w:rPr>
          <w:color w:val="0E1A14"/>
          <w:sz w:val="20"/>
          <w:szCs w:val="20"/>
        </w:rPr>
        <w:t>King</w:t>
      </w:r>
      <w:proofErr w:type="spellEnd"/>
      <w:r>
        <w:rPr>
          <w:color w:val="0E1A14"/>
          <w:sz w:val="20"/>
          <w:szCs w:val="20"/>
        </w:rPr>
        <w:t xml:space="preserve"> IV). صُممت الوثائق لتكون متكاملة، بحيث تُكمل كل وثيقة الأخرى، ولا تتعارض، وتشكل منظومة قابلة للتطبيق المباشر.</w:t>
      </w:r>
    </w:p>
    <w:p w:rsidR="00763239" w:rsidRDefault="00956417" w:rsidP="00E10934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الهيكل الإجمالي: </w:t>
      </w:r>
      <w:r>
        <w:rPr>
          <w:b/>
          <w:bCs/>
          <w:color w:val="143F2A"/>
          <w:sz w:val="20"/>
          <w:szCs w:val="20"/>
        </w:rPr>
        <w:t xml:space="preserve">ميثاق تأسيسي + لائحة تنفيذية + مصفوفة صلاحيات </w:t>
      </w:r>
      <w:r>
        <w:rPr>
          <w:b/>
          <w:bCs/>
          <w:color w:val="143F2A"/>
          <w:sz w:val="20"/>
          <w:szCs w:val="20"/>
        </w:rPr>
        <w:t xml:space="preserve">+ لائحة لجان + ٤ سياسات سلوكية. مجموع المواد </w:t>
      </w:r>
      <w:proofErr w:type="spellStart"/>
      <w:r>
        <w:rPr>
          <w:b/>
          <w:bCs/>
          <w:color w:val="143F2A"/>
          <w:sz w:val="20"/>
          <w:szCs w:val="20"/>
        </w:rPr>
        <w:t>اللائحية</w:t>
      </w:r>
      <w:proofErr w:type="spellEnd"/>
      <w:r>
        <w:rPr>
          <w:b/>
          <w:bCs/>
          <w:color w:val="143F2A"/>
          <w:sz w:val="20"/>
          <w:szCs w:val="20"/>
        </w:rPr>
        <w:t>: أكثر من ٢٢٠ مادة. مجموع الصفحات: ١٤١ صفحة.</w:t>
      </w:r>
    </w:p>
    <w:p w:rsidR="00763239" w:rsidRDefault="00956417" w:rsidP="00E10934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تُعد هذه الحزمة وثائق سارية المفعول بعد اعتمادها من المجلس، وتُلغى بها كل الوثائق السابقة المتعارضة معها.</w:t>
      </w:r>
    </w:p>
    <w:p w:rsidR="00763239" w:rsidRDefault="00956417" w:rsidP="00E10934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763239" w:rsidRDefault="00956417" w:rsidP="00E1093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الأول</w:t>
            </w:r>
          </w:p>
          <w:p w:rsidR="00763239" w:rsidRDefault="00956417" w:rsidP="00E1093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خريطة الحزمة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الحوكمية</w:t>
            </w:r>
            <w:proofErr w:type="spellEnd"/>
          </w:p>
        </w:tc>
      </w:tr>
    </w:tbl>
    <w:p w:rsidR="00763239" w:rsidRDefault="00763239" w:rsidP="00E10934">
      <w:pPr>
        <w:spacing w:before="240" w:after="240"/>
      </w:pP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(١): </w:t>
      </w:r>
      <w:r>
        <w:rPr>
          <w:b/>
          <w:bCs/>
          <w:color w:val="143F2A"/>
          <w:sz w:val="20"/>
          <w:szCs w:val="20"/>
        </w:rPr>
        <w:t>هيكل الحزمة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تتكون الحزمة من ثلاث طبقات </w:t>
      </w:r>
      <w:proofErr w:type="spellStart"/>
      <w:r>
        <w:rPr>
          <w:color w:val="0E1A14"/>
          <w:sz w:val="20"/>
          <w:szCs w:val="20"/>
        </w:rPr>
        <w:t>حوكمية</w:t>
      </w:r>
      <w:proofErr w:type="spellEnd"/>
      <w:r>
        <w:rPr>
          <w:color w:val="0E1A14"/>
          <w:sz w:val="20"/>
          <w:szCs w:val="20"/>
        </w:rPr>
        <w:t xml:space="preserve"> متكاملة: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الطبقة التأسيسية (</w:t>
      </w:r>
      <w:proofErr w:type="spellStart"/>
      <w:r>
        <w:rPr>
          <w:color w:val="0E1A14"/>
          <w:sz w:val="19"/>
          <w:szCs w:val="19"/>
        </w:rPr>
        <w:t>Foundational</w:t>
      </w:r>
      <w:proofErr w:type="spellEnd"/>
      <w:r>
        <w:rPr>
          <w:color w:val="0E1A14"/>
          <w:sz w:val="19"/>
          <w:szCs w:val="19"/>
        </w:rPr>
        <w:t>): الميثاق + اللائحة التنفيذية — تحدد الإطار العام وأنظمة العمل.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الطبقة التفويضية (</w:t>
      </w:r>
      <w:proofErr w:type="spellStart"/>
      <w:r>
        <w:rPr>
          <w:color w:val="0E1A14"/>
          <w:sz w:val="19"/>
          <w:szCs w:val="19"/>
        </w:rPr>
        <w:t>Authority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Layer</w:t>
      </w:r>
      <w:proofErr w:type="spellEnd"/>
      <w:r>
        <w:rPr>
          <w:color w:val="0E1A14"/>
          <w:sz w:val="19"/>
          <w:szCs w:val="19"/>
        </w:rPr>
        <w:t>): مصفوفة الصلاحيات + لوائح اللجان — تحدد توزيع السلطة والاختصاصات.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الطبقة السلوكية (</w:t>
      </w:r>
      <w:proofErr w:type="spellStart"/>
      <w:r>
        <w:rPr>
          <w:color w:val="0E1A14"/>
          <w:sz w:val="19"/>
          <w:szCs w:val="19"/>
        </w:rPr>
        <w:t>Behavioral</w:t>
      </w:r>
      <w:proofErr w:type="spellEnd"/>
      <w:r>
        <w:rPr>
          <w:color w:val="0E1A14"/>
          <w:sz w:val="19"/>
          <w:szCs w:val="19"/>
        </w:rPr>
        <w:t xml:space="preserve"> </w:t>
      </w:r>
      <w:proofErr w:type="spellStart"/>
      <w:r>
        <w:rPr>
          <w:color w:val="0E1A14"/>
          <w:sz w:val="19"/>
          <w:szCs w:val="19"/>
        </w:rPr>
        <w:t>Layer</w:t>
      </w:r>
      <w:proofErr w:type="spellEnd"/>
      <w:r>
        <w:rPr>
          <w:color w:val="0E1A14"/>
          <w:sz w:val="19"/>
          <w:szCs w:val="19"/>
        </w:rPr>
        <w:t>): الأخلاقيات + تضارب المصالح + السرية + الإبلاغ — تنظم السلوك وتحمي النزاهة.</w:t>
      </w:r>
    </w:p>
    <w:p w:rsidR="00763239" w:rsidRDefault="00956417" w:rsidP="00E10934">
      <w:pPr>
        <w:spacing w:before="240" w:after="200"/>
      </w:pPr>
      <w:r>
        <w:rPr>
          <w:b/>
          <w:bCs/>
          <w:color w:val="143F2A"/>
        </w:rPr>
        <w:t>جدول الوثائق التفصيلي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4060"/>
        <w:gridCol w:w="2000"/>
        <w:gridCol w:w="1000"/>
      </w:tblGrid>
      <w:tr w:rsidR="00763239" w:rsidTr="00E1093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tcBorders>
              <w:top w:val="single" w:sz="4" w:space="0" w:color="1F5F3F"/>
              <w:left w:val="single" w:sz="4" w:space="0" w:color="1F5F3F"/>
              <w:bottom w:val="single" w:sz="4" w:space="0" w:color="1F5F3F"/>
              <w:right w:val="single" w:sz="4" w:space="0" w:color="1F5F3F"/>
            </w:tcBorders>
            <w:shd w:val="clear" w:color="auto" w:fill="1F5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700" w:type="dxa"/>
            <w:tcBorders>
              <w:top w:val="single" w:sz="4" w:space="0" w:color="1F5F3F"/>
              <w:left w:val="single" w:sz="4" w:space="0" w:color="1F5F3F"/>
              <w:bottom w:val="single" w:sz="4" w:space="0" w:color="1F5F3F"/>
              <w:right w:val="single" w:sz="4" w:space="0" w:color="1F5F3F"/>
            </w:tcBorders>
            <w:shd w:val="clear" w:color="auto" w:fill="1F5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الرمز</w:t>
            </w:r>
          </w:p>
        </w:tc>
        <w:tc>
          <w:tcPr>
            <w:tcW w:w="4060" w:type="dxa"/>
            <w:tcBorders>
              <w:top w:val="single" w:sz="4" w:space="0" w:color="1F5F3F"/>
              <w:left w:val="single" w:sz="4" w:space="0" w:color="1F5F3F"/>
              <w:bottom w:val="single" w:sz="4" w:space="0" w:color="1F5F3F"/>
              <w:right w:val="single" w:sz="4" w:space="0" w:color="1F5F3F"/>
            </w:tcBorders>
            <w:shd w:val="clear" w:color="auto" w:fill="1F5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الوثيقة</w:t>
            </w:r>
          </w:p>
        </w:tc>
        <w:tc>
          <w:tcPr>
            <w:tcW w:w="2000" w:type="dxa"/>
            <w:tcBorders>
              <w:top w:val="single" w:sz="4" w:space="0" w:color="1F5F3F"/>
              <w:left w:val="single" w:sz="4" w:space="0" w:color="1F5F3F"/>
              <w:bottom w:val="single" w:sz="4" w:space="0" w:color="1F5F3F"/>
              <w:right w:val="single" w:sz="4" w:space="0" w:color="1F5F3F"/>
            </w:tcBorders>
            <w:shd w:val="clear" w:color="auto" w:fill="1F5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الطبقة</w:t>
            </w:r>
          </w:p>
        </w:tc>
        <w:tc>
          <w:tcPr>
            <w:tcW w:w="1000" w:type="dxa"/>
            <w:tcBorders>
              <w:top w:val="single" w:sz="4" w:space="0" w:color="1F5F3F"/>
              <w:left w:val="single" w:sz="4" w:space="0" w:color="1F5F3F"/>
              <w:bottom w:val="single" w:sz="4" w:space="0" w:color="1F5F3F"/>
              <w:right w:val="single" w:sz="4" w:space="0" w:color="1F5F3F"/>
            </w:tcBorders>
            <w:shd w:val="clear" w:color="auto" w:fill="1F5F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الصفحات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١</w:t>
            </w:r>
          </w:p>
        </w:tc>
        <w:tc>
          <w:tcPr>
            <w:tcW w:w="17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4"/>
                <w:szCs w:val="14"/>
                <w:rtl w:val="0"/>
              </w:rPr>
              <w:t>BOT-CHR-001</w:t>
            </w:r>
          </w:p>
        </w:tc>
        <w:tc>
          <w:tcPr>
            <w:tcW w:w="406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6"/>
                <w:szCs w:val="16"/>
              </w:rPr>
              <w:t>ميثاق مجلس الأمناء</w:t>
            </w:r>
          </w:p>
        </w:tc>
        <w:tc>
          <w:tcPr>
            <w:tcW w:w="2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B89855"/>
                <w:sz w:val="14"/>
                <w:szCs w:val="14"/>
              </w:rPr>
              <w:t>تأسيسية</w:t>
            </w:r>
          </w:p>
        </w:tc>
        <w:tc>
          <w:tcPr>
            <w:tcW w:w="1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٢١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٢</w:t>
            </w:r>
          </w:p>
        </w:tc>
        <w:tc>
          <w:tcPr>
            <w:tcW w:w="17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4"/>
                <w:szCs w:val="14"/>
                <w:rtl w:val="0"/>
              </w:rPr>
              <w:t>BOT-BYL-002</w:t>
            </w:r>
          </w:p>
        </w:tc>
        <w:tc>
          <w:tcPr>
            <w:tcW w:w="406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6"/>
                <w:szCs w:val="16"/>
              </w:rPr>
              <w:t>اللائحة التنفيذية لعمل المجلس</w:t>
            </w:r>
          </w:p>
        </w:tc>
        <w:tc>
          <w:tcPr>
            <w:tcW w:w="2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B89855"/>
                <w:sz w:val="14"/>
                <w:szCs w:val="14"/>
              </w:rPr>
              <w:t>تأسيسية</w:t>
            </w:r>
          </w:p>
        </w:tc>
        <w:tc>
          <w:tcPr>
            <w:tcW w:w="1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٢٢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٣</w:t>
            </w:r>
          </w:p>
        </w:tc>
        <w:tc>
          <w:tcPr>
            <w:tcW w:w="17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4"/>
                <w:szCs w:val="14"/>
                <w:rtl w:val="0"/>
              </w:rPr>
              <w:t>BOT-DOA-003</w:t>
            </w:r>
          </w:p>
        </w:tc>
        <w:tc>
          <w:tcPr>
            <w:tcW w:w="406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6"/>
                <w:szCs w:val="16"/>
              </w:rPr>
              <w:t>مصفوفة تفويض الصلاحيات</w:t>
            </w:r>
          </w:p>
        </w:tc>
        <w:tc>
          <w:tcPr>
            <w:tcW w:w="2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B89855"/>
                <w:sz w:val="14"/>
                <w:szCs w:val="14"/>
              </w:rPr>
              <w:t>تفويضية</w:t>
            </w:r>
          </w:p>
        </w:tc>
        <w:tc>
          <w:tcPr>
            <w:tcW w:w="1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١٨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lastRenderedPageBreak/>
              <w:t>٤</w:t>
            </w:r>
          </w:p>
        </w:tc>
        <w:tc>
          <w:tcPr>
            <w:tcW w:w="17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4"/>
                <w:szCs w:val="14"/>
                <w:rtl w:val="0"/>
              </w:rPr>
              <w:t>BOT-COM-004</w:t>
            </w:r>
          </w:p>
        </w:tc>
        <w:tc>
          <w:tcPr>
            <w:tcW w:w="406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6"/>
                <w:szCs w:val="16"/>
              </w:rPr>
              <w:t>لوائح اللجان المنبثقة</w:t>
            </w:r>
          </w:p>
        </w:tc>
        <w:tc>
          <w:tcPr>
            <w:tcW w:w="2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B89855"/>
                <w:sz w:val="14"/>
                <w:szCs w:val="14"/>
              </w:rPr>
              <w:t>تفويضية</w:t>
            </w:r>
          </w:p>
        </w:tc>
        <w:tc>
          <w:tcPr>
            <w:tcW w:w="1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٢٢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٥</w:t>
            </w:r>
          </w:p>
        </w:tc>
        <w:tc>
          <w:tcPr>
            <w:tcW w:w="17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4"/>
                <w:szCs w:val="14"/>
                <w:rtl w:val="0"/>
              </w:rPr>
              <w:t>BOT-COC-005</w:t>
            </w:r>
          </w:p>
        </w:tc>
        <w:tc>
          <w:tcPr>
            <w:tcW w:w="406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6"/>
                <w:szCs w:val="16"/>
              </w:rPr>
              <w:t>ميثاق الأخلاقيات والسلوكيات</w:t>
            </w:r>
          </w:p>
        </w:tc>
        <w:tc>
          <w:tcPr>
            <w:tcW w:w="2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B89855"/>
                <w:sz w:val="14"/>
                <w:szCs w:val="14"/>
              </w:rPr>
              <w:t>سلوكية</w:t>
            </w:r>
          </w:p>
        </w:tc>
        <w:tc>
          <w:tcPr>
            <w:tcW w:w="1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١٣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٦</w:t>
            </w:r>
          </w:p>
        </w:tc>
        <w:tc>
          <w:tcPr>
            <w:tcW w:w="17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4"/>
                <w:szCs w:val="14"/>
                <w:rtl w:val="0"/>
              </w:rPr>
              <w:t>BOT-COI-006</w:t>
            </w:r>
          </w:p>
        </w:tc>
        <w:tc>
          <w:tcPr>
            <w:tcW w:w="406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6"/>
                <w:szCs w:val="16"/>
              </w:rPr>
              <w:t>سياسة تضارب المصالح</w:t>
            </w:r>
          </w:p>
        </w:tc>
        <w:tc>
          <w:tcPr>
            <w:tcW w:w="2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B89855"/>
                <w:sz w:val="14"/>
                <w:szCs w:val="14"/>
              </w:rPr>
              <w:t>سلوكية</w:t>
            </w:r>
          </w:p>
        </w:tc>
        <w:tc>
          <w:tcPr>
            <w:tcW w:w="1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١٤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٧</w:t>
            </w:r>
          </w:p>
        </w:tc>
        <w:tc>
          <w:tcPr>
            <w:tcW w:w="17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4"/>
                <w:szCs w:val="14"/>
                <w:rtl w:val="0"/>
              </w:rPr>
              <w:t>BOT-CON-007</w:t>
            </w:r>
          </w:p>
        </w:tc>
        <w:tc>
          <w:tcPr>
            <w:tcW w:w="406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6"/>
                <w:szCs w:val="16"/>
              </w:rPr>
              <w:t>سياسة السرية وحماية المعلومات</w:t>
            </w:r>
          </w:p>
        </w:tc>
        <w:tc>
          <w:tcPr>
            <w:tcW w:w="2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B89855"/>
                <w:sz w:val="14"/>
                <w:szCs w:val="14"/>
              </w:rPr>
              <w:t>سلوكية</w:t>
            </w:r>
          </w:p>
        </w:tc>
        <w:tc>
          <w:tcPr>
            <w:tcW w:w="1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١٥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٨</w:t>
            </w:r>
          </w:p>
        </w:tc>
        <w:tc>
          <w:tcPr>
            <w:tcW w:w="17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4"/>
                <w:szCs w:val="14"/>
                <w:rtl w:val="0"/>
              </w:rPr>
              <w:t>BOT-WHB-008</w:t>
            </w:r>
          </w:p>
        </w:tc>
        <w:tc>
          <w:tcPr>
            <w:tcW w:w="406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6"/>
                <w:szCs w:val="16"/>
              </w:rPr>
              <w:t>سياسة الإبلاغ عن المخالفات</w:t>
            </w:r>
          </w:p>
        </w:tc>
        <w:tc>
          <w:tcPr>
            <w:tcW w:w="2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b/>
                <w:bCs/>
                <w:color w:val="B89855"/>
                <w:sz w:val="14"/>
                <w:szCs w:val="14"/>
              </w:rPr>
              <w:t>سلوكية</w:t>
            </w:r>
          </w:p>
        </w:tc>
        <w:tc>
          <w:tcPr>
            <w:tcW w:w="1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63239" w:rsidRDefault="00956417" w:rsidP="00E10934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١٦</w:t>
            </w:r>
          </w:p>
        </w:tc>
      </w:tr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60" w:type="dxa"/>
            <w:gridSpan w:val="4"/>
            <w:tcBorders>
              <w:top w:val="single" w:sz="8" w:space="0" w:color="B89855"/>
              <w:left w:val="single" w:sz="4" w:space="0" w:color="143F2A"/>
              <w:bottom w:val="single" w:sz="4" w:space="0" w:color="143F2A"/>
              <w:right w:val="single" w:sz="4" w:space="0" w:color="143F2A"/>
            </w:tcBorders>
            <w:shd w:val="clear" w:color="auto" w:fill="143F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الإجمالي</w:t>
            </w:r>
          </w:p>
        </w:tc>
        <w:tc>
          <w:tcPr>
            <w:tcW w:w="1000" w:type="dxa"/>
            <w:tcBorders>
              <w:top w:val="single" w:sz="8" w:space="0" w:color="B89855"/>
              <w:left w:val="single" w:sz="4" w:space="0" w:color="143F2A"/>
              <w:bottom w:val="single" w:sz="4" w:space="0" w:color="143F2A"/>
              <w:right w:val="single" w:sz="4" w:space="0" w:color="143F2A"/>
            </w:tcBorders>
            <w:shd w:val="clear" w:color="auto" w:fill="143F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63239" w:rsidRDefault="00956417" w:rsidP="00E10934">
            <w:pPr>
              <w:jc w:val="center"/>
            </w:pPr>
            <w:r>
              <w:rPr>
                <w:b/>
                <w:bCs/>
                <w:color w:val="B89855"/>
                <w:sz w:val="18"/>
                <w:szCs w:val="18"/>
              </w:rPr>
              <w:t>١٤١</w:t>
            </w:r>
          </w:p>
        </w:tc>
      </w:tr>
    </w:tbl>
    <w:p w:rsidR="00763239" w:rsidRDefault="00763239" w:rsidP="00E10934">
      <w:pPr>
        <w:spacing w:before="80" w:after="80" w:line="200" w:lineRule="auto"/>
      </w:pPr>
    </w:p>
    <w:p w:rsidR="00763239" w:rsidRDefault="00956417" w:rsidP="00E10934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763239" w:rsidRDefault="00956417" w:rsidP="00E1093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الثاني</w:t>
            </w:r>
          </w:p>
          <w:p w:rsidR="00763239" w:rsidRDefault="00956417" w:rsidP="00E1093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وصف الوثائق وأهدافها</w:t>
            </w:r>
          </w:p>
        </w:tc>
      </w:tr>
    </w:tbl>
    <w:p w:rsidR="00763239" w:rsidRDefault="00763239" w:rsidP="00E10934">
      <w:pPr>
        <w:spacing w:before="240" w:after="240"/>
      </w:pP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(٢): </w:t>
      </w:r>
      <w:r>
        <w:rPr>
          <w:b/>
          <w:bCs/>
          <w:color w:val="143F2A"/>
          <w:sz w:val="20"/>
          <w:szCs w:val="20"/>
        </w:rPr>
        <w:t>BOT-CHR-001 — ميثاق مجلس الأمناء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الإطار التأسيسي الأم للمجلس. يُحدد الرسالة، التشكيل، الاختصاصات الاستراتيجية والمالية، حقوق وواجبات الأعضاء، وعلاقات المجلس مع رئيس الجامعة ومجلس شؤون الجامعات والإدارة التنفيذية.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البنية: ٨ أبواب — تقديم — اعتماد. عدد المواد: نحو ٤٠ مادة.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المرجعيات: نظام ا</w:t>
      </w:r>
      <w:r>
        <w:rPr>
          <w:color w:val="0E1A14"/>
          <w:sz w:val="20"/>
          <w:szCs w:val="20"/>
        </w:rPr>
        <w:t xml:space="preserve">لجامعات الجديد، OECD </w:t>
      </w:r>
      <w:proofErr w:type="spellStart"/>
      <w:r>
        <w:rPr>
          <w:color w:val="0E1A14"/>
          <w:sz w:val="20"/>
          <w:szCs w:val="20"/>
        </w:rPr>
        <w:t>Principles</w:t>
      </w:r>
      <w:proofErr w:type="spellEnd"/>
      <w:r>
        <w:rPr>
          <w:color w:val="0E1A14"/>
          <w:sz w:val="20"/>
          <w:szCs w:val="20"/>
        </w:rPr>
        <w:t xml:space="preserve"> 2023، ISO 37000:2021، AGB، </w:t>
      </w:r>
      <w:proofErr w:type="spellStart"/>
      <w:r>
        <w:rPr>
          <w:color w:val="0E1A14"/>
          <w:sz w:val="20"/>
          <w:szCs w:val="20"/>
        </w:rPr>
        <w:t>Cadbury</w:t>
      </w:r>
      <w:proofErr w:type="spellEnd"/>
      <w:r>
        <w:rPr>
          <w:color w:val="0E1A14"/>
          <w:sz w:val="20"/>
          <w:szCs w:val="20"/>
        </w:rPr>
        <w:t xml:space="preserve">، KAUST </w:t>
      </w:r>
      <w:proofErr w:type="spellStart"/>
      <w:r>
        <w:rPr>
          <w:color w:val="0E1A14"/>
          <w:sz w:val="20"/>
          <w:szCs w:val="20"/>
        </w:rPr>
        <w:t>Charter</w:t>
      </w:r>
      <w:proofErr w:type="spellEnd"/>
      <w:r>
        <w:rPr>
          <w:color w:val="0E1A14"/>
          <w:sz w:val="20"/>
          <w:szCs w:val="20"/>
        </w:rPr>
        <w:t>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(٣): </w:t>
      </w:r>
      <w:r>
        <w:rPr>
          <w:b/>
          <w:bCs/>
          <w:color w:val="143F2A"/>
          <w:sz w:val="20"/>
          <w:szCs w:val="20"/>
        </w:rPr>
        <w:t>BOT-BYL-002 — اللائحة التنفيذية لعمل المجلس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الإطار الإجرائي اليومي لعمل المجلس. يُترجم الميثاق إلى ممارسات تشغيلية: الاجتماعات، النصاب، التصويت، المحاضر، متابعة </w:t>
      </w:r>
      <w:r>
        <w:rPr>
          <w:color w:val="0E1A14"/>
          <w:sz w:val="20"/>
          <w:szCs w:val="20"/>
        </w:rPr>
        <w:t>القرارات، علاقات المجلس الإجرائية، الأمانة العامة.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البنية: ٨ أبواب — ١٧ فصلاً — ٥٠ مادة. وثيقة </w:t>
      </w:r>
      <w:proofErr w:type="spellStart"/>
      <w:r>
        <w:rPr>
          <w:color w:val="0E1A14"/>
          <w:sz w:val="20"/>
          <w:szCs w:val="20"/>
        </w:rPr>
        <w:t>لائحية</w:t>
      </w:r>
      <w:proofErr w:type="spellEnd"/>
      <w:r>
        <w:rPr>
          <w:color w:val="0E1A14"/>
          <w:sz w:val="20"/>
          <w:szCs w:val="20"/>
        </w:rPr>
        <w:t xml:space="preserve"> ثقيلة.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المرجعيات: نظام الجامعات، </w:t>
      </w:r>
      <w:proofErr w:type="spellStart"/>
      <w:r>
        <w:rPr>
          <w:color w:val="0E1A14"/>
          <w:sz w:val="20"/>
          <w:szCs w:val="20"/>
        </w:rPr>
        <w:t>Robert's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Rules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of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Order</w:t>
      </w:r>
      <w:proofErr w:type="spellEnd"/>
      <w:r>
        <w:rPr>
          <w:color w:val="0E1A14"/>
          <w:sz w:val="20"/>
          <w:szCs w:val="20"/>
        </w:rPr>
        <w:t xml:space="preserve">، UK </w:t>
      </w:r>
      <w:proofErr w:type="spellStart"/>
      <w:r>
        <w:rPr>
          <w:color w:val="0E1A14"/>
          <w:sz w:val="20"/>
          <w:szCs w:val="20"/>
        </w:rPr>
        <w:t>Corporate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Governance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Code</w:t>
      </w:r>
      <w:proofErr w:type="spellEnd"/>
      <w:r>
        <w:rPr>
          <w:color w:val="0E1A14"/>
          <w:sz w:val="20"/>
          <w:szCs w:val="20"/>
        </w:rPr>
        <w:t xml:space="preserve"> 2024، AGB.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(٤): </w:t>
      </w:r>
      <w:r>
        <w:rPr>
          <w:b/>
          <w:bCs/>
          <w:color w:val="143F2A"/>
          <w:sz w:val="20"/>
          <w:szCs w:val="20"/>
        </w:rPr>
        <w:t>BOT-DOA-003 — مصفوفة تفويض الصلاحيات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الوثيقة</w:t>
      </w:r>
      <w:r>
        <w:rPr>
          <w:color w:val="0E1A14"/>
          <w:sz w:val="20"/>
          <w:szCs w:val="20"/>
        </w:rPr>
        <w:t xml:space="preserve"> المركزية التي تُحدد توزيع السلطة في الجامعة. تستخدم نموذج RACI المعدل (A/R/C/I) عبر ٤ مصفوفات (استراتيجية، مالية، إدارية، أكاديمية).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البنية: ٦ أبواب — ٤ جداول </w:t>
      </w:r>
      <w:proofErr w:type="spellStart"/>
      <w:r>
        <w:rPr>
          <w:color w:val="0E1A14"/>
          <w:sz w:val="20"/>
          <w:szCs w:val="20"/>
        </w:rPr>
        <w:t>مصفوفية</w:t>
      </w:r>
      <w:proofErr w:type="spellEnd"/>
      <w:r>
        <w:rPr>
          <w:color w:val="0E1A14"/>
          <w:sz w:val="20"/>
          <w:szCs w:val="20"/>
        </w:rPr>
        <w:t xml:space="preserve"> — ١٩ مادة. تحوي السقوف المالية: &gt;٢٠م، ١٠-٢٠م، ٥-١٠م، &lt;٥م، &lt;٥٠٠ ألف ريال.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lastRenderedPageBreak/>
        <w:t xml:space="preserve">المرجعيات: COSO </w:t>
      </w:r>
      <w:proofErr w:type="spellStart"/>
      <w:r>
        <w:rPr>
          <w:color w:val="0E1A14"/>
          <w:sz w:val="20"/>
          <w:szCs w:val="20"/>
        </w:rPr>
        <w:t>Framework</w:t>
      </w:r>
      <w:proofErr w:type="spellEnd"/>
      <w:r>
        <w:rPr>
          <w:color w:val="0E1A14"/>
          <w:sz w:val="20"/>
          <w:szCs w:val="20"/>
        </w:rPr>
        <w:t xml:space="preserve">، </w:t>
      </w:r>
      <w:proofErr w:type="spellStart"/>
      <w:r>
        <w:rPr>
          <w:color w:val="0E1A14"/>
          <w:sz w:val="20"/>
          <w:szCs w:val="20"/>
        </w:rPr>
        <w:t>King</w:t>
      </w:r>
      <w:proofErr w:type="spellEnd"/>
      <w:r>
        <w:rPr>
          <w:color w:val="0E1A14"/>
          <w:sz w:val="20"/>
          <w:szCs w:val="20"/>
        </w:rPr>
        <w:t xml:space="preserve"> IV </w:t>
      </w:r>
      <w:proofErr w:type="spellStart"/>
      <w:r>
        <w:rPr>
          <w:color w:val="0E1A14"/>
          <w:sz w:val="20"/>
          <w:szCs w:val="20"/>
        </w:rPr>
        <w:t>Report</w:t>
      </w:r>
      <w:proofErr w:type="spellEnd"/>
      <w:r>
        <w:rPr>
          <w:color w:val="0E1A14"/>
          <w:sz w:val="20"/>
          <w:szCs w:val="20"/>
        </w:rPr>
        <w:t xml:space="preserve">، </w:t>
      </w:r>
      <w:proofErr w:type="spellStart"/>
      <w:r>
        <w:rPr>
          <w:color w:val="0E1A14"/>
          <w:sz w:val="20"/>
          <w:szCs w:val="20"/>
        </w:rPr>
        <w:t>Cadbury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Schedule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of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Reserved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Matters</w:t>
      </w:r>
      <w:proofErr w:type="spellEnd"/>
      <w:r>
        <w:rPr>
          <w:color w:val="0E1A14"/>
          <w:sz w:val="20"/>
          <w:szCs w:val="20"/>
        </w:rPr>
        <w:t>، AGB.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(٥): </w:t>
      </w:r>
      <w:r>
        <w:rPr>
          <w:b/>
          <w:bCs/>
          <w:color w:val="143F2A"/>
          <w:sz w:val="20"/>
          <w:szCs w:val="20"/>
        </w:rPr>
        <w:t>BOT-COM-004 — لوائح اللجان المنبثقة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تُحدد الإطار الناظم لجميع اللجان المنبثقة عن المجلس: التأسيس، الأنواع (الدائمة/المؤقتة)، التشكيل، الاختصاصات، آليات العمل،</w:t>
      </w:r>
      <w:r>
        <w:rPr>
          <w:color w:val="0E1A14"/>
          <w:sz w:val="20"/>
          <w:szCs w:val="20"/>
        </w:rPr>
        <w:t xml:space="preserve"> التقارير.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تشمل بشكل خاص: لجنة التدقيق، لجنة الحوكمة والمخاطر، لجنة الترشيحات والمكافآت، لجنة الأخلاقيات والامتثال.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المرجعيات: نظام الجامعات، NACD </w:t>
      </w:r>
      <w:proofErr w:type="spellStart"/>
      <w:r>
        <w:rPr>
          <w:color w:val="0E1A14"/>
          <w:sz w:val="20"/>
          <w:szCs w:val="20"/>
        </w:rPr>
        <w:t>Audit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Committee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Principles</w:t>
      </w:r>
      <w:proofErr w:type="spellEnd"/>
      <w:r>
        <w:rPr>
          <w:color w:val="0E1A14"/>
          <w:sz w:val="20"/>
          <w:szCs w:val="20"/>
        </w:rPr>
        <w:t xml:space="preserve">، AGB </w:t>
      </w:r>
      <w:proofErr w:type="spellStart"/>
      <w:r>
        <w:rPr>
          <w:color w:val="0E1A14"/>
          <w:sz w:val="20"/>
          <w:szCs w:val="20"/>
        </w:rPr>
        <w:t>Committee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Standards</w:t>
      </w:r>
      <w:proofErr w:type="spellEnd"/>
      <w:r>
        <w:rPr>
          <w:color w:val="0E1A14"/>
          <w:sz w:val="20"/>
          <w:szCs w:val="20"/>
        </w:rPr>
        <w:t xml:space="preserve">، </w:t>
      </w:r>
      <w:proofErr w:type="spellStart"/>
      <w:r>
        <w:rPr>
          <w:color w:val="0E1A14"/>
          <w:sz w:val="20"/>
          <w:szCs w:val="20"/>
        </w:rPr>
        <w:t>King</w:t>
      </w:r>
      <w:proofErr w:type="spellEnd"/>
      <w:r>
        <w:rPr>
          <w:color w:val="0E1A14"/>
          <w:sz w:val="20"/>
          <w:szCs w:val="20"/>
        </w:rPr>
        <w:t xml:space="preserve"> IV.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(٦): </w:t>
      </w:r>
      <w:r>
        <w:rPr>
          <w:b/>
          <w:bCs/>
          <w:color w:val="143F2A"/>
          <w:sz w:val="20"/>
          <w:szCs w:val="20"/>
        </w:rPr>
        <w:t>BOT-COC-005 — ميثاق الأخلاقيات والسلوكيات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المرجع السلوكي الأعلى لأعضاء المجلس. يُحدد القيم المؤسسية، المبادئ الأخلاقية الأساسية (نزاهة، موضوعية، كفاءة، سرية، ولاء)، قواعد السلوك المهني، السلوكيات المحظورة، الإجراءات التأديبية، لجنة الأخلاقيات والامتثال.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</w:t>
      </w:r>
      <w:r>
        <w:rPr>
          <w:color w:val="0E1A14"/>
          <w:sz w:val="20"/>
          <w:szCs w:val="20"/>
        </w:rPr>
        <w:t>بنية: ٧ أبواب — ٢٦ مادة.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المرجعيات: مدونة سلوك الموظف العام (السعودية)، OECD </w:t>
      </w:r>
      <w:proofErr w:type="spellStart"/>
      <w:r>
        <w:rPr>
          <w:color w:val="0E1A14"/>
          <w:sz w:val="20"/>
          <w:szCs w:val="20"/>
        </w:rPr>
        <w:t>Integrity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Guidelines</w:t>
      </w:r>
      <w:proofErr w:type="spellEnd"/>
      <w:r>
        <w:rPr>
          <w:color w:val="0E1A14"/>
          <w:sz w:val="20"/>
          <w:szCs w:val="20"/>
        </w:rPr>
        <w:t>، ICGN، ISO 37001، AGB.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(٧): </w:t>
      </w:r>
      <w:r>
        <w:rPr>
          <w:b/>
          <w:bCs/>
          <w:color w:val="143F2A"/>
          <w:sz w:val="20"/>
          <w:szCs w:val="20"/>
        </w:rPr>
        <w:t>BOT-COI-006 — سياسة تضارب المصالح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تُحدد إطار التعامل مع تضارب المصالح بأنواعه (مالي، مهني، عائلي، سياسي). تشمل آليات الإفصا</w:t>
      </w:r>
      <w:r>
        <w:rPr>
          <w:color w:val="0E1A14"/>
          <w:sz w:val="20"/>
          <w:szCs w:val="20"/>
        </w:rPr>
        <w:t>ح السنوي والفوري، السجل المركزي للمصالح، إجراءات إدارة التضارب (تنحي، امتناع)، الجزاءات.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البنية: ٧ أبواب — ٣٢ مادة.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المرجعيات: نظام مكافحة الرشوة، نزاهة، OECD </w:t>
      </w:r>
      <w:proofErr w:type="spellStart"/>
      <w:r>
        <w:rPr>
          <w:color w:val="0E1A14"/>
          <w:sz w:val="20"/>
          <w:szCs w:val="20"/>
        </w:rPr>
        <w:t>Conflict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of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Interest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Toolkit</w:t>
      </w:r>
      <w:proofErr w:type="spellEnd"/>
      <w:r>
        <w:rPr>
          <w:color w:val="0E1A14"/>
          <w:sz w:val="20"/>
          <w:szCs w:val="20"/>
        </w:rPr>
        <w:t xml:space="preserve">، ICGN، AGB، </w:t>
      </w:r>
      <w:proofErr w:type="spellStart"/>
      <w:r>
        <w:rPr>
          <w:color w:val="0E1A14"/>
          <w:sz w:val="20"/>
          <w:szCs w:val="20"/>
        </w:rPr>
        <w:t>Sarbanes-Oxley</w:t>
      </w:r>
      <w:proofErr w:type="spellEnd"/>
      <w:r>
        <w:rPr>
          <w:color w:val="0E1A14"/>
          <w:sz w:val="20"/>
          <w:szCs w:val="20"/>
        </w:rPr>
        <w:t xml:space="preserve"> §406.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(٨): </w:t>
      </w:r>
      <w:r>
        <w:rPr>
          <w:b/>
          <w:bCs/>
          <w:color w:val="143F2A"/>
          <w:sz w:val="20"/>
          <w:szCs w:val="20"/>
        </w:rPr>
        <w:t>BOT-CON-007 — سياسة الس</w:t>
      </w:r>
      <w:r>
        <w:rPr>
          <w:b/>
          <w:bCs/>
          <w:color w:val="143F2A"/>
          <w:sz w:val="20"/>
          <w:szCs w:val="20"/>
        </w:rPr>
        <w:t>رية وحماية المعلومات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تنظم تصنيف المعلومات (عام، محدود، سري، سري للغاية)، آليات التداول والحفظ، الالتزامات قبل وأثناء وبعد العضوية، إجراءات التعامل مع الاختراقات.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البنية: ٧ أبواب — مجموعة مواد </w:t>
      </w:r>
      <w:proofErr w:type="spellStart"/>
      <w:r>
        <w:rPr>
          <w:color w:val="0E1A14"/>
          <w:sz w:val="20"/>
          <w:szCs w:val="20"/>
        </w:rPr>
        <w:t>لائحية</w:t>
      </w:r>
      <w:proofErr w:type="spellEnd"/>
      <w:r>
        <w:rPr>
          <w:color w:val="0E1A14"/>
          <w:sz w:val="20"/>
          <w:szCs w:val="20"/>
        </w:rPr>
        <w:t xml:space="preserve"> محكمة.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المرجعيات: نظام حماية البيانات الشخصية (PDPL)، ISO</w:t>
      </w:r>
      <w:r>
        <w:rPr>
          <w:color w:val="0E1A14"/>
          <w:sz w:val="20"/>
          <w:szCs w:val="20"/>
        </w:rPr>
        <w:t xml:space="preserve"> 27001، NIST </w:t>
      </w:r>
      <w:proofErr w:type="spellStart"/>
      <w:r>
        <w:rPr>
          <w:color w:val="0E1A14"/>
          <w:sz w:val="20"/>
          <w:szCs w:val="20"/>
        </w:rPr>
        <w:t>Cybersecurity</w:t>
      </w:r>
      <w:proofErr w:type="spellEnd"/>
      <w:r>
        <w:rPr>
          <w:color w:val="0E1A14"/>
          <w:sz w:val="20"/>
          <w:szCs w:val="20"/>
        </w:rPr>
        <w:t xml:space="preserve"> </w:t>
      </w:r>
      <w:proofErr w:type="spellStart"/>
      <w:r>
        <w:rPr>
          <w:color w:val="0E1A14"/>
          <w:sz w:val="20"/>
          <w:szCs w:val="20"/>
        </w:rPr>
        <w:t>Framework</w:t>
      </w:r>
      <w:proofErr w:type="spellEnd"/>
      <w:r>
        <w:rPr>
          <w:color w:val="0E1A14"/>
          <w:sz w:val="20"/>
          <w:szCs w:val="20"/>
        </w:rPr>
        <w:t>، GDPR.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(٩): </w:t>
      </w:r>
      <w:r>
        <w:rPr>
          <w:b/>
          <w:bCs/>
          <w:color w:val="143F2A"/>
          <w:sz w:val="20"/>
          <w:szCs w:val="20"/>
        </w:rPr>
        <w:t>BOT-WHB-008 — سياسة الإبلاغ عن المخالفات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تُتيح آلية رسمية وآمنة للإبلاغ عن المخالفات (مالية، أكاديمية، سلوكية، </w:t>
      </w:r>
      <w:proofErr w:type="spellStart"/>
      <w:r>
        <w:rPr>
          <w:color w:val="0E1A14"/>
          <w:sz w:val="20"/>
          <w:szCs w:val="20"/>
        </w:rPr>
        <w:t>حوكمية</w:t>
      </w:r>
      <w:proofErr w:type="spellEnd"/>
      <w:r>
        <w:rPr>
          <w:color w:val="0E1A14"/>
          <w:sz w:val="20"/>
          <w:szCs w:val="20"/>
        </w:rPr>
        <w:t>). تشمل: قنوات الإبلاغ، شروط الحماية من الانتقام، إجراءات التحقيق، التعويض، لجنة ال</w:t>
      </w:r>
      <w:r>
        <w:rPr>
          <w:color w:val="0E1A14"/>
          <w:sz w:val="20"/>
          <w:szCs w:val="20"/>
        </w:rPr>
        <w:t>مراجعة والامتثال.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البنية: ٨ أبواب — ٣٧ مادة.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 xml:space="preserve">المرجعيات: نظام حماية المبلغين السعودي، نزاهة، EU </w:t>
      </w:r>
      <w:proofErr w:type="spellStart"/>
      <w:r>
        <w:rPr>
          <w:color w:val="0E1A14"/>
          <w:sz w:val="20"/>
          <w:szCs w:val="20"/>
        </w:rPr>
        <w:t>Directive</w:t>
      </w:r>
      <w:proofErr w:type="spellEnd"/>
      <w:r>
        <w:rPr>
          <w:color w:val="0E1A14"/>
          <w:sz w:val="20"/>
          <w:szCs w:val="20"/>
        </w:rPr>
        <w:t xml:space="preserve"> 2019/1937، UK PIDA 1998، </w:t>
      </w:r>
      <w:proofErr w:type="spellStart"/>
      <w:r>
        <w:rPr>
          <w:color w:val="0E1A14"/>
          <w:sz w:val="20"/>
          <w:szCs w:val="20"/>
        </w:rPr>
        <w:t>Sarbanes-Oxley</w:t>
      </w:r>
      <w:proofErr w:type="spellEnd"/>
      <w:r>
        <w:rPr>
          <w:color w:val="0E1A14"/>
          <w:sz w:val="20"/>
          <w:szCs w:val="20"/>
        </w:rPr>
        <w:t xml:space="preserve"> §806، ISO 37002:2021، UNCAC.</w:t>
      </w:r>
    </w:p>
    <w:p w:rsidR="00763239" w:rsidRDefault="00956417" w:rsidP="00E10934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lastRenderedPageBreak/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763239" w:rsidRDefault="00956417" w:rsidP="00E1093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الثالث</w:t>
            </w:r>
          </w:p>
          <w:p w:rsidR="00763239" w:rsidRDefault="00956417" w:rsidP="00E1093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خريطة التكامل بين الوثائق</w:t>
            </w:r>
          </w:p>
        </w:tc>
      </w:tr>
    </w:tbl>
    <w:p w:rsidR="00763239" w:rsidRDefault="00763239" w:rsidP="00E10934">
      <w:pPr>
        <w:spacing w:before="240" w:after="240"/>
      </w:pP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(١٠): </w:t>
      </w:r>
      <w:r>
        <w:rPr>
          <w:b/>
          <w:bCs/>
          <w:color w:val="143F2A"/>
          <w:sz w:val="20"/>
          <w:szCs w:val="20"/>
        </w:rPr>
        <w:t>العلاقات المرجعية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تتكامل الوثائق وفق العلاقات التالية: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الميثاق (CHR) هو الإطار الأعلى — تستند إليه جميع الوثائق الأخرى.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اللائحة التنفيذية (BYL) تُترجم الميثاق إلى ممارسات.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مصفوفة الصلاحيات (DOA) تنظم توزيع السلطة وفق الاختصاصات في الميثاق.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لوائح اللجان (COM) تنبثق من مصفوفة الصلاحيات.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السياسات السلوكية الأربع (COC, COI, CON, WHB) تشكل منظومة سلوكية متكاملة.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ميثاق الأخلاقيات (COC) هو المرجع الأعلى للسياسات السلوكية.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proofErr w:type="spellStart"/>
      <w:r>
        <w:rPr>
          <w:color w:val="0E1A14"/>
          <w:sz w:val="19"/>
          <w:szCs w:val="19"/>
        </w:rPr>
        <w:t>الإفصاحات</w:t>
      </w:r>
      <w:proofErr w:type="spellEnd"/>
      <w:r>
        <w:rPr>
          <w:color w:val="0E1A14"/>
          <w:sz w:val="19"/>
          <w:szCs w:val="19"/>
        </w:rPr>
        <w:t xml:space="preserve"> في تضارب المصالح (COI) تُغذي </w:t>
      </w:r>
      <w:proofErr w:type="spellStart"/>
      <w:r>
        <w:rPr>
          <w:color w:val="0E1A14"/>
          <w:sz w:val="19"/>
          <w:szCs w:val="19"/>
        </w:rPr>
        <w:t>الإفصاحات</w:t>
      </w:r>
      <w:proofErr w:type="spellEnd"/>
      <w:r>
        <w:rPr>
          <w:color w:val="0E1A14"/>
          <w:sz w:val="19"/>
          <w:szCs w:val="19"/>
        </w:rPr>
        <w:t xml:space="preserve"> في الميثاق.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السر</w:t>
      </w:r>
      <w:r>
        <w:rPr>
          <w:color w:val="0E1A14"/>
          <w:sz w:val="19"/>
          <w:szCs w:val="19"/>
        </w:rPr>
        <w:t>ية (CON) تحمي البيانات المتداولة وفق اللائحة التنفيذية.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9"/>
          <w:szCs w:val="19"/>
        </w:rPr>
        <w:t>الإبلاغ (WHB) يُفعّل الرقابة على تطبيق جميع السياسات الأخرى.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(١١): </w:t>
      </w:r>
      <w:r>
        <w:rPr>
          <w:b/>
          <w:bCs/>
          <w:color w:val="143F2A"/>
          <w:sz w:val="20"/>
          <w:szCs w:val="20"/>
        </w:rPr>
        <w:t>أولوية النصوص عند التعارض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تعارض نص في وثيقة مع نص في وثيقة أخرى، تكون الأولوية على النحو التالي: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نظام الجامعات ول</w:t>
      </w:r>
      <w:r>
        <w:rPr>
          <w:color w:val="0E1A14"/>
          <w:sz w:val="19"/>
          <w:szCs w:val="19"/>
        </w:rPr>
        <w:t>وائحه الصادرة عن مجلس شؤون الجامعات (يعلو الجميع).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ميثاق مجلس الأمناء (BOT-CHR-001).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ميثاق الأخلاقيات والسلوكيات (BOT-COC-005).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اللائحة التنفيذية لعمل المجلس (BOT-BYL-002).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مصفوفة الصلاحيات (BOT-DOA-003).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بقية السياسات والوثائق.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الحالات ا</w:t>
      </w:r>
      <w:r>
        <w:rPr>
          <w:color w:val="0E1A14"/>
          <w:sz w:val="20"/>
          <w:szCs w:val="20"/>
        </w:rPr>
        <w:t>لغامضة، يُرجع المجلس للبت فيها.</w:t>
      </w:r>
    </w:p>
    <w:p w:rsidR="00763239" w:rsidRDefault="00956417" w:rsidP="00E10934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763239" w:rsidRDefault="00956417" w:rsidP="00E1093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lastRenderedPageBreak/>
              <w:t>الباب الرابع</w:t>
            </w:r>
          </w:p>
          <w:p w:rsidR="00763239" w:rsidRDefault="00956417" w:rsidP="00E1093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دليل تطبيق الحزمة</w:t>
            </w:r>
          </w:p>
        </w:tc>
      </w:tr>
    </w:tbl>
    <w:p w:rsidR="00763239" w:rsidRDefault="00763239" w:rsidP="00E10934">
      <w:pPr>
        <w:spacing w:before="240" w:after="240"/>
      </w:pP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(١٢): </w:t>
      </w:r>
      <w:r>
        <w:rPr>
          <w:b/>
          <w:bCs/>
          <w:color w:val="143F2A"/>
          <w:sz w:val="20"/>
          <w:szCs w:val="20"/>
        </w:rPr>
        <w:t>مراحل التطبيق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يُوصى بتطبيق الحزمة وفق المراحل التالية: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المرحلة الأولى — الاعتماد الرسمي: عرض جميع الوثائق على المجلس للاعتماد بأغلبية الثلثين.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المرحلة الثانية — التأسيس الإجرائي: تشكيل اللجان المطلوبة، تأسيس الأمانة العامة، إنشاء السجلات المركزية.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المرحلة الثالثة — التهيئة والتدريب: تنفيذ برامج توعية لجميع المخاطبين، تدريب لجان الحوكمة.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المرحلة الرابعة — التشغيل التجريبي: تطبيق الوثائق لمدة</w:t>
      </w:r>
      <w:r>
        <w:rPr>
          <w:color w:val="0E1A14"/>
          <w:sz w:val="19"/>
          <w:szCs w:val="19"/>
        </w:rPr>
        <w:t xml:space="preserve"> ٦ أشهر مع رصد الفجوات.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المرحلة الخامسة — التشغيل الكامل: تطبيق نهائي مع المراجعة الدورية.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المرحلة السادسة — المراجعة والتحسين: مراجعة سنوية للحزمة وتحديثها.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(١٣): </w:t>
      </w:r>
      <w:r>
        <w:rPr>
          <w:b/>
          <w:bCs/>
          <w:color w:val="143F2A"/>
          <w:sz w:val="20"/>
          <w:szCs w:val="20"/>
        </w:rPr>
        <w:t>متطلبات التطبيق الأساسية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يستلزم التطبيق الفعّال للحزمة توفير: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أمانة عامة مستقلة وممكَّنة بالكوادر والصلاحيات.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نظام إدارة وثائق إلكتروني آمن.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منصة آمنة للاجتماعات عن بُعد.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 xml:space="preserve">نظام حفظ سجلات </w:t>
      </w:r>
      <w:proofErr w:type="spellStart"/>
      <w:r>
        <w:rPr>
          <w:color w:val="0E1A14"/>
          <w:sz w:val="19"/>
          <w:szCs w:val="19"/>
        </w:rPr>
        <w:t>حوكمي</w:t>
      </w:r>
      <w:proofErr w:type="spellEnd"/>
      <w:r>
        <w:rPr>
          <w:color w:val="0E1A14"/>
          <w:sz w:val="19"/>
          <w:szCs w:val="19"/>
        </w:rPr>
        <w:t xml:space="preserve"> معتمد.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آلية تدقيق داخلي مستقلة.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قنوات إبلاغ آمنة ومتعددة.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برامج تدريب وتوعية مستمرة.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(١٤): </w:t>
      </w:r>
      <w:r>
        <w:rPr>
          <w:b/>
          <w:bCs/>
          <w:color w:val="143F2A"/>
          <w:sz w:val="20"/>
          <w:szCs w:val="20"/>
        </w:rPr>
        <w:t>مؤشرات الأ</w:t>
      </w:r>
      <w:r>
        <w:rPr>
          <w:b/>
          <w:bCs/>
          <w:color w:val="143F2A"/>
          <w:sz w:val="20"/>
          <w:szCs w:val="20"/>
        </w:rPr>
        <w:t xml:space="preserve">داء </w:t>
      </w:r>
      <w:proofErr w:type="spellStart"/>
      <w:r>
        <w:rPr>
          <w:b/>
          <w:bCs/>
          <w:color w:val="143F2A"/>
          <w:sz w:val="20"/>
          <w:szCs w:val="20"/>
        </w:rPr>
        <w:t>الحوكمي</w:t>
      </w:r>
      <w:proofErr w:type="spellEnd"/>
      <w:r>
        <w:rPr>
          <w:b/>
          <w:bCs/>
          <w:color w:val="143F2A"/>
          <w:sz w:val="20"/>
          <w:szCs w:val="20"/>
        </w:rPr>
        <w:t xml:space="preserve"> (</w:t>
      </w:r>
      <w:proofErr w:type="spellStart"/>
      <w:r>
        <w:rPr>
          <w:b/>
          <w:bCs/>
          <w:color w:val="143F2A"/>
          <w:sz w:val="20"/>
          <w:szCs w:val="20"/>
        </w:rPr>
        <w:t>KPIs</w:t>
      </w:r>
      <w:proofErr w:type="spellEnd"/>
      <w:r>
        <w:rPr>
          <w:b/>
          <w:bCs/>
          <w:color w:val="143F2A"/>
          <w:sz w:val="20"/>
          <w:szCs w:val="20"/>
        </w:rPr>
        <w:t>)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تُقاس فعالية تطبيق الحزمة بالمؤشرات التالية كحد أدنى: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نسبة حضور الأعضاء للاجتماعات (المستهدف ≥ ٨٠٪).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نسبة القرارات المُنفَّذة في موعدها (المستهدف ≥ ٩٠٪).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متوسط مدة إصدار المحاضر بعد الاجتماع (المستهدف ≤ ٥ أيام).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نسبة التزام ا</w:t>
      </w:r>
      <w:r>
        <w:rPr>
          <w:color w:val="0E1A14"/>
          <w:sz w:val="19"/>
          <w:szCs w:val="19"/>
        </w:rPr>
        <w:t xml:space="preserve">لأعضاء </w:t>
      </w:r>
      <w:proofErr w:type="spellStart"/>
      <w:r>
        <w:rPr>
          <w:color w:val="0E1A14"/>
          <w:sz w:val="19"/>
          <w:szCs w:val="19"/>
        </w:rPr>
        <w:t>بالإفصاحات</w:t>
      </w:r>
      <w:proofErr w:type="spellEnd"/>
      <w:r>
        <w:rPr>
          <w:color w:val="0E1A14"/>
          <w:sz w:val="19"/>
          <w:szCs w:val="19"/>
        </w:rPr>
        <w:t xml:space="preserve"> السنوية (المستهدف ١٠٠٪).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عدد حالات تضارب المصالح المُفصح عنها (مؤشر شفافية لا أداء).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9"/>
          <w:szCs w:val="19"/>
        </w:rPr>
        <w:t>متوسط مدة التحقيق في البلاغات (المستهدف ≤ ٦٠ يوماً).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نسبة تطبيق توصيات التدقيق الداخلي (المستهدف ≥ ٩٠٪).</w:t>
      </w:r>
    </w:p>
    <w:p w:rsidR="00763239" w:rsidRDefault="00956417" w:rsidP="00E10934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239" w:rsidTr="00E1093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763239" w:rsidRDefault="00956417" w:rsidP="00E1093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الخامس</w:t>
            </w:r>
          </w:p>
          <w:p w:rsidR="00763239" w:rsidRDefault="00956417" w:rsidP="00E1093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أحكام عامة للحزمة</w:t>
            </w:r>
          </w:p>
        </w:tc>
      </w:tr>
    </w:tbl>
    <w:p w:rsidR="00763239" w:rsidRDefault="00763239" w:rsidP="00E10934">
      <w:pPr>
        <w:spacing w:before="240" w:after="240"/>
      </w:pP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(١٥): </w:t>
      </w:r>
      <w:r>
        <w:rPr>
          <w:b/>
          <w:bCs/>
          <w:color w:val="143F2A"/>
          <w:sz w:val="20"/>
          <w:szCs w:val="20"/>
        </w:rPr>
        <w:t>اعتماد الحزمة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تُعتمد الحزمة كاملة بقرار من مجلس الأمناء بأغلبية الثلثين.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يُسجل اعتماد الحزمة في محضر الاجتماع المختص.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تُوقع جميع الوثائق من رئيس المجلس وأمين العام.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تُنشر الحزمة على المنصة الرسمية للمجلس.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(١٦): </w:t>
      </w:r>
      <w:r>
        <w:rPr>
          <w:b/>
          <w:bCs/>
          <w:color w:val="143F2A"/>
          <w:sz w:val="20"/>
          <w:szCs w:val="20"/>
        </w:rPr>
        <w:t>المراجعة الدورية للحزمة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تخضع الحزمة بالكامل للمراجعة الدورية وفق الجدول التالي: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مراجعة سنوية شكلية: للتأكد من فعالية التطبيق.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مراجعة كل سنتين: للوثائق الإجرائية (BYL, DOA, COM).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مراجعة كل ٣ سنوات: للسياسات السلوكية (COC, COI, CON, WHB).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مراجعة كل ٥ سنوات: للميثاق (CHR).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مراجعة فورية: عند تغيير المرجعيات النظامية الأساسية.</w:t>
      </w:r>
    </w:p>
    <w:p w:rsidR="00763239" w:rsidRDefault="00956417" w:rsidP="00E10934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(١٧): </w:t>
      </w:r>
      <w:r>
        <w:rPr>
          <w:b/>
          <w:bCs/>
          <w:color w:val="143F2A"/>
          <w:sz w:val="20"/>
          <w:szCs w:val="20"/>
        </w:rPr>
        <w:t>تعديل الحزمة</w:t>
      </w:r>
    </w:p>
    <w:p w:rsidR="00763239" w:rsidRDefault="00956417" w:rsidP="00E10934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أي تعديل في وثائق الحزمة يخضع لـ: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تقديم اقتراح كتابي مرفق بمبررات وتحليل أثر.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دراسة من اللجنة المختصة.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اعتماد المجلس بأغلبية الثلثي</w:t>
      </w:r>
      <w:r>
        <w:rPr>
          <w:color w:val="0E1A14"/>
          <w:sz w:val="19"/>
          <w:szCs w:val="19"/>
        </w:rPr>
        <w:t>ن.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إصدار نسخة محدثة بترقيم الإصدار.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نشر النسخة الجديدة وإلغاء السابقة.</w:t>
      </w:r>
    </w:p>
    <w:p w:rsidR="00763239" w:rsidRDefault="00956417" w:rsidP="00E10934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9"/>
          <w:szCs w:val="19"/>
        </w:rPr>
        <w:t>إخطار جميع المعنيين.</w:t>
      </w:r>
    </w:p>
    <w:sectPr w:rsidR="00763239">
      <w:headerReference w:type="default" r:id="rId8"/>
      <w:footerReference w:type="default" r:id="rId9"/>
      <w:pgSz w:w="11906" w:h="16838"/>
      <w:pgMar w:top="1440" w:right="1080" w:bottom="1080" w:left="108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6417" w:rsidRDefault="00956417">
      <w:pPr>
        <w:spacing w:line="240" w:lineRule="auto"/>
      </w:pPr>
      <w:r>
        <w:separator/>
      </w:r>
    </w:p>
  </w:endnote>
  <w:endnote w:type="continuationSeparator" w:id="0">
    <w:p w:rsidR="00956417" w:rsidRDefault="009564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3239" w:rsidRDefault="00763239">
    <w:pPr>
      <w:pBdr>
        <w:top w:val="single" w:sz="6" w:space="1" w:color="1F5F3F"/>
      </w:pBdr>
      <w:spacing w:after="60" w:line="60" w:lineRule="auto"/>
      <w:jc w:val="right"/>
    </w:pPr>
  </w:p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763239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763239" w:rsidRDefault="00956417">
          <w:pPr>
            <w:jc w:val="right"/>
          </w:pPr>
          <w:r>
            <w:rPr>
              <w:b/>
              <w:bCs/>
              <w:color w:val="6B7770"/>
              <w:sz w:val="12"/>
              <w:szCs w:val="12"/>
              <w:rtl w:val="0"/>
            </w:rPr>
            <w:t>BOT-IDX-000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763239" w:rsidRDefault="00956417">
          <w:pPr>
            <w:jc w:val="center"/>
          </w:pPr>
          <w:r>
            <w:rPr>
              <w:color w:val="6B7770"/>
              <w:sz w:val="12"/>
              <w:szCs w:val="12"/>
            </w:rPr>
            <w:t>الإصدار الأول — ١٤٤٧هـ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763239" w:rsidRDefault="00956417">
          <w:pPr>
            <w:jc w:val="right"/>
          </w:pPr>
          <w:r>
            <w:rPr>
              <w:color w:val="6B7770"/>
              <w:sz w:val="12"/>
              <w:szCs w:val="12"/>
            </w:rPr>
            <w:t xml:space="preserve">صفحة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PAGE</w:instrText>
          </w:r>
          <w:r w:rsidR="00E10934">
            <w:rPr>
              <w:color w:val="6B7770"/>
              <w:sz w:val="12"/>
              <w:szCs w:val="12"/>
            </w:rPr>
            <w:fldChar w:fldCharType="separate"/>
          </w:r>
          <w:r w:rsidR="00E10934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  <w:r>
            <w:rPr>
              <w:color w:val="6B7770"/>
              <w:sz w:val="12"/>
              <w:szCs w:val="12"/>
            </w:rPr>
            <w:t xml:space="preserve"> من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NUMPAGES</w:instrText>
          </w:r>
          <w:r w:rsidR="00E10934">
            <w:rPr>
              <w:color w:val="6B7770"/>
              <w:sz w:val="12"/>
              <w:szCs w:val="12"/>
            </w:rPr>
            <w:fldChar w:fldCharType="separate"/>
          </w:r>
          <w:r w:rsidR="00E10934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6417" w:rsidRDefault="00956417">
      <w:pPr>
        <w:spacing w:line="240" w:lineRule="auto"/>
      </w:pPr>
      <w:r>
        <w:separator/>
      </w:r>
    </w:p>
  </w:footnote>
  <w:footnote w:type="continuationSeparator" w:id="0">
    <w:p w:rsidR="00956417" w:rsidRDefault="009564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40"/>
      <w:gridCol w:w="6480"/>
      <w:gridCol w:w="1440"/>
    </w:tblGrid>
    <w:tr w:rsidR="00763239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763239" w:rsidRDefault="00956417">
          <w:pPr>
            <w:spacing w:line="240" w:lineRule="auto"/>
            <w:jc w:val="right"/>
          </w:pPr>
          <w:r>
            <w:rPr>
              <w:b/>
              <w:bCs/>
              <w:color w:val="1F5F3F"/>
              <w:sz w:val="16"/>
              <w:szCs w:val="16"/>
            </w:rPr>
            <w:t>جامعة الملك خالد</w:t>
          </w:r>
        </w:p>
        <w:p w:rsidR="00763239" w:rsidRDefault="00956417">
          <w:pPr>
            <w:spacing w:line="240" w:lineRule="auto"/>
            <w:jc w:val="right"/>
          </w:pPr>
          <w:r>
            <w:rPr>
              <w:color w:val="6B7770"/>
              <w:sz w:val="14"/>
              <w:szCs w:val="14"/>
            </w:rPr>
            <w:t>مجلس الأمناء</w:t>
          </w:r>
        </w:p>
      </w:tc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:rsidR="00763239" w:rsidRDefault="00956417">
          <w:pPr>
            <w:spacing w:line="280" w:lineRule="auto"/>
            <w:jc w:val="center"/>
          </w:pPr>
          <w:r>
            <w:rPr>
              <w:b/>
              <w:bCs/>
              <w:color w:val="143F2A"/>
              <w:sz w:val="18"/>
              <w:szCs w:val="18"/>
            </w:rPr>
            <w:t xml:space="preserve">المؤشر الرئيسي لحزمة الأدلة </w:t>
          </w:r>
          <w:proofErr w:type="spellStart"/>
          <w:r>
            <w:rPr>
              <w:b/>
              <w:bCs/>
              <w:color w:val="143F2A"/>
              <w:sz w:val="18"/>
              <w:szCs w:val="18"/>
            </w:rPr>
            <w:t>الحوكمية</w:t>
          </w:r>
          <w:proofErr w:type="spellEnd"/>
        </w:p>
        <w:p w:rsidR="00763239" w:rsidRDefault="00956417">
          <w:pPr>
            <w:spacing w:line="220" w:lineRule="auto"/>
            <w:jc w:val="center"/>
          </w:pPr>
          <w:r>
            <w:rPr>
              <w:b/>
              <w:bCs/>
              <w:color w:val="B89855"/>
              <w:sz w:val="12"/>
              <w:szCs w:val="12"/>
              <w:rtl w:val="0"/>
            </w:rPr>
            <w:t>BOT-IDX-000</w:t>
          </w:r>
        </w:p>
      </w:tc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763239" w:rsidRDefault="00956417">
          <w:pPr>
            <w:jc w:val="right"/>
          </w:pPr>
          <w:r>
            <w:rPr>
              <w:noProof/>
            </w:rPr>
            <w:drawing>
              <wp:inline distT="0" distB="0" distL="0" distR="0">
                <wp:extent cx="571500" cy="571500"/>
                <wp:effectExtent l="0" t="0" r="0" b="0"/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763239" w:rsidRDefault="00763239">
    <w:pPr>
      <w:pBdr>
        <w:bottom w:val="single" w:sz="8" w:space="1" w:color="B89855"/>
      </w:pBdr>
      <w:spacing w:line="60" w:lineRule="auto"/>
      <w:jc w:val="right"/>
    </w:pPr>
  </w:p>
  <w:p w:rsidR="00763239" w:rsidRDefault="00763239">
    <w:pPr>
      <w:spacing w:line="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F6232"/>
    <w:multiLevelType w:val="hybridMultilevel"/>
    <w:tmpl w:val="A7304FF6"/>
    <w:lvl w:ilvl="0" w:tplc="0636C10C">
      <w:start w:val="1"/>
      <w:numFmt w:val="bullet"/>
      <w:lvlText w:val="●"/>
      <w:lvlJc w:val="left"/>
      <w:pPr>
        <w:bidi/>
        <w:ind w:left="720" w:hanging="360"/>
      </w:pPr>
    </w:lvl>
    <w:lvl w:ilvl="1" w:tplc="5B7C292C">
      <w:start w:val="1"/>
      <w:numFmt w:val="bullet"/>
      <w:lvlText w:val="○"/>
      <w:lvlJc w:val="left"/>
      <w:pPr>
        <w:bidi/>
        <w:ind w:left="1440" w:hanging="360"/>
      </w:pPr>
    </w:lvl>
    <w:lvl w:ilvl="2" w:tplc="FE1C033C">
      <w:start w:val="1"/>
      <w:numFmt w:val="bullet"/>
      <w:lvlText w:val="■"/>
      <w:lvlJc w:val="left"/>
      <w:pPr>
        <w:bidi/>
        <w:ind w:left="2160" w:hanging="360"/>
      </w:pPr>
    </w:lvl>
    <w:lvl w:ilvl="3" w:tplc="82068060">
      <w:start w:val="1"/>
      <w:numFmt w:val="bullet"/>
      <w:lvlText w:val="●"/>
      <w:lvlJc w:val="left"/>
      <w:pPr>
        <w:bidi/>
        <w:ind w:left="2880" w:hanging="360"/>
      </w:pPr>
    </w:lvl>
    <w:lvl w:ilvl="4" w:tplc="42A084F8">
      <w:start w:val="1"/>
      <w:numFmt w:val="bullet"/>
      <w:lvlText w:val="○"/>
      <w:lvlJc w:val="left"/>
      <w:pPr>
        <w:bidi/>
        <w:ind w:left="3600" w:hanging="360"/>
      </w:pPr>
    </w:lvl>
    <w:lvl w:ilvl="5" w:tplc="C0C83A48">
      <w:start w:val="1"/>
      <w:numFmt w:val="bullet"/>
      <w:lvlText w:val="■"/>
      <w:lvlJc w:val="left"/>
      <w:pPr>
        <w:bidi/>
        <w:ind w:left="4320" w:hanging="360"/>
      </w:pPr>
    </w:lvl>
    <w:lvl w:ilvl="6" w:tplc="6CC687E2">
      <w:start w:val="1"/>
      <w:numFmt w:val="bullet"/>
      <w:lvlText w:val="●"/>
      <w:lvlJc w:val="left"/>
      <w:pPr>
        <w:bidi/>
        <w:ind w:left="5040" w:hanging="360"/>
      </w:pPr>
    </w:lvl>
    <w:lvl w:ilvl="7" w:tplc="90581A58">
      <w:start w:val="1"/>
      <w:numFmt w:val="bullet"/>
      <w:lvlText w:val="●"/>
      <w:lvlJc w:val="left"/>
      <w:pPr>
        <w:bidi/>
        <w:ind w:left="5760" w:hanging="360"/>
      </w:pPr>
    </w:lvl>
    <w:lvl w:ilvl="8" w:tplc="1AA8F8CE">
      <w:start w:val="1"/>
      <w:numFmt w:val="bullet"/>
      <w:lvlText w:val="●"/>
      <w:lvlJc w:val="left"/>
      <w:pPr>
        <w:bidi/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239"/>
    <w:rsid w:val="00763239"/>
    <w:rsid w:val="00956417"/>
    <w:rsid w:val="00E1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E618DD0-B1CD-40C4-90CF-A1296B30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akkal Majalla" w:eastAsia="Sakkal Majalla" w:hAnsi="Sakkal Majalla" w:cs="Sakkal Majalla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line="320" w:lineRule="auto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تشديد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1384</Words>
  <Characters>7891</Characters>
  <Application>Microsoft Office Word</Application>
  <DocSecurity>0</DocSecurity>
  <Lines>65</Lines>
  <Paragraphs>18</Paragraphs>
  <ScaleCrop>false</ScaleCrop>
  <Company>King Khalid University</Company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المؤشر الرئيسي لحزمة الأدلة الحوكمية</dc:title>
  <dc:creator>جامعة الملك خالد - الأمانة العامة لمجلس الأمناء</dc:creator>
  <dc:description>المؤشر الرئيسي لحزمة الأدلة الحوكمية لمجلس الأمناء</dc:description>
  <cp:lastModifiedBy>Mohammed Al Jouni</cp:lastModifiedBy>
  <cp:revision>2</cp:revision>
  <dcterms:created xsi:type="dcterms:W3CDTF">2026-04-30T03:15:00Z</dcterms:created>
  <dcterms:modified xsi:type="dcterms:W3CDTF">2026-04-30T10:48:00Z</dcterms:modified>
</cp:coreProperties>
</file>