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atLeast"/>
        </w:trPr>
        <w:tc>
          <w:tcPr>
            <w:tcBorders>
              <w:top w:val="none" w:color="0D0D0F" w:sz="0"/>
              <w:left w:val="none" w:color="0D0D0F" w:sz="0"/>
              <w:bottom w:val="none" w:color="0D0D0F" w:sz="0"/>
              <w:right w:val="none" w:color="0D0D0F" w:sz="0"/>
            </w:tcBorders>
            <w:shd w:fill="0D0D0F" w:val="clear"/>
            <w:tcMar>
              <w:top w:type="dxa" w:w="1800"/>
              <w:left w:type="dxa" w:w="1440"/>
              <w:bottom w:type="dxa" w:w="1800"/>
              <w:right w:type="dxa" w:w="1440"/>
            </w:tcMar>
          </w:tcPr>
          <w:p>
            <w:pPr>
              <w:spacing w:after="240"/>
              <w:jc w:val="left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40"/>
                <w:szCs w:val="40"/>
              </w:rPr>
              <w:t xml:space="preserve">QUALIVIO</w:t>
            </w:r>
          </w:p>
          <w:p>
            <w:pPr>
              <w:pBdr>
                <w:bottom w:val="single" w:color="4ECDC4" w:sz="14" w:space="1"/>
              </w:pBdr>
              <w:spacing w:after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i/>
                <w:iCs/>
                <w:color w:val="9896B6"/>
                <w:sz w:val="20"/>
                <w:szCs w:val="20"/>
              </w:rPr>
              <w:t xml:space="preserve">Trusted insights, education and consulting.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6AF7"/>
                <w:spacing w:val="60"/>
                <w:sz w:val="20"/>
                <w:szCs w:val="20"/>
              </w:rPr>
              <w:t xml:space="preserve">CHECKLIST</w:t>
            </w:r>
            <w:r>
              <w:rPr>
                <w:rFonts w:ascii="Arial" w:cs="Arial" w:eastAsia="Arial" w:hAnsi="Arial"/>
                <w:b/>
                <w:bCs/>
                <w:color w:val="9896B6"/>
                <w:sz w:val="20"/>
                <w:szCs w:val="20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color w:val="F7B731"/>
                <w:spacing w:val="60"/>
                <w:sz w:val="20"/>
                <w:szCs w:val="20"/>
              </w:rPr>
              <w:t xml:space="preserve">FREE GUIDE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PV Essentials</w:t>
            </w:r>
          </w:p>
          <w:p>
            <w:pPr>
              <w:spacing w:after="320"/>
            </w:pPr>
            <w:r>
              <w:rPr>
                <w:rFonts w:ascii="Arial" w:cs="Arial" w:eastAsia="Arial" w:hAnsi="Arial"/>
                <w:b/>
                <w:bCs/>
                <w:color w:val="7C6AF7"/>
                <w:sz w:val="72"/>
                <w:szCs w:val="72"/>
              </w:rPr>
              <w:t xml:space="preserve">Checklist</w:t>
            </w:r>
          </w:p>
          <w:p>
            <w:pPr>
              <w:spacing w:after="480" w:line="340"/>
            </w:pPr>
            <w:r>
              <w:rPr>
                <w:rFonts w:ascii="Arial" w:cs="Arial" w:eastAsia="Arial" w:hAnsi="Arial"/>
                <w:color w:val="E8E6FF"/>
                <w:sz w:val="24"/>
                <w:szCs w:val="24"/>
              </w:rPr>
              <w:t xml:space="preserve">A quick reference covering the core pharmacovigilance obligations, ICSR reporting timelines, and compliance checkpoints that every MAH should have in place.</w:t>
            </w:r>
          </w:p>
          <w:p>
            <w:pPr>
              <w:spacing w:after="1400"/>
            </w:pPr>
            <w:r>
              <w:rPr>
                <w:rFonts w:ascii="Arial" w:cs="Arial" w:eastAsia="Arial" w:hAnsi="Arial"/>
                <w:b/>
                <w:bCs/>
                <w:color w:val="4ECDC4"/>
                <w:spacing w:val="60"/>
                <w:sz w:val="18"/>
                <w:szCs w:val="18"/>
              </w:rPr>
              <w:t xml:space="preserve">5 SECTIONS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4ECDC4"/>
                <w:spacing w:val="60"/>
                <w:sz w:val="18"/>
                <w:szCs w:val="18"/>
              </w:rPr>
              <w:t xml:space="preserve">32 CHECKPOINTS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4ECDC4"/>
                <w:spacing w:val="60"/>
                <w:sz w:val="18"/>
                <w:szCs w:val="18"/>
              </w:rPr>
              <w:t xml:space="preserve">3 PAGES</w:t>
            </w:r>
          </w:p>
          <w:p>
            <w:pPr>
              <w:pBdr>
                <w:top w:val="single" w:color="2E2E36" w:sz="4" w:space="6"/>
              </w:pBdr>
              <w:spacing w:after="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896B6"/>
                <w:sz w:val="16"/>
                <w:szCs w:val="16"/>
              </w:rPr>
              <w:t xml:space="preserve">Pharmacovigilance  ·  Life Sciences  ·  Drug Safety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       </w:t>
            </w:r>
            <w:r>
              <w:rPr>
                <w:rFonts w:ascii="Arial" w:cs="Arial" w:eastAsia="Arial" w:hAnsi="Arial"/>
                <w:b/>
                <w:bCs/>
                <w:color w:val="4ECDC4"/>
                <w:sz w:val="16"/>
                <w:szCs w:val="16"/>
              </w:rPr>
              <w:t xml:space="preserve">www.qualiviopharma.com</w:t>
            </w:r>
          </w:p>
        </w:tc>
      </w:tr>
    </w:tbl>
    <w:p>
      <w:pPr>
        <w:sectPr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7C6AF7"/>
          <w:sz w:val="20"/>
          <w:szCs w:val="20"/>
        </w:rPr>
        <w:t xml:space="preserve">01  </w:t>
      </w:r>
      <w:r>
        <w:rPr>
          <w:rFonts w:ascii="Arial" w:cs="Arial" w:eastAsia="Arial" w:hAnsi="Arial"/>
          <w:b/>
          <w:bCs/>
          <w:color w:val="111114"/>
          <w:spacing w:val="40"/>
          <w:sz w:val="20"/>
          <w:szCs w:val="20"/>
        </w:rPr>
        <w:t xml:space="preserve">PV SYSTEM FOUNDATIONS</w:t>
      </w:r>
    </w:p>
    <w:p>
      <w:pPr>
        <w:pBdr>
          <w:bottom w:val="single" w:color="4ECDC4" w:sz="8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Pharmacovigilance System Master File (PSMF) is current, complete, and accessible to the QPPV.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Location of the PSMF is correctly reflected in the Article 57 database.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A documented Quality Management System covers all critical PV processes.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Standard Operating Procedures exist for every critical activity, are version controlled, and reviewed periodically.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Record retention complies with applicable timeframes (EU: marketing authorisation duration plus ten years).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Business continuity plan exists and has been tested.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7C6AF7"/>
          <w:sz w:val="20"/>
          <w:szCs w:val="20"/>
        </w:rPr>
        <w:t xml:space="preserve">02  </w:t>
      </w:r>
      <w:r>
        <w:rPr>
          <w:rFonts w:ascii="Arial" w:cs="Arial" w:eastAsia="Arial" w:hAnsi="Arial"/>
          <w:b/>
          <w:bCs/>
          <w:color w:val="111114"/>
          <w:spacing w:val="40"/>
          <w:sz w:val="20"/>
          <w:szCs w:val="20"/>
        </w:rPr>
        <w:t xml:space="preserve">THE QPPV</w:t>
      </w:r>
    </w:p>
    <w:p>
      <w:pPr>
        <w:pBdr>
          <w:bottom w:val="single" w:color="4ECDC4" w:sz="8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A Qualified Person for Pharmacovigilance has been appointed, resides in the EU, and is appropriately qualified.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Contact details of the QPPV have been notified to the EMA and member state competent authorities.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The QPPV is permanently and continuously available, including out of hours.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A deputy QPPV has been designated and the handover process is documented.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If the QPPV is not medically qualified, a medically qualified person is accessible.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The QPPV has documented oversight of the global PV system, compliance metrics, and audit outputs.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7C6AF7"/>
          <w:sz w:val="20"/>
          <w:szCs w:val="20"/>
        </w:rPr>
        <w:t xml:space="preserve">03  </w:t>
      </w:r>
      <w:r>
        <w:rPr>
          <w:rFonts w:ascii="Arial" w:cs="Arial" w:eastAsia="Arial" w:hAnsi="Arial"/>
          <w:b/>
          <w:bCs/>
          <w:color w:val="111114"/>
          <w:spacing w:val="40"/>
          <w:sz w:val="20"/>
          <w:szCs w:val="20"/>
        </w:rPr>
        <w:t xml:space="preserve">ICSR COLLECTION AND REPORTING</w:t>
      </w:r>
    </w:p>
    <w:p>
      <w:pPr>
        <w:pBdr>
          <w:bottom w:val="single" w:color="4ECDC4" w:sz="8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All four validity criteria are checked for each ICSR (identifiable patient, reporter, suspect drug, suspected reaction).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Day zero is consistently calculated across all intake channels.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Medical review is documented for every case, not only serious ones.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Expectedness assessment uses the current version of the reference safety information.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Targeted follow up is performed for cases meeting RMP criteria.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Reporting compliance is monitored and late reports trigger documented root cause analysis.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Reporting clocks at a glance: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Borders>
              <w:top w:val="none"/>
              <w:left w:val="none"/>
              <w:bottom w:val="single" w:color="4ECDC4" w:sz="8"/>
              <w:right w:val="none"/>
            </w:tcBorders>
            <w:shd w:fill="11111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pacing w:val="40"/>
                <w:sz w:val="16"/>
                <w:szCs w:val="16"/>
              </w:rPr>
              <w:t xml:space="preserve">ICSR TYPE</w:t>
            </w:r>
          </w:p>
        </w:tc>
        <w:tc>
          <w:tcPr>
            <w:tcBorders>
              <w:top w:val="none"/>
              <w:left w:val="none"/>
              <w:bottom w:val="single" w:color="4ECDC4" w:sz="8"/>
              <w:right w:val="none"/>
            </w:tcBorders>
            <w:shd w:fill="11111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ECDC4"/>
                <w:spacing w:val="40"/>
                <w:sz w:val="16"/>
                <w:szCs w:val="16"/>
              </w:rPr>
              <w:t xml:space="preserve">REPORTING CLOCK</w:t>
            </w:r>
          </w:p>
        </w:tc>
      </w:tr>
      <w:tr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8"/>
                <w:szCs w:val="18"/>
              </w:rPr>
              <w:t xml:space="preserve">Serious + unexpected (EEA)</w:t>
            </w:r>
          </w:p>
        </w:tc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8"/>
                <w:szCs w:val="18"/>
              </w:rPr>
              <w:t xml:space="preserve">15 calendar days</w:t>
            </w:r>
          </w:p>
        </w:tc>
      </w:tr>
      <w:tr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7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8"/>
                <w:szCs w:val="18"/>
              </w:rPr>
              <w:t xml:space="preserve">Serious + expected (EEA)</w:t>
            </w:r>
          </w:p>
        </w:tc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7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8"/>
                <w:szCs w:val="18"/>
              </w:rPr>
              <w:t xml:space="preserve">15 calendar days</w:t>
            </w:r>
          </w:p>
        </w:tc>
      </w:tr>
      <w:tr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8"/>
                <w:szCs w:val="18"/>
              </w:rPr>
              <w:t xml:space="preserve">Non serious (EEA)</w:t>
            </w:r>
          </w:p>
        </w:tc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8"/>
                <w:szCs w:val="18"/>
              </w:rPr>
              <w:t xml:space="preserve">90 calendar days</w:t>
            </w:r>
          </w:p>
        </w:tc>
      </w:tr>
      <w:tr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7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8"/>
                <w:szCs w:val="18"/>
              </w:rPr>
              <w:t xml:space="preserve">FDA 7-day alert (death/life threatening)</w:t>
            </w:r>
          </w:p>
        </w:tc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7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8"/>
                <w:szCs w:val="18"/>
              </w:rPr>
              <w:t xml:space="preserve">7 calendar days</w:t>
            </w:r>
          </w:p>
        </w:tc>
      </w:tr>
      <w:tr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8"/>
                <w:szCs w:val="18"/>
              </w:rPr>
              <w:t xml:space="preserve">FDA 15-day expedited</w:t>
            </w:r>
          </w:p>
        </w:tc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8"/>
                <w:szCs w:val="18"/>
              </w:rPr>
              <w:t xml:space="preserve">15 calendar days</w:t>
            </w:r>
          </w:p>
        </w:tc>
      </w:tr>
      <w:tr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7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E"/>
                <w:sz w:val="18"/>
                <w:szCs w:val="18"/>
              </w:rPr>
              <w:t xml:space="preserve">FDA non expedited (PADER)</w:t>
            </w:r>
          </w:p>
        </w:tc>
        <w:tc>
          <w:tcPr>
            <w:tcBorders>
              <w:top w:val="none"/>
              <w:left w:val="none"/>
              <w:bottom w:val="single" w:color="E5E3F0" w:sz="4"/>
              <w:right w:val="none"/>
            </w:tcBorders>
            <w:shd w:fill="F7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E"/>
                <w:sz w:val="18"/>
                <w:szCs w:val="18"/>
              </w:rPr>
              <w:t xml:space="preserve">Periodic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rial" w:cs="Arial" w:eastAsia="Arial" w:hAnsi="Arial"/>
          <w:color w:val="1A1A1E"/>
          <w:sz w:val="20"/>
          <w:szCs w:val="20"/>
        </w:rPr>
        <w:t xml:space="preserve">Local timelines may differ. Always verify against the current national legislation for each market.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7C6AF7"/>
          <w:sz w:val="20"/>
          <w:szCs w:val="20"/>
        </w:rPr>
        <w:t xml:space="preserve">04  </w:t>
      </w:r>
      <w:r>
        <w:rPr>
          <w:rFonts w:ascii="Arial" w:cs="Arial" w:eastAsia="Arial" w:hAnsi="Arial"/>
          <w:b/>
          <w:bCs/>
          <w:color w:val="111114"/>
          <w:spacing w:val="40"/>
          <w:sz w:val="20"/>
          <w:szCs w:val="20"/>
        </w:rPr>
        <w:t xml:space="preserve">AGGREGATE REPORTS AND RISK MANAGEMENT</w:t>
      </w:r>
    </w:p>
    <w:p>
      <w:pPr>
        <w:pBdr>
          <w:bottom w:val="single" w:color="4ECDC4" w:sz="8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PSUR / PBRER production schedule is current and aligned with EU reference dates.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DSURs are produced annually for products under clinical development.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Each applicable product has a Risk Management Plan reflecting current scientific understanding.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Additional risk minimisation measures have been implemented and approved before product availability.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Effectiveness of risk minimisation measures is measured with leading indicators, not only output metrics.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Signal management activities are scheduled per product with intervals appropriate to lifecycle and exposure.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Validated signals are tracked through to closure with documented rationale.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7C6AF7"/>
          <w:sz w:val="20"/>
          <w:szCs w:val="20"/>
        </w:rPr>
        <w:t xml:space="preserve">05  </w:t>
      </w:r>
      <w:r>
        <w:rPr>
          <w:rFonts w:ascii="Arial" w:cs="Arial" w:eastAsia="Arial" w:hAnsi="Arial"/>
          <w:b/>
          <w:bCs/>
          <w:color w:val="111114"/>
          <w:spacing w:val="40"/>
          <w:sz w:val="20"/>
          <w:szCs w:val="20"/>
        </w:rPr>
        <w:t xml:space="preserve">THIRD PARTIES AND INSPECTION READINESS</w:t>
      </w:r>
    </w:p>
    <w:p>
      <w:pPr>
        <w:pBdr>
          <w:bottom w:val="single" w:color="4ECDC4" w:sz="8" w:space="1"/>
        </w:pBdr>
        <w:spacing w:after="140"/>
      </w:pPr>
      <w:r>
        <w:rPr>
          <w:sz w:val="2"/>
          <w:szCs w:val="2"/>
        </w:rPr>
        <w:t xml:space="preserve"/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Safety Data Exchange Agreements (SDEAs) are in place with every PV business partner and service provider.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SDEAs define ICSR exchange timelines, responsibilities, and reconciliation frequency.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Regular reconciliation is performed and discrepancies are documented and resolved.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Audits of contracted partners are conducted on a risk based schedule.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A risk based PV audit programme covers the critical processes across a defined cycle.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Inspection management procedures are documented and personnel have received refresher training.</w:t>
      </w:r>
    </w:p>
    <w:p>
      <w:pPr>
        <w:spacing w:after="80" w:line="280"/>
        <w:ind w:left="0"/>
      </w:pPr>
      <w:r>
        <w:rPr>
          <w:rFonts w:ascii="Arial" w:cs="Arial" w:eastAsia="Arial" w:hAnsi="Arial"/>
          <w:color w:val="7C6AF7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1A1A1E"/>
          <w:sz w:val="20"/>
          <w:szCs w:val="20"/>
        </w:rPr>
        <w:t xml:space="preserve">Self identified findings are closed with effective CAPAs before the next inspection cycle.</w:t>
      </w:r>
    </w:p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7C6AF7" w:sz="24"/>
              <w:bottom w:val="none"/>
              <w:right w:val="none"/>
            </w:tcBorders>
            <w:shd w:fill="F4F2FF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6AF7"/>
                <w:spacing w:val="40"/>
                <w:sz w:val="18"/>
                <w:szCs w:val="18"/>
              </w:rPr>
              <w:t xml:space="preserve">HOW TO USE THIS CHECKLIST</w:t>
            </w:r>
          </w:p>
          <w:p>
            <w:pPr>
              <w:spacing w:after="100" w:line="300"/>
            </w:pPr>
            <w:r>
              <w:rPr>
                <w:rFonts w:ascii="Arial" w:cs="Arial" w:eastAsia="Arial" w:hAnsi="Arial"/>
                <w:color w:val="1A1A1E"/>
                <w:sz w:val="19"/>
                <w:szCs w:val="19"/>
              </w:rPr>
              <w:t xml:space="preserve">This is a high level reference, not a substitute for the GVP modules or applicable national legislation. Use it to identify gaps quickly, then return to the source documents for the detail.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i/>
                <w:iCs/>
                <w:color w:val="1A1A1E"/>
                <w:sz w:val="19"/>
                <w:szCs w:val="19"/>
              </w:rPr>
              <w:t xml:space="preserve">If any item raises a question for your organisation, that is a useful audit signal worth following up.</w:t>
            </w:r>
          </w:p>
        </w:tc>
      </w:tr>
    </w:tbl>
    <w:p>
      <w:pPr>
        <w:spacing w:after="3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4ECDC4"/>
          <w:spacing w:val="60"/>
          <w:sz w:val="16"/>
          <w:szCs w:val="16"/>
        </w:rPr>
        <w:t xml:space="preserve">PRINCIPAL REFERENCES</w:t>
      </w:r>
    </w:p>
    <w:p>
      <w:pPr>
        <w:spacing w:after="60"/>
      </w:pPr>
      <w:r>
        <w:rPr>
          <w:rFonts w:ascii="Arial" w:cs="Arial" w:eastAsia="Arial" w:hAnsi="Arial"/>
          <w:color w:val="1A1A1E"/>
          <w:sz w:val="18"/>
          <w:szCs w:val="18"/>
        </w:rPr>
        <w:t xml:space="preserve">EMA Good Pharmacovigilance Practices, all current modules</w:t>
      </w:r>
    </w:p>
    <w:p>
      <w:pPr>
        <w:spacing w:after="60"/>
      </w:pPr>
      <w:r>
        <w:rPr>
          <w:rFonts w:ascii="Arial" w:cs="Arial" w:eastAsia="Arial" w:hAnsi="Arial"/>
          <w:color w:val="1A1A1E"/>
          <w:sz w:val="18"/>
          <w:szCs w:val="18"/>
        </w:rPr>
        <w:t xml:space="preserve">Directive 2010/84/EU and Regulation (EU) No 1235/2010</w:t>
      </w:r>
    </w:p>
    <w:p>
      <w:pPr>
        <w:spacing w:after="60"/>
      </w:pPr>
      <w:r>
        <w:rPr>
          <w:rFonts w:ascii="Arial" w:cs="Arial" w:eastAsia="Arial" w:hAnsi="Arial"/>
          <w:color w:val="1A1A1E"/>
          <w:sz w:val="18"/>
          <w:szCs w:val="18"/>
        </w:rPr>
        <w:t xml:space="preserve">Commission Implementing Regulation (EU) No 520/2012</w:t>
      </w:r>
    </w:p>
    <w:p>
      <w:pPr>
        <w:spacing w:after="60"/>
      </w:pPr>
      <w:r>
        <w:rPr>
          <w:rFonts w:ascii="Arial" w:cs="Arial" w:eastAsia="Arial" w:hAnsi="Arial"/>
          <w:color w:val="1A1A1E"/>
          <w:sz w:val="18"/>
          <w:szCs w:val="18"/>
        </w:rPr>
        <w:t xml:space="preserve">ICH E2C(R2), E2D, E2E, E2F</w:t>
      </w:r>
    </w:p>
    <w:p>
      <w:pPr>
        <w:spacing w:after="60"/>
      </w:pPr>
      <w:r>
        <w:rPr>
          <w:rFonts w:ascii="Arial" w:cs="Arial" w:eastAsia="Arial" w:hAnsi="Arial"/>
          <w:color w:val="1A1A1E"/>
          <w:sz w:val="18"/>
          <w:szCs w:val="18"/>
        </w:rPr>
        <w:t xml:space="preserve">Human Medicines Regulations 2012 (UK), as amended</w:t>
      </w:r>
    </w:p>
    <w:p>
      <w:pPr>
        <w:spacing w:after="400"/>
      </w:pPr>
      <w:r>
        <w:t xml:space="preserve"/>
      </w:r>
    </w:p>
    <w:p>
      <w:pPr>
        <w:pBdr>
          <w:top w:val="single" w:color="E5E3F0" w:sz="4" w:space="6"/>
        </w:pBdr>
        <w:spacing w:after="60"/>
      </w:pPr>
      <w:r>
        <w:rPr>
          <w:sz w:val="4"/>
          <w:szCs w:val="4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color w:val="111114"/>
          <w:spacing w:val="80"/>
          <w:sz w:val="22"/>
          <w:szCs w:val="22"/>
        </w:rPr>
        <w:t xml:space="preserve">QUALIVIO</w:t>
      </w:r>
      <w:r>
        <w:rPr>
          <w:rFonts w:ascii="Arial" w:cs="Arial" w:eastAsia="Arial" w:hAnsi="Arial"/>
          <w:color w:val="9896B6"/>
          <w:sz w:val="16"/>
          <w:szCs w:val="16"/>
        </w:rPr>
        <w:t xml:space="preserve">    Pharmacovigilance  ·  Life Sciences  ·  Drug Safety</w:t>
      </w:r>
    </w:p>
    <w:p>
      <w:pPr>
        <w:spacing w:after="0"/>
      </w:pPr>
      <w:r>
        <w:rPr>
          <w:rFonts w:ascii="Arial" w:cs="Arial" w:eastAsia="Arial" w:hAnsi="Arial"/>
          <w:color w:val="1A1A1E"/>
          <w:sz w:val="16"/>
          <w:szCs w:val="16"/>
        </w:rPr>
        <w:t xml:space="preserve">hello@qualivio.com</w:t>
      </w:r>
      <w:r>
        <w:rPr>
          <w:rFonts w:ascii="Arial" w:cs="Arial" w:eastAsia="Arial" w:hAnsi="Arial"/>
          <w:color w:val="9896B6"/>
          <w:sz w:val="16"/>
          <w:szCs w:val="16"/>
        </w:rPr>
        <w:t xml:space="preserve">   ·   </w:t>
      </w:r>
      <w:r>
        <w:rPr>
          <w:rFonts w:ascii="Arial" w:cs="Arial" w:eastAsia="Arial" w:hAnsi="Arial"/>
          <w:b/>
          <w:bCs/>
          <w:color w:val="4ECDC4"/>
          <w:sz w:val="16"/>
          <w:szCs w:val="16"/>
        </w:rPr>
        <w:t xml:space="preserve">www.qualiviopharma.com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3F0" w:sz="4" w:space="4"/>
      </w:pBdr>
      <w:tabs>
        <w:tab w:val="right" w:pos="9360"/>
      </w:tabs>
      <w:spacing w:before="60"/>
    </w:pPr>
    <w:r>
      <w:rPr>
        <w:rFonts w:ascii="Arial" w:cs="Arial" w:eastAsia="Arial" w:hAnsi="Arial"/>
        <w:color w:val="9896B6"/>
        <w:sz w:val="14"/>
        <w:szCs w:val="14"/>
      </w:rPr>
      <w:t xml:space="preserve">© 2025 Qualivio  ·  qualiviopharma.com  ·  PV Essentials Checklist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c1f1a9e63788ea18029c40dfb95e05e819c2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 Essentials Checklist</dc:title>
  <dc:creator>Qualivio</dc:creator>
  <dc:description>Qualivio PV Essentials Checklist</dc:description>
  <cp:lastModifiedBy>Un-named</cp:lastModifiedBy>
  <cp:revision>1</cp:revision>
  <dcterms:created xsi:type="dcterms:W3CDTF">2026-05-25T10:35:17.291Z</dcterms:created>
  <dcterms:modified xsi:type="dcterms:W3CDTF">2026-05-25T10:35:17.291Z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