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F7B731"/>
          <w:spacing w:val="80"/>
          <w:sz w:val="20"/>
          <w:szCs w:val="20"/>
        </w:rPr>
        <w:t xml:space="preserve">QUALIVIO BRAND GUIDELINES</w:t>
      </w:r>
    </w:p>
    <w:p>
      <w:pPr>
        <w:spacing w:after="200" w:before="200"/>
        <w:jc w:val="center"/>
      </w:pPr>
      <w:r>
        <w:drawing>
          <wp:inline distT="0" distB="0" distL="0" distR="0">
            <wp:extent cx="1714500" cy="1714500"/>
            <wp:effectExtent t="0" r="0" b="0" l="0"/>
            <wp:docPr id="1" name="image" descr="C:/Users/user/Desktop/QUALIVIO/files 6/qualivio_q_primary_dark_300x300.png" title="Qualivio brand as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714500"/>
                    </a:xfrm>
                    <a:prstGeom prst="rect">
                      <a:avLst/>
                    </a:prstGeom>
                  </pic:spPr>
                </pic:pic>
              </a:graphicData>
            </a:graphic>
          </wp:inline>
        </w:drawing>
      </w:r>
    </w:p>
    <w:p>
      <w:pPr>
        <w:spacing w:after="200" w:before="200"/>
        <w:jc w:val="center"/>
      </w:pPr>
      <w:r>
        <w:rPr>
          <w:color w:val="0D0D0F"/>
          <w:sz w:val="96"/>
          <w:szCs w:val="96"/>
        </w:rPr>
        <w:t xml:space="preserve">Qualivio</w:t>
      </w:r>
    </w:p>
    <w:p>
      <w:pPr>
        <w:spacing w:after="400" w:before="100"/>
        <w:jc w:val="center"/>
      </w:pPr>
      <w:r>
        <w:rPr>
          <w:b/>
          <w:bCs/>
          <w:color w:val="F7B731"/>
          <w:spacing w:val="60"/>
          <w:sz w:val="20"/>
          <w:szCs w:val="20"/>
        </w:rPr>
        <w:t xml:space="preserve">PHARMACOVIGILANCE · QUALITY ASSURANCE | LIFE SCIENCES</w:t>
      </w:r>
    </w:p>
    <w:p>
      <w:pPr>
        <w:spacing w:after="100" w:before="800"/>
        <w:jc w:val="center"/>
      </w:pPr>
      <w:r>
        <w:rPr>
          <w:sz w:val="28"/>
          <w:szCs w:val="28"/>
        </w:rPr>
        <w:t xml:space="preserve">Brand Guidelines &amp; Identity System</w:t>
      </w:r>
    </w:p>
    <w:p>
      <w:pPr>
        <w:spacing w:after="100" w:before="100"/>
        <w:jc w:val="center"/>
      </w:pPr>
      <w:r>
        <w:rPr>
          <w:b/>
          <w:bCs/>
          <w:color w:val="F7B731"/>
          <w:spacing w:val="50"/>
          <w:sz w:val="16"/>
          <w:szCs w:val="16"/>
        </w:rPr>
        <w:t xml:space="preserve">OBSIDIAN EDGE · VERSION 1.2 · 2026</w:t>
      </w:r>
    </w:p>
    <w:p>
      <w:pPr>
        <w:spacing w:before="300"/>
        <w:jc w:val="center"/>
      </w:pPr>
      <w:r>
        <w:rPr>
          <w:color w:val="4ECDC4"/>
          <w:sz w:val="20"/>
          <w:szCs w:val="20"/>
        </w:rPr>
        <w:t xml:space="preserve">www.qualiviopharma.com</w:t>
      </w:r>
    </w:p>
    <w:p>
      <w:r>
        <w:br w:type="page"/>
      </w:r>
    </w:p>
    <w:p>
      <w:pPr>
        <w:spacing w:after="100" w:before="240"/>
      </w:pPr>
      <w:r>
        <w:rPr>
          <w:b/>
          <w:bCs/>
          <w:color w:val="7C6AF7"/>
          <w:spacing w:val="50"/>
          <w:sz w:val="18"/>
          <w:szCs w:val="18"/>
        </w:rPr>
        <w:t xml:space="preserve">01 · BRAND PHILOSOPHY</w:t>
      </w:r>
    </w:p>
    <w:p>
      <w:pPr>
        <w:pStyle w:val="Heading1"/>
      </w:pPr>
      <w:r>
        <w:t xml:space="preserve">Clear thinking for complex regulations.</w:t>
      </w:r>
    </w:p>
    <w:p>
      <w:pPr>
        <w:spacing w:after="200"/>
      </w:pPr>
      <w:r>
        <w:rPr>
          <w:b/>
          <w:bCs/>
          <w:color w:val="7C6AF7"/>
          <w:sz w:val="24"/>
          <w:szCs w:val="24"/>
        </w:rPr>
        <w:t xml:space="preserve">A brand built on trust and precision.</w:t>
      </w:r>
    </w:p>
    <w:p>
      <w:pPr>
        <w:spacing w:after="120"/>
      </w:pPr>
      <w:r>
        <w:t xml:space="preserve">Qualivio makes pharmacovigilance, quality assurance, and life sciences knowledge accessible, modern, and actionable. We combine scientific rigour with clear communication, for professionals and companies who need both depth and clarity.</w:t>
      </w:r>
    </w:p>
    <w:p>
      <w:pPr>
        <w:pBdr>
          <w:bottom w:val="single" w:color="E5E4F0" w:sz="6" w:space="6"/>
        </w:pBdr>
      </w:pPr>
    </w:p>
    <w:p>
      <w:pPr>
        <w:spacing w:after="100" w:before="240"/>
      </w:pPr>
      <w:r>
        <w:rPr>
          <w:b/>
          <w:bCs/>
          <w:color w:val="7C6AF7"/>
          <w:spacing w:val="50"/>
          <w:sz w:val="18"/>
          <w:szCs w:val="18"/>
        </w:rPr>
        <w:t xml:space="preserve">02 · BRAND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4F0" w:sz="4"/>
              <w:left w:val="single" w:color="E5E4F0" w:sz="4"/>
              <w:bottom w:val="single" w:color="E5E4F0" w:sz="4"/>
              <w:right w:val="single" w:color="E5E4F0" w:sz="4"/>
            </w:tcBorders>
            <w:tcMar>
              <w:top w:type="dxa" w:w="120"/>
              <w:left w:type="dxa" w:w="160"/>
              <w:bottom w:type="dxa" w:w="120"/>
              <w:right w:type="dxa" w:w="160"/>
            </w:tcMar>
          </w:tcPr>
          <w:p>
            <w:pPr>
              <w:spacing w:after="60"/>
            </w:pPr>
            <w:r>
              <w:rPr>
                <w:b/>
                <w:bCs/>
                <w:color w:val="7C6AF7"/>
                <w:sz w:val="22"/>
                <w:szCs w:val="22"/>
              </w:rPr>
              <w:t xml:space="preserve">Trustworthy</w:t>
            </w:r>
          </w:p>
          <w:p>
            <w:r>
              <w:rPr>
                <w:sz w:val="20"/>
                <w:szCs w:val="20"/>
              </w:rPr>
              <w:t xml:space="preserve">We earn confidence through accuracy and transparency.</w:t>
            </w:r>
          </w:p>
        </w:tc>
        <w:tc>
          <w:tcPr>
            <w:tcW w:type="dxa" w:w="4680"/>
            <w:tcBorders>
              <w:top w:val="single" w:color="E5E4F0" w:sz="4"/>
              <w:left w:val="single" w:color="E5E4F0" w:sz="4"/>
              <w:bottom w:val="single" w:color="E5E4F0" w:sz="4"/>
              <w:right w:val="single" w:color="E5E4F0" w:sz="4"/>
            </w:tcBorders>
            <w:tcMar>
              <w:top w:type="dxa" w:w="120"/>
              <w:left w:type="dxa" w:w="160"/>
              <w:bottom w:type="dxa" w:w="120"/>
              <w:right w:type="dxa" w:w="160"/>
            </w:tcMar>
          </w:tcPr>
          <w:p>
            <w:pPr>
              <w:spacing w:after="60"/>
            </w:pPr>
            <w:r>
              <w:rPr>
                <w:b/>
                <w:bCs/>
                <w:color w:val="7C6AF7"/>
                <w:sz w:val="22"/>
                <w:szCs w:val="22"/>
              </w:rPr>
              <w:t xml:space="preserve">Modern</w:t>
            </w:r>
          </w:p>
          <w:p>
            <w:r>
              <w:rPr>
                <w:sz w:val="20"/>
                <w:szCs w:val="20"/>
              </w:rPr>
              <w:t xml:space="preserve">A fresh perspective on an established discipline.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4F0" w:sz="4"/>
              <w:left w:val="single" w:color="E5E4F0" w:sz="4"/>
              <w:bottom w:val="single" w:color="E5E4F0" w:sz="4"/>
              <w:right w:val="single" w:color="E5E4F0" w:sz="4"/>
            </w:tcBorders>
            <w:tcMar>
              <w:top w:type="dxa" w:w="120"/>
              <w:left w:type="dxa" w:w="160"/>
              <w:bottom w:type="dxa" w:w="120"/>
              <w:right w:type="dxa" w:w="160"/>
            </w:tcMar>
          </w:tcPr>
          <w:p>
            <w:pPr>
              <w:spacing w:after="60"/>
            </w:pPr>
            <w:r>
              <w:rPr>
                <w:b/>
                <w:bCs/>
                <w:color w:val="7C6AF7"/>
                <w:sz w:val="22"/>
                <w:szCs w:val="22"/>
              </w:rPr>
              <w:t xml:space="preserve">Approachable</w:t>
            </w:r>
          </w:p>
          <w:p>
            <w:r>
              <w:rPr>
                <w:sz w:val="20"/>
                <w:szCs w:val="20"/>
              </w:rPr>
              <w:t xml:space="preserve">Rigour without intimidation.</w:t>
            </w:r>
          </w:p>
        </w:tc>
        <w:tc>
          <w:tcPr>
            <w:tcW w:type="dxa" w:w="4680"/>
            <w:tcBorders>
              <w:top w:val="single" w:color="E5E4F0" w:sz="4"/>
              <w:left w:val="single" w:color="E5E4F0" w:sz="4"/>
              <w:bottom w:val="single" w:color="E5E4F0" w:sz="4"/>
              <w:right w:val="single" w:color="E5E4F0" w:sz="4"/>
            </w:tcBorders>
            <w:tcMar>
              <w:top w:type="dxa" w:w="120"/>
              <w:left w:type="dxa" w:w="160"/>
              <w:bottom w:type="dxa" w:w="120"/>
              <w:right w:type="dxa" w:w="160"/>
            </w:tcMar>
          </w:tcPr>
          <w:p>
            <w:pPr>
              <w:spacing w:after="60"/>
            </w:pPr>
            <w:r>
              <w:rPr>
                <w:b/>
                <w:bCs/>
                <w:color w:val="7C6AF7"/>
                <w:sz w:val="22"/>
                <w:szCs w:val="22"/>
              </w:rPr>
              <w:t xml:space="preserve">Clear</w:t>
            </w:r>
          </w:p>
          <w:p>
            <w:r>
              <w:rPr>
                <w:sz w:val="20"/>
                <w:szCs w:val="20"/>
              </w:rPr>
              <w:t xml:space="preserve">Complex science, explained without unnecessary complexity.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4F0" w:sz="4"/>
              <w:left w:val="single" w:color="E5E4F0" w:sz="4"/>
              <w:bottom w:val="single" w:color="E5E4F0" w:sz="4"/>
              <w:right w:val="single" w:color="E5E4F0" w:sz="4"/>
            </w:tcBorders>
            <w:tcMar>
              <w:top w:type="dxa" w:w="120"/>
              <w:left w:type="dxa" w:w="160"/>
              <w:bottom w:type="dxa" w:w="120"/>
              <w:right w:type="dxa" w:w="160"/>
            </w:tcMar>
          </w:tcPr>
          <w:p>
            <w:pPr>
              <w:spacing w:after="60"/>
            </w:pPr>
            <w:r>
              <w:rPr>
                <w:b/>
                <w:bCs/>
                <w:color w:val="7C6AF7"/>
                <w:sz w:val="22"/>
                <w:szCs w:val="22"/>
              </w:rPr>
              <w:t xml:space="preserve">Expert</w:t>
            </w:r>
          </w:p>
          <w:p>
            <w:r>
              <w:rPr>
                <w:sz w:val="20"/>
                <w:szCs w:val="20"/>
              </w:rPr>
              <w:t xml:space="preserve">Deep domain knowledge, speaking to professionals.</w:t>
            </w:r>
          </w:p>
        </w:tc>
        <w:tc>
          <w:tcPr>
            <w:tcW w:type="dxa" w:w="4680"/>
            <w:tcBorders>
              <w:top w:val="single" w:color="E5E4F0" w:sz="4"/>
              <w:left w:val="single" w:color="E5E4F0" w:sz="4"/>
              <w:bottom w:val="single" w:color="E5E4F0" w:sz="4"/>
              <w:right w:val="single" w:color="E5E4F0" w:sz="4"/>
            </w:tcBorders>
            <w:tcMar>
              <w:top w:type="dxa" w:w="120"/>
              <w:left w:type="dxa" w:w="160"/>
              <w:bottom w:type="dxa" w:w="120"/>
              <w:right w:type="dxa" w:w="160"/>
            </w:tcMar>
          </w:tcPr>
          <w:p>
            <w:pPr>
              <w:spacing w:after="60"/>
            </w:pPr>
            <w:r>
              <w:rPr>
                <w:b/>
                <w:bCs/>
                <w:color w:val="7C6AF7"/>
                <w:sz w:val="22"/>
                <w:szCs w:val="22"/>
              </w:rPr>
              <w:t xml:space="preserve">Precise</w:t>
            </w:r>
          </w:p>
          <w:p>
            <w:r>
              <w:rPr>
                <w:sz w:val="20"/>
                <w:szCs w:val="20"/>
              </w:rPr>
              <w:t xml:space="preserve">Every word and design choice earns its place.</w:t>
            </w:r>
          </w:p>
        </w:tc>
      </w:tr>
    </w:tbl>
    <w:p>
      <w:pPr>
        <w:spacing w:after="80"/>
      </w:pPr>
    </w:p>
    <w:p>
      <w:r>
        <w:br w:type="page"/>
      </w:r>
    </w:p>
    <w:p>
      <w:pPr>
        <w:spacing w:after="100" w:before="240"/>
      </w:pPr>
      <w:r>
        <w:rPr>
          <w:b/>
          <w:bCs/>
          <w:color w:val="7C6AF7"/>
          <w:spacing w:val="50"/>
          <w:sz w:val="18"/>
          <w:szCs w:val="18"/>
        </w:rPr>
        <w:t xml:space="preserve">03 · BRAND VOICE</w:t>
      </w:r>
    </w:p>
    <w:p>
      <w:pPr>
        <w:pStyle w:val="Heading1"/>
      </w:pPr>
      <w:r>
        <w:t xml:space="preserve">The way we communicate.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4F0" w:sz="4"/>
              <w:left w:val="single" w:color="E5E4F0" w:sz="4"/>
              <w:bottom w:val="single" w:color="E5E4F0" w:sz="4"/>
              <w:right w:val="single" w:color="E5E4F0" w:sz="4"/>
            </w:tcBorders>
            <w:shd w:fill="F5F4FF" w:val="clear"/>
            <w:tcMar>
              <w:top w:type="dxa" w:w="100"/>
              <w:left w:type="dxa" w:w="120"/>
              <w:bottom w:type="dxa" w:w="100"/>
              <w:right w:type="dxa" w:w="120"/>
            </w:tcMar>
          </w:tcPr>
          <w:p>
            <w:r>
              <w:rPr>
                <w:b/>
                <w:bCs/>
                <w:color w:val="7C6AF7"/>
                <w:sz w:val="20"/>
                <w:szCs w:val="20"/>
              </w:rPr>
              <w:t xml:space="preserve">We write in</w:t>
            </w:r>
          </w:p>
        </w:tc>
        <w:tc>
          <w:tcPr>
            <w:tcW w:type="dxa" w:w="7160"/>
            <w:tcBorders>
              <w:top w:val="single" w:color="E5E4F0" w:sz="4"/>
              <w:left w:val="single" w:color="E5E4F0" w:sz="4"/>
              <w:bottom w:val="single" w:color="E5E4F0" w:sz="4"/>
              <w:right w:val="single" w:color="E5E4F0" w:sz="4"/>
            </w:tcBorders>
            <w:tcMar>
              <w:top w:type="dxa" w:w="100"/>
              <w:left w:type="dxa" w:w="160"/>
              <w:bottom w:type="dxa" w:w="100"/>
              <w:right w:type="dxa" w:w="160"/>
            </w:tcMar>
          </w:tcPr>
          <w:p>
            <w:r>
              <w:rPr>
                <w:sz w:val="22"/>
                <w:szCs w:val="22"/>
              </w:rPr>
              <w:t xml:space="preserve">plain, confident English, with no unnecessary complexity.</w:t>
            </w:r>
          </w:p>
        </w:tc>
      </w:tr>
      <w:tr>
        <w:tc>
          <w:tcPr>
            <w:tcW w:type="dxa" w:w="2200"/>
            <w:tcBorders>
              <w:top w:val="single" w:color="E5E4F0" w:sz="4"/>
              <w:left w:val="single" w:color="E5E4F0" w:sz="4"/>
              <w:bottom w:val="single" w:color="E5E4F0" w:sz="4"/>
              <w:right w:val="single" w:color="E5E4F0" w:sz="4"/>
            </w:tcBorders>
            <w:shd w:fill="F5F4FF" w:val="clear"/>
            <w:tcMar>
              <w:top w:type="dxa" w:w="100"/>
              <w:left w:type="dxa" w:w="120"/>
              <w:bottom w:type="dxa" w:w="100"/>
              <w:right w:type="dxa" w:w="120"/>
            </w:tcMar>
          </w:tcPr>
          <w:p>
            <w:r>
              <w:rPr>
                <w:b/>
                <w:bCs/>
                <w:color w:val="7C6AF7"/>
                <w:sz w:val="20"/>
                <w:szCs w:val="20"/>
              </w:rPr>
              <w:t xml:space="preserve">We are</w:t>
            </w:r>
          </w:p>
        </w:tc>
        <w:tc>
          <w:tcPr>
            <w:tcW w:type="dxa" w:w="7160"/>
            <w:tcBorders>
              <w:top w:val="single" w:color="E5E4F0" w:sz="4"/>
              <w:left w:val="single" w:color="E5E4F0" w:sz="4"/>
              <w:bottom w:val="single" w:color="E5E4F0" w:sz="4"/>
              <w:right w:val="single" w:color="E5E4F0" w:sz="4"/>
            </w:tcBorders>
            <w:tcMar>
              <w:top w:type="dxa" w:w="100"/>
              <w:left w:type="dxa" w:w="160"/>
              <w:bottom w:type="dxa" w:w="100"/>
              <w:right w:type="dxa" w:w="160"/>
            </w:tcMar>
          </w:tcPr>
          <w:p>
            <w:r>
              <w:rPr>
                <w:sz w:val="22"/>
                <w:szCs w:val="22"/>
              </w:rPr>
              <w:t xml:space="preserve">authoritative but never arrogant.</w:t>
            </w:r>
          </w:p>
        </w:tc>
      </w:tr>
      <w:tr>
        <w:tc>
          <w:tcPr>
            <w:tcW w:type="dxa" w:w="2200"/>
            <w:tcBorders>
              <w:top w:val="single" w:color="E5E4F0" w:sz="4"/>
              <w:left w:val="single" w:color="E5E4F0" w:sz="4"/>
              <w:bottom w:val="single" w:color="E5E4F0" w:sz="4"/>
              <w:right w:val="single" w:color="E5E4F0" w:sz="4"/>
            </w:tcBorders>
            <w:shd w:fill="F5F4FF" w:val="clear"/>
            <w:tcMar>
              <w:top w:type="dxa" w:w="100"/>
              <w:left w:type="dxa" w:w="120"/>
              <w:bottom w:type="dxa" w:w="100"/>
              <w:right w:type="dxa" w:w="120"/>
            </w:tcMar>
          </w:tcPr>
          <w:p>
            <w:r>
              <w:rPr>
                <w:b/>
                <w:bCs/>
                <w:color w:val="7C6AF7"/>
                <w:sz w:val="20"/>
                <w:szCs w:val="20"/>
              </w:rPr>
              <w:t xml:space="preserve">We educate</w:t>
            </w:r>
          </w:p>
        </w:tc>
        <w:tc>
          <w:tcPr>
            <w:tcW w:type="dxa" w:w="7160"/>
            <w:tcBorders>
              <w:top w:val="single" w:color="E5E4F0" w:sz="4"/>
              <w:left w:val="single" w:color="E5E4F0" w:sz="4"/>
              <w:bottom w:val="single" w:color="E5E4F0" w:sz="4"/>
              <w:right w:val="single" w:color="E5E4F0" w:sz="4"/>
            </w:tcBorders>
            <w:tcMar>
              <w:top w:type="dxa" w:w="100"/>
              <w:left w:type="dxa" w:w="160"/>
              <w:bottom w:type="dxa" w:w="100"/>
              <w:right w:type="dxa" w:w="160"/>
            </w:tcMar>
          </w:tcPr>
          <w:p>
            <w:r>
              <w:rPr>
                <w:sz w:val="22"/>
                <w:szCs w:val="22"/>
              </w:rPr>
              <w:t xml:space="preserve">without condescending to our audience.</w:t>
            </w:r>
          </w:p>
        </w:tc>
      </w:tr>
      <w:tr>
        <w:tc>
          <w:tcPr>
            <w:tcW w:type="dxa" w:w="2200"/>
            <w:tcBorders>
              <w:top w:val="single" w:color="E5E4F0" w:sz="4"/>
              <w:left w:val="single" w:color="E5E4F0" w:sz="4"/>
              <w:bottom w:val="single" w:color="E5E4F0" w:sz="4"/>
              <w:right w:val="single" w:color="E5E4F0" w:sz="4"/>
            </w:tcBorders>
            <w:shd w:fill="F5F4FF" w:val="clear"/>
            <w:tcMar>
              <w:top w:type="dxa" w:w="100"/>
              <w:left w:type="dxa" w:w="120"/>
              <w:bottom w:type="dxa" w:w="100"/>
              <w:right w:type="dxa" w:w="120"/>
            </w:tcMar>
          </w:tcPr>
          <w:p>
            <w:r>
              <w:rPr>
                <w:b/>
                <w:bCs/>
                <w:color w:val="7C6AF7"/>
                <w:sz w:val="20"/>
                <w:szCs w:val="20"/>
              </w:rPr>
              <w:t xml:space="preserve">We avoid</w:t>
            </w:r>
          </w:p>
        </w:tc>
        <w:tc>
          <w:tcPr>
            <w:tcW w:type="dxa" w:w="7160"/>
            <w:tcBorders>
              <w:top w:val="single" w:color="E5E4F0" w:sz="4"/>
              <w:left w:val="single" w:color="E5E4F0" w:sz="4"/>
              <w:bottom w:val="single" w:color="E5E4F0" w:sz="4"/>
              <w:right w:val="single" w:color="E5E4F0" w:sz="4"/>
            </w:tcBorders>
            <w:tcMar>
              <w:top w:type="dxa" w:w="100"/>
              <w:left w:type="dxa" w:w="160"/>
              <w:bottom w:type="dxa" w:w="100"/>
              <w:right w:type="dxa" w:w="160"/>
            </w:tcMar>
          </w:tcPr>
          <w:p>
            <w:r>
              <w:rPr>
                <w:sz w:val="22"/>
                <w:szCs w:val="22"/>
              </w:rPr>
              <w:t xml:space="preserve">buzzwords, vague claims, and over-promising.</w:t>
            </w:r>
          </w:p>
        </w:tc>
      </w:tr>
    </w:tbl>
    <w:p>
      <w:pPr>
        <w:spacing w:after="200"/>
      </w:pPr>
    </w:p>
    <w:p>
      <w:pPr>
        <w:spacing w:after="100" w:before="240"/>
      </w:pPr>
      <w:r>
        <w:rPr>
          <w:b/>
          <w:bCs/>
          <w:color w:val="7C6AF7"/>
          <w:spacing w:val="50"/>
          <w:sz w:val="18"/>
          <w:szCs w:val="18"/>
        </w:rPr>
        <w:t xml:space="preserve">03.1 · PRIMARY TAGLINES</w:t>
      </w:r>
    </w:p>
    <w:p>
      <w:pPr>
        <w:pStyle w:val="ListParagraph"/>
        <w:numPr>
          <w:ilvl w:val="0"/>
          <w:numId w:val="2"/>
        </w:numPr>
      </w:pPr>
      <w:r>
        <w:t xml:space="preserve">Pharmacovigilance · Quality Assurance | Life Sciences</w:t>
      </w:r>
    </w:p>
    <w:p>
      <w:pPr>
        <w:pStyle w:val="ListParagraph"/>
        <w:numPr>
          <w:ilvl w:val="0"/>
          <w:numId w:val="2"/>
        </w:numPr>
      </w:pPr>
      <w:r>
        <w:t xml:space="preserve">Clear thinking for complex regulations.</w:t>
      </w:r>
    </w:p>
    <w:p>
      <w:pPr>
        <w:pStyle w:val="ListParagraph"/>
        <w:numPr>
          <w:ilvl w:val="0"/>
          <w:numId w:val="2"/>
        </w:numPr>
      </w:pPr>
      <w:r>
        <w:t xml:space="preserve">Trusted insights, education and consulting.</w:t>
      </w:r>
    </w:p>
    <w:p>
      <w:r>
        <w:br w:type="page"/>
      </w:r>
    </w:p>
    <w:p>
      <w:pPr>
        <w:spacing w:after="100" w:before="240"/>
      </w:pPr>
      <w:r>
        <w:rPr>
          <w:b/>
          <w:bCs/>
          <w:color w:val="7C6AF7"/>
          <w:spacing w:val="50"/>
          <w:sz w:val="18"/>
          <w:szCs w:val="18"/>
        </w:rPr>
        <w:t xml:space="preserve">04 · PRIMARY LOGO</w:t>
      </w:r>
    </w:p>
    <w:p>
      <w:pPr>
        <w:pStyle w:val="Heading1"/>
      </w:pPr>
      <w:r>
        <w:t xml:space="preserve">The Q mark and wordmark lockup.</w:t>
      </w:r>
    </w:p>
    <w:p>
      <w:pPr>
        <w:spacing w:after="120"/>
      </w:pPr>
      <w:r>
        <w:t xml:space="preserve">The Qualivio brand uses two variants of the primary lockup: white on dark for primary applications, and dark on white for reverse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4F0" w:sz="4"/>
              <w:left w:val="single" w:color="E5E4F0" w:sz="4"/>
              <w:bottom w:val="single" w:color="E5E4F0" w:sz="4"/>
              <w:right w:val="single" w:color="E5E4F0" w:sz="4"/>
            </w:tcBorders>
            <w:shd w:fill="0D0D0F" w:val="clear"/>
            <w:tcMar>
              <w:top w:type="dxa" w:w="400"/>
              <w:left w:type="dxa" w:w="400"/>
              <w:bottom w:type="dxa" w:w="400"/>
              <w:right w:type="dxa" w:w="400"/>
            </w:tcMar>
          </w:tcPr>
          <w:p>
            <w:pPr>
              <w:jc w:val="center"/>
            </w:pPr>
            <w:r>
              <w:drawing>
                <wp:inline distT="0" distB="0" distL="0" distR="0">
                  <wp:extent cx="1143000" cy="1143000"/>
                  <wp:effectExtent t="0" r="0" b="0" l="0"/>
                  <wp:docPr id="1" name="image" descr="C:/Users/user/Desktop/QUALIVIO/files 6/qualivio_q_primary_dark_300x300.png" title="Qualivio brand as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jc w:val="center"/>
            </w:pPr>
            <w:r>
              <w:rPr>
                <w:color w:val="E8E6FF"/>
                <w:sz w:val="36"/>
                <w:szCs w:val="36"/>
              </w:rPr>
              <w:t xml:space="preserve">Qualivio</w:t>
            </w:r>
          </w:p>
        </w:tc>
        <w:tc>
          <w:tcPr>
            <w:tcW w:type="dxa" w:w="4680"/>
            <w:tcBorders>
              <w:top w:val="single" w:color="E5E4F0" w:sz="4"/>
              <w:left w:val="single" w:color="E5E4F0" w:sz="4"/>
              <w:bottom w:val="single" w:color="E5E4F0" w:sz="4"/>
              <w:right w:val="single" w:color="E5E4F0" w:sz="4"/>
            </w:tcBorders>
            <w:shd w:fill="FFFFFF" w:val="clear"/>
            <w:tcMar>
              <w:top w:type="dxa" w:w="400"/>
              <w:left w:type="dxa" w:w="400"/>
              <w:bottom w:type="dxa" w:w="400"/>
              <w:right w:type="dxa" w:w="400"/>
            </w:tcMar>
          </w:tcPr>
          <w:p>
            <w:pPr>
              <w:jc w:val="center"/>
            </w:pPr>
            <w:r>
              <w:drawing>
                <wp:inline distT="0" distB="0" distL="0" distR="0">
                  <wp:extent cx="1143000" cy="1143000"/>
                  <wp:effectExtent t="0" r="0" b="0" l="0"/>
                  <wp:docPr id="1" name="image" descr="C:/Users/user/Desktop/QUALIVIO/files 6/qualivio_q_light_reverse_300x300.png" title="Qualivio brand as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0" cy="1143000"/>
                          </a:xfrm>
                          <a:prstGeom prst="rect">
                            <a:avLst/>
                          </a:prstGeom>
                        </pic:spPr>
                      </pic:pic>
                    </a:graphicData>
                  </a:graphic>
                </wp:inline>
              </w:drawing>
            </w:r>
          </w:p>
          <w:p>
            <w:pPr>
              <w:jc w:val="center"/>
            </w:pPr>
            <w:r>
              <w:rPr>
                <w:color w:val="0D0D0F"/>
                <w:sz w:val="36"/>
                <w:szCs w:val="36"/>
              </w:rPr>
              <w:t xml:space="preserve">Qualivio</w:t>
            </w:r>
          </w:p>
        </w:tc>
      </w:tr>
      <w:tr>
        <w:tc>
          <w:tcPr>
            <w:tcW w:type="dxa" w:w="4680"/>
            <w:tcBorders>
              <w:top w:val="single" w:color="E5E4F0" w:sz="4"/>
              <w:left w:val="single" w:color="E5E4F0" w:sz="4"/>
              <w:bottom w:val="single" w:color="E5E4F0" w:sz="4"/>
              <w:right w:val="single" w:color="E5E4F0" w:sz="4"/>
            </w:tcBorders>
            <w:tcMar>
              <w:top w:type="dxa" w:w="100"/>
              <w:left w:type="dxa" w:w="160"/>
              <w:bottom w:type="dxa" w:w="100"/>
              <w:right w:type="dxa" w:w="160"/>
            </w:tcMar>
          </w:tcPr>
          <w:p>
            <w:pPr>
              <w:jc w:val="center"/>
            </w:pPr>
            <w:r>
              <w:rPr>
                <w:b/>
                <w:bCs/>
                <w:color w:val="6B6A8F"/>
                <w:spacing w:val="50"/>
                <w:sz w:val="16"/>
                <w:szCs w:val="16"/>
              </w:rPr>
              <w:t xml:space="preserve">PRIMARY · ON DARK BACKGROUND</w:t>
            </w:r>
          </w:p>
        </w:tc>
        <w:tc>
          <w:tcPr>
            <w:tcW w:type="dxa" w:w="4680"/>
            <w:tcBorders>
              <w:top w:val="single" w:color="E5E4F0" w:sz="4"/>
              <w:left w:val="single" w:color="E5E4F0" w:sz="4"/>
              <w:bottom w:val="single" w:color="E5E4F0" w:sz="4"/>
              <w:right w:val="single" w:color="E5E4F0" w:sz="4"/>
            </w:tcBorders>
            <w:tcMar>
              <w:top w:type="dxa" w:w="100"/>
              <w:left w:type="dxa" w:w="160"/>
              <w:bottom w:type="dxa" w:w="100"/>
              <w:right w:type="dxa" w:w="160"/>
            </w:tcMar>
          </w:tcPr>
          <w:p>
            <w:pPr>
              <w:jc w:val="center"/>
            </w:pPr>
            <w:r>
              <w:rPr>
                <w:b/>
                <w:bCs/>
                <w:color w:val="6B6A8F"/>
                <w:spacing w:val="50"/>
                <w:sz w:val="16"/>
                <w:szCs w:val="16"/>
              </w:rPr>
              <w:t xml:space="preserve">REVERSE · ON LIGHT BACKGROUND</w:t>
            </w:r>
          </w:p>
        </w:tc>
      </w:tr>
    </w:tbl>
    <w:p>
      <w:r>
        <w:br w:type="page"/>
      </w:r>
    </w:p>
    <w:p>
      <w:pPr>
        <w:spacing w:after="100" w:before="240"/>
      </w:pPr>
      <w:r>
        <w:rPr>
          <w:b/>
          <w:bCs/>
          <w:color w:val="7C6AF7"/>
          <w:spacing w:val="50"/>
          <w:sz w:val="18"/>
          <w:szCs w:val="18"/>
        </w:rPr>
        <w:t xml:space="preserve">05 · Q MARK TECHNICAL ANATOMY</w:t>
      </w:r>
    </w:p>
    <w:p>
      <w:pPr>
        <w:pStyle w:val="Heading1"/>
      </w:pPr>
      <w:r>
        <w:t xml:space="preserve">Geometry, mathematically defined.</w:t>
      </w:r>
    </w:p>
    <w:p>
      <w:pPr>
        <w:spacing w:after="120"/>
      </w:pPr>
      <w:r>
        <w:t xml:space="preserve">Pure geometric form: perfect circle ring + short diagonal tail at 50.19°. Ring and tail share identical stroke weight (18px). All values are mathematically defined and non-negotiable across applications.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4F0" w:sz="4"/>
              <w:left w:val="single" w:color="E5E4F0" w:sz="4"/>
              <w:bottom w:val="single" w:color="E5E4F0" w:sz="4"/>
              <w:right w:val="single" w:color="E5E4F0" w:sz="4"/>
            </w:tcBorders>
            <w:shd w:fill="F5F4FF" w:val="clear"/>
            <w:tcMar>
              <w:top w:type="dxa" w:w="80"/>
              <w:left w:type="dxa" w:w="160"/>
              <w:bottom w:type="dxa" w:w="80"/>
              <w:right w:type="dxa" w:w="160"/>
            </w:tcMar>
          </w:tcPr>
          <w:p>
            <w:r>
              <w:rPr>
                <w:b/>
                <w:bCs/>
                <w:color w:val="7C6AF7"/>
                <w:sz w:val="18"/>
                <w:szCs w:val="18"/>
              </w:rPr>
              <w:t xml:space="preserve">Element type</w:t>
            </w:r>
          </w:p>
        </w:tc>
        <w:tc>
          <w:tcPr>
            <w:tcW w:type="dxa" w:w="6240"/>
            <w:tcBorders>
              <w:top w:val="single" w:color="E5E4F0" w:sz="4"/>
              <w:left w:val="single" w:color="E5E4F0" w:sz="4"/>
              <w:bottom w:val="single" w:color="E5E4F0" w:sz="4"/>
              <w:right w:val="single" w:color="E5E4F0" w:sz="4"/>
            </w:tcBorders>
            <w:shd w:fill="F5F4FF" w:val="clear"/>
            <w:tcMar>
              <w:top w:type="dxa" w:w="80"/>
              <w:left w:type="dxa" w:w="160"/>
              <w:bottom w:type="dxa" w:w="80"/>
              <w:right w:type="dxa" w:w="160"/>
            </w:tcMar>
          </w:tcPr>
          <w:p>
            <w:r>
              <w:rPr>
                <w:sz w:val="18"/>
                <w:szCs w:val="18"/>
              </w:rPr>
              <w:t xml:space="preserve">Circle (ring), stroke only · Line (tail)</w:t>
            </w:r>
          </w:p>
        </w:tc>
      </w:tr>
      <w:tr>
        <w:tc>
          <w:tcPr>
            <w:tcW w:type="dxa" w:w="3120"/>
            <w:tcBorders>
              <w:top w:val="single" w:color="E5E4F0" w:sz="4"/>
              <w:left w:val="single" w:color="E5E4F0" w:sz="4"/>
              <w:bottom w:val="single" w:color="E5E4F0" w:sz="4"/>
              <w:right w:val="single" w:color="E5E4F0" w:sz="4"/>
            </w:tcBorders>
            <w:tcMar>
              <w:top w:type="dxa" w:w="80"/>
              <w:left w:type="dxa" w:w="160"/>
              <w:bottom w:type="dxa" w:w="80"/>
              <w:right w:type="dxa" w:w="160"/>
            </w:tcMar>
          </w:tcPr>
          <w:p>
            <w:r>
              <w:rPr>
                <w:b/>
                <w:bCs/>
                <w:color w:val="7C6AF7"/>
                <w:sz w:val="18"/>
                <w:szCs w:val="18"/>
              </w:rPr>
              <w:t xml:space="preserve">Ring centre</w:t>
            </w:r>
          </w:p>
        </w:tc>
        <w:tc>
          <w:tcPr>
            <w:tcW w:type="dxa" w:w="6240"/>
            <w:tcBorders>
              <w:top w:val="single" w:color="E5E4F0" w:sz="4"/>
              <w:left w:val="single" w:color="E5E4F0" w:sz="4"/>
              <w:bottom w:val="single" w:color="E5E4F0" w:sz="4"/>
              <w:right w:val="single" w:color="E5E4F0" w:sz="4"/>
            </w:tcBorders>
            <w:tcMar>
              <w:top w:type="dxa" w:w="80"/>
              <w:left w:type="dxa" w:w="160"/>
              <w:bottom w:type="dxa" w:w="80"/>
              <w:right w:type="dxa" w:w="160"/>
            </w:tcMar>
          </w:tcPr>
          <w:p>
            <w:r>
              <w:rPr>
                <w:sz w:val="18"/>
                <w:szCs w:val="18"/>
              </w:rPr>
              <w:t xml:space="preserve">(140, 135) on 300×300 canvas</w:t>
            </w:r>
          </w:p>
        </w:tc>
      </w:tr>
      <w:tr>
        <w:tc>
          <w:tcPr>
            <w:tcW w:type="dxa" w:w="3120"/>
            <w:tcBorders>
              <w:top w:val="single" w:color="E5E4F0" w:sz="4"/>
              <w:left w:val="single" w:color="E5E4F0" w:sz="4"/>
              <w:bottom w:val="single" w:color="E5E4F0" w:sz="4"/>
              <w:right w:val="single" w:color="E5E4F0" w:sz="4"/>
            </w:tcBorders>
            <w:shd w:fill="F5F4FF" w:val="clear"/>
            <w:tcMar>
              <w:top w:type="dxa" w:w="80"/>
              <w:left w:type="dxa" w:w="160"/>
              <w:bottom w:type="dxa" w:w="80"/>
              <w:right w:type="dxa" w:w="160"/>
            </w:tcMar>
          </w:tcPr>
          <w:p>
            <w:r>
              <w:rPr>
                <w:b/>
                <w:bCs/>
                <w:color w:val="7C6AF7"/>
                <w:sz w:val="18"/>
                <w:szCs w:val="18"/>
              </w:rPr>
              <w:t xml:space="preserve">Ring radius</w:t>
            </w:r>
          </w:p>
        </w:tc>
        <w:tc>
          <w:tcPr>
            <w:tcW w:type="dxa" w:w="6240"/>
            <w:tcBorders>
              <w:top w:val="single" w:color="E5E4F0" w:sz="4"/>
              <w:left w:val="single" w:color="E5E4F0" w:sz="4"/>
              <w:bottom w:val="single" w:color="E5E4F0" w:sz="4"/>
              <w:right w:val="single" w:color="E5E4F0" w:sz="4"/>
            </w:tcBorders>
            <w:shd w:fill="F5F4FF" w:val="clear"/>
            <w:tcMar>
              <w:top w:type="dxa" w:w="80"/>
              <w:left w:type="dxa" w:w="160"/>
              <w:bottom w:type="dxa" w:w="80"/>
              <w:right w:type="dxa" w:w="160"/>
            </w:tcMar>
          </w:tcPr>
          <w:p>
            <w:r>
              <w:rPr>
                <w:sz w:val="18"/>
                <w:szCs w:val="18"/>
              </w:rPr>
              <w:t xml:space="preserve">65 px</w:t>
            </w:r>
          </w:p>
        </w:tc>
      </w:tr>
      <w:tr>
        <w:tc>
          <w:tcPr>
            <w:tcW w:type="dxa" w:w="3120"/>
            <w:tcBorders>
              <w:top w:val="single" w:color="E5E4F0" w:sz="4"/>
              <w:left w:val="single" w:color="E5E4F0" w:sz="4"/>
              <w:bottom w:val="single" w:color="E5E4F0" w:sz="4"/>
              <w:right w:val="single" w:color="E5E4F0" w:sz="4"/>
            </w:tcBorders>
            <w:tcMar>
              <w:top w:type="dxa" w:w="80"/>
              <w:left w:type="dxa" w:w="160"/>
              <w:bottom w:type="dxa" w:w="80"/>
              <w:right w:type="dxa" w:w="160"/>
            </w:tcMar>
          </w:tcPr>
          <w:p>
            <w:r>
              <w:rPr>
                <w:b/>
                <w:bCs/>
                <w:color w:val="7C6AF7"/>
                <w:sz w:val="18"/>
                <w:szCs w:val="18"/>
              </w:rPr>
              <w:t xml:space="preserve">Stroke width</w:t>
            </w:r>
          </w:p>
        </w:tc>
        <w:tc>
          <w:tcPr>
            <w:tcW w:type="dxa" w:w="6240"/>
            <w:tcBorders>
              <w:top w:val="single" w:color="E5E4F0" w:sz="4"/>
              <w:left w:val="single" w:color="E5E4F0" w:sz="4"/>
              <w:bottom w:val="single" w:color="E5E4F0" w:sz="4"/>
              <w:right w:val="single" w:color="E5E4F0" w:sz="4"/>
            </w:tcBorders>
            <w:tcMar>
              <w:top w:type="dxa" w:w="80"/>
              <w:left w:type="dxa" w:w="160"/>
              <w:bottom w:type="dxa" w:w="80"/>
              <w:right w:type="dxa" w:w="160"/>
            </w:tcMar>
          </w:tcPr>
          <w:p>
            <w:r>
              <w:rPr>
                <w:sz w:val="18"/>
                <w:szCs w:val="18"/>
              </w:rPr>
              <w:t xml:space="preserve">18 px (identical for ring and tail)</w:t>
            </w:r>
          </w:p>
        </w:tc>
      </w:tr>
      <w:tr>
        <w:tc>
          <w:tcPr>
            <w:tcW w:type="dxa" w:w="3120"/>
            <w:tcBorders>
              <w:top w:val="single" w:color="E5E4F0" w:sz="4"/>
              <w:left w:val="single" w:color="E5E4F0" w:sz="4"/>
              <w:bottom w:val="single" w:color="E5E4F0" w:sz="4"/>
              <w:right w:val="single" w:color="E5E4F0" w:sz="4"/>
            </w:tcBorders>
            <w:shd w:fill="F5F4FF" w:val="clear"/>
            <w:tcMar>
              <w:top w:type="dxa" w:w="80"/>
              <w:left w:type="dxa" w:w="160"/>
              <w:bottom w:type="dxa" w:w="80"/>
              <w:right w:type="dxa" w:w="160"/>
            </w:tcMar>
          </w:tcPr>
          <w:p>
            <w:r>
              <w:rPr>
                <w:b/>
                <w:bCs/>
                <w:color w:val="7C6AF7"/>
                <w:sz w:val="18"/>
                <w:szCs w:val="18"/>
              </w:rPr>
              <w:t xml:space="preserve">Stroke linecap</w:t>
            </w:r>
          </w:p>
        </w:tc>
        <w:tc>
          <w:tcPr>
            <w:tcW w:type="dxa" w:w="6240"/>
            <w:tcBorders>
              <w:top w:val="single" w:color="E5E4F0" w:sz="4"/>
              <w:left w:val="single" w:color="E5E4F0" w:sz="4"/>
              <w:bottom w:val="single" w:color="E5E4F0" w:sz="4"/>
              <w:right w:val="single" w:color="E5E4F0" w:sz="4"/>
            </w:tcBorders>
            <w:shd w:fill="F5F4FF" w:val="clear"/>
            <w:tcMar>
              <w:top w:type="dxa" w:w="80"/>
              <w:left w:type="dxa" w:w="160"/>
              <w:bottom w:type="dxa" w:w="80"/>
              <w:right w:type="dxa" w:w="160"/>
            </w:tcMar>
          </w:tcPr>
          <w:p>
            <w:r>
              <w:rPr>
                <w:sz w:val="18"/>
                <w:szCs w:val="18"/>
              </w:rPr>
              <w:t xml:space="preserve">round</w:t>
            </w:r>
          </w:p>
        </w:tc>
      </w:tr>
      <w:tr>
        <w:tc>
          <w:tcPr>
            <w:tcW w:type="dxa" w:w="3120"/>
            <w:tcBorders>
              <w:top w:val="single" w:color="E5E4F0" w:sz="4"/>
              <w:left w:val="single" w:color="E5E4F0" w:sz="4"/>
              <w:bottom w:val="single" w:color="E5E4F0" w:sz="4"/>
              <w:right w:val="single" w:color="E5E4F0" w:sz="4"/>
            </w:tcBorders>
            <w:tcMar>
              <w:top w:type="dxa" w:w="80"/>
              <w:left w:type="dxa" w:w="160"/>
              <w:bottom w:type="dxa" w:w="80"/>
              <w:right w:type="dxa" w:w="160"/>
            </w:tcMar>
          </w:tcPr>
          <w:p>
            <w:r>
              <w:rPr>
                <w:b/>
                <w:bCs/>
                <w:color w:val="7C6AF7"/>
                <w:sz w:val="18"/>
                <w:szCs w:val="18"/>
              </w:rPr>
              <w:t xml:space="preserve">Fill</w:t>
            </w:r>
          </w:p>
        </w:tc>
        <w:tc>
          <w:tcPr>
            <w:tcW w:type="dxa" w:w="6240"/>
            <w:tcBorders>
              <w:top w:val="single" w:color="E5E4F0" w:sz="4"/>
              <w:left w:val="single" w:color="E5E4F0" w:sz="4"/>
              <w:bottom w:val="single" w:color="E5E4F0" w:sz="4"/>
              <w:right w:val="single" w:color="E5E4F0" w:sz="4"/>
            </w:tcBorders>
            <w:tcMar>
              <w:top w:type="dxa" w:w="80"/>
              <w:left w:type="dxa" w:w="160"/>
              <w:bottom w:type="dxa" w:w="80"/>
              <w:right w:type="dxa" w:w="160"/>
            </w:tcMar>
          </w:tcPr>
          <w:p>
            <w:r>
              <w:rPr>
                <w:sz w:val="18"/>
                <w:szCs w:val="18"/>
              </w:rPr>
              <w:t xml:space="preserve">none</w:t>
            </w:r>
          </w:p>
        </w:tc>
      </w:tr>
      <w:tr>
        <w:tc>
          <w:tcPr>
            <w:tcW w:type="dxa" w:w="3120"/>
            <w:tcBorders>
              <w:top w:val="single" w:color="E5E4F0" w:sz="4"/>
              <w:left w:val="single" w:color="E5E4F0" w:sz="4"/>
              <w:bottom w:val="single" w:color="E5E4F0" w:sz="4"/>
              <w:right w:val="single" w:color="E5E4F0" w:sz="4"/>
            </w:tcBorders>
            <w:shd w:fill="F5F4FF" w:val="clear"/>
            <w:tcMar>
              <w:top w:type="dxa" w:w="80"/>
              <w:left w:type="dxa" w:w="160"/>
              <w:bottom w:type="dxa" w:w="80"/>
              <w:right w:type="dxa" w:w="160"/>
            </w:tcMar>
          </w:tcPr>
          <w:p>
            <w:r>
              <w:rPr>
                <w:b/>
                <w:bCs/>
                <w:color w:val="7C6AF7"/>
                <w:sz w:val="18"/>
                <w:szCs w:val="18"/>
              </w:rPr>
              <w:t xml:space="preserve">Tail start</w:t>
            </w:r>
          </w:p>
        </w:tc>
        <w:tc>
          <w:tcPr>
            <w:tcW w:type="dxa" w:w="6240"/>
            <w:tcBorders>
              <w:top w:val="single" w:color="E5E4F0" w:sz="4"/>
              <w:left w:val="single" w:color="E5E4F0" w:sz="4"/>
              <w:bottom w:val="single" w:color="E5E4F0" w:sz="4"/>
              <w:right w:val="single" w:color="E5E4F0" w:sz="4"/>
            </w:tcBorders>
            <w:shd w:fill="F5F4FF" w:val="clear"/>
            <w:tcMar>
              <w:top w:type="dxa" w:w="80"/>
              <w:left w:type="dxa" w:w="160"/>
              <w:bottom w:type="dxa" w:w="80"/>
              <w:right w:type="dxa" w:w="160"/>
            </w:tcMar>
          </w:tcPr>
          <w:p>
            <w:r>
              <w:rPr>
                <w:sz w:val="18"/>
                <w:szCs w:val="18"/>
              </w:rPr>
              <w:t xml:space="preserve">(190, 180)</w:t>
            </w:r>
          </w:p>
        </w:tc>
      </w:tr>
      <w:tr>
        <w:tc>
          <w:tcPr>
            <w:tcW w:type="dxa" w:w="3120"/>
            <w:tcBorders>
              <w:top w:val="single" w:color="E5E4F0" w:sz="4"/>
              <w:left w:val="single" w:color="E5E4F0" w:sz="4"/>
              <w:bottom w:val="single" w:color="E5E4F0" w:sz="4"/>
              <w:right w:val="single" w:color="E5E4F0" w:sz="4"/>
            </w:tcBorders>
            <w:tcMar>
              <w:top w:type="dxa" w:w="80"/>
              <w:left w:type="dxa" w:w="160"/>
              <w:bottom w:type="dxa" w:w="80"/>
              <w:right w:type="dxa" w:w="160"/>
            </w:tcMar>
          </w:tcPr>
          <w:p>
            <w:r>
              <w:rPr>
                <w:b/>
                <w:bCs/>
                <w:color w:val="7C6AF7"/>
                <w:sz w:val="18"/>
                <w:szCs w:val="18"/>
              </w:rPr>
              <w:t xml:space="preserve">Tail end</w:t>
            </w:r>
          </w:p>
        </w:tc>
        <w:tc>
          <w:tcPr>
            <w:tcW w:type="dxa" w:w="6240"/>
            <w:tcBorders>
              <w:top w:val="single" w:color="E5E4F0" w:sz="4"/>
              <w:left w:val="single" w:color="E5E4F0" w:sz="4"/>
              <w:bottom w:val="single" w:color="E5E4F0" w:sz="4"/>
              <w:right w:val="single" w:color="E5E4F0" w:sz="4"/>
            </w:tcBorders>
            <w:tcMar>
              <w:top w:type="dxa" w:w="80"/>
              <w:left w:type="dxa" w:w="160"/>
              <w:bottom w:type="dxa" w:w="80"/>
              <w:right w:type="dxa" w:w="160"/>
            </w:tcMar>
          </w:tcPr>
          <w:p>
            <w:r>
              <w:rPr>
                <w:sz w:val="18"/>
                <w:szCs w:val="18"/>
              </w:rPr>
              <w:t xml:space="preserve">(210, 204)</w:t>
            </w:r>
          </w:p>
        </w:tc>
      </w:tr>
      <w:tr>
        <w:tc>
          <w:tcPr>
            <w:tcW w:type="dxa" w:w="3120"/>
            <w:tcBorders>
              <w:top w:val="single" w:color="E5E4F0" w:sz="4"/>
              <w:left w:val="single" w:color="E5E4F0" w:sz="4"/>
              <w:bottom w:val="single" w:color="E5E4F0" w:sz="4"/>
              <w:right w:val="single" w:color="E5E4F0" w:sz="4"/>
            </w:tcBorders>
            <w:shd w:fill="F5F4FF" w:val="clear"/>
            <w:tcMar>
              <w:top w:type="dxa" w:w="80"/>
              <w:left w:type="dxa" w:w="160"/>
              <w:bottom w:type="dxa" w:w="80"/>
              <w:right w:type="dxa" w:w="160"/>
            </w:tcMar>
          </w:tcPr>
          <w:p>
            <w:r>
              <w:rPr>
                <w:b/>
                <w:bCs/>
                <w:color w:val="7C6AF7"/>
                <w:sz w:val="18"/>
                <w:szCs w:val="18"/>
              </w:rPr>
              <w:t xml:space="preserve">Tail angle from horizontal</w:t>
            </w:r>
          </w:p>
        </w:tc>
        <w:tc>
          <w:tcPr>
            <w:tcW w:type="dxa" w:w="6240"/>
            <w:tcBorders>
              <w:top w:val="single" w:color="E5E4F0" w:sz="4"/>
              <w:left w:val="single" w:color="E5E4F0" w:sz="4"/>
              <w:bottom w:val="single" w:color="E5E4F0" w:sz="4"/>
              <w:right w:val="single" w:color="E5E4F0" w:sz="4"/>
            </w:tcBorders>
            <w:shd w:fill="F5F4FF" w:val="clear"/>
            <w:tcMar>
              <w:top w:type="dxa" w:w="80"/>
              <w:left w:type="dxa" w:w="160"/>
              <w:bottom w:type="dxa" w:w="80"/>
              <w:right w:type="dxa" w:w="160"/>
            </w:tcMar>
          </w:tcPr>
          <w:p>
            <w:r>
              <w:rPr>
                <w:sz w:val="18"/>
                <w:szCs w:val="18"/>
              </w:rPr>
              <w:t xml:space="preserve">50.19°</w:t>
            </w:r>
          </w:p>
        </w:tc>
      </w:tr>
      <w:tr>
        <w:tc>
          <w:tcPr>
            <w:tcW w:type="dxa" w:w="3120"/>
            <w:tcBorders>
              <w:top w:val="single" w:color="E5E4F0" w:sz="4"/>
              <w:left w:val="single" w:color="E5E4F0" w:sz="4"/>
              <w:bottom w:val="single" w:color="E5E4F0" w:sz="4"/>
              <w:right w:val="single" w:color="E5E4F0" w:sz="4"/>
            </w:tcBorders>
            <w:tcMar>
              <w:top w:type="dxa" w:w="80"/>
              <w:left w:type="dxa" w:w="160"/>
              <w:bottom w:type="dxa" w:w="80"/>
              <w:right w:type="dxa" w:w="160"/>
            </w:tcMar>
          </w:tcPr>
          <w:p>
            <w:r>
              <w:rPr>
                <w:b/>
                <w:bCs/>
                <w:color w:val="7C6AF7"/>
                <w:sz w:val="18"/>
                <w:szCs w:val="18"/>
              </w:rPr>
              <w:t xml:space="preserve">Tail visual length</w:t>
            </w:r>
          </w:p>
        </w:tc>
        <w:tc>
          <w:tcPr>
            <w:tcW w:type="dxa" w:w="6240"/>
            <w:tcBorders>
              <w:top w:val="single" w:color="E5E4F0" w:sz="4"/>
              <w:left w:val="single" w:color="E5E4F0" w:sz="4"/>
              <w:bottom w:val="single" w:color="E5E4F0" w:sz="4"/>
              <w:right w:val="single" w:color="E5E4F0" w:sz="4"/>
            </w:tcBorders>
            <w:tcMar>
              <w:top w:type="dxa" w:w="80"/>
              <w:left w:type="dxa" w:w="160"/>
              <w:bottom w:type="dxa" w:w="80"/>
              <w:right w:type="dxa" w:w="160"/>
            </w:tcMar>
          </w:tcPr>
          <w:p>
            <w:r>
              <w:rPr>
                <w:sz w:val="18"/>
                <w:szCs w:val="18"/>
              </w:rPr>
              <w:t xml:space="preserve">49.24 px (with round linecap caps)</w:t>
            </w:r>
          </w:p>
        </w:tc>
      </w:tr>
      <w:tr>
        <w:tc>
          <w:tcPr>
            <w:tcW w:type="dxa" w:w="3120"/>
            <w:tcBorders>
              <w:top w:val="single" w:color="E5E4F0" w:sz="4"/>
              <w:left w:val="single" w:color="E5E4F0" w:sz="4"/>
              <w:bottom w:val="single" w:color="E5E4F0" w:sz="4"/>
              <w:right w:val="single" w:color="E5E4F0" w:sz="4"/>
            </w:tcBorders>
            <w:shd w:fill="F5F4FF" w:val="clear"/>
            <w:tcMar>
              <w:top w:type="dxa" w:w="80"/>
              <w:left w:type="dxa" w:w="160"/>
              <w:bottom w:type="dxa" w:w="80"/>
              <w:right w:type="dxa" w:w="160"/>
            </w:tcMar>
          </w:tcPr>
          <w:p>
            <w:r>
              <w:rPr>
                <w:b/>
                <w:bCs/>
                <w:color w:val="7C6AF7"/>
                <w:sz w:val="18"/>
                <w:szCs w:val="18"/>
              </w:rPr>
              <w:t xml:space="preserve">Ring-to-tail stroke ratio</w:t>
            </w:r>
          </w:p>
        </w:tc>
        <w:tc>
          <w:tcPr>
            <w:tcW w:type="dxa" w:w="6240"/>
            <w:tcBorders>
              <w:top w:val="single" w:color="E5E4F0" w:sz="4"/>
              <w:left w:val="single" w:color="E5E4F0" w:sz="4"/>
              <w:bottom w:val="single" w:color="E5E4F0" w:sz="4"/>
              <w:right w:val="single" w:color="E5E4F0" w:sz="4"/>
            </w:tcBorders>
            <w:shd w:fill="F5F4FF" w:val="clear"/>
            <w:tcMar>
              <w:top w:type="dxa" w:w="80"/>
              <w:left w:type="dxa" w:w="160"/>
              <w:bottom w:type="dxa" w:w="80"/>
              <w:right w:type="dxa" w:w="160"/>
            </w:tcMar>
          </w:tcPr>
          <w:p>
            <w:r>
              <w:rPr>
                <w:sz w:val="18"/>
                <w:szCs w:val="18"/>
              </w:rPr>
              <w:t xml:space="preserve">1 : 1 (identical)</w:t>
            </w:r>
          </w:p>
        </w:tc>
      </w:tr>
    </w:tbl>
    <w:p>
      <w:pPr>
        <w:spacing w:after="240"/>
      </w:pPr>
    </w:p>
    <w:p>
      <w:pPr>
        <w:spacing w:after="100" w:before="240"/>
      </w:pPr>
      <w:r>
        <w:rPr>
          <w:b/>
          <w:bCs/>
          <w:color w:val="7C6AF7"/>
          <w:spacing w:val="50"/>
          <w:sz w:val="18"/>
          <w:szCs w:val="18"/>
        </w:rPr>
        <w:t xml:space="preserve">05.1 · REFERENCE SVG</w:t>
      </w:r>
    </w:p>
    <w:p>
      <w:pPr>
        <w:spacing w:after="0"/>
      </w:pPr>
      <w:r>
        <w:rPr>
          <w:rFonts w:ascii="Consolas" w:cs="Consolas" w:eastAsia="Consolas" w:hAnsi="Consolas"/>
          <w:color w:val="0D0D0F"/>
          <w:sz w:val="18"/>
          <w:szCs w:val="18"/>
        </w:rPr>
        <w:t xml:space="preserve">&lt;svg viewBox="0 0 300 300" xmlns="http://www.w3.org/2000/svg"&gt;</w:t>
      </w:r>
    </w:p>
    <w:p>
      <w:pPr>
        <w:spacing w:after="0"/>
      </w:pPr>
      <w:r>
        <w:rPr>
          <w:rFonts w:ascii="Consolas" w:cs="Consolas" w:eastAsia="Consolas" w:hAnsi="Consolas"/>
          <w:color w:val="0D0D0F"/>
          <w:sz w:val="18"/>
          <w:szCs w:val="18"/>
        </w:rPr>
        <w:t xml:space="preserve">  &lt;circle cx="140" cy="135" r="65" fill="none"</w:t>
      </w:r>
    </w:p>
    <w:p>
      <w:pPr>
        <w:spacing w:after="0"/>
      </w:pPr>
      <w:r>
        <w:rPr>
          <w:rFonts w:ascii="Consolas" w:cs="Consolas" w:eastAsia="Consolas" w:hAnsi="Consolas"/>
          <w:color w:val="0D0D0F"/>
          <w:sz w:val="18"/>
          <w:szCs w:val="18"/>
        </w:rPr>
        <w:t xml:space="preserve">    stroke="#FFFFFF" stroke-width="18" stroke-linecap="round"/&gt;</w:t>
      </w:r>
    </w:p>
    <w:p>
      <w:pPr>
        <w:spacing w:after="0"/>
      </w:pPr>
      <w:r>
        <w:rPr>
          <w:rFonts w:ascii="Consolas" w:cs="Consolas" w:eastAsia="Consolas" w:hAnsi="Consolas"/>
          <w:color w:val="0D0D0F"/>
          <w:sz w:val="18"/>
          <w:szCs w:val="18"/>
        </w:rPr>
        <w:t xml:space="preserve">  &lt;line x1="190" y1="180" x2="210" y2="204"</w:t>
      </w:r>
    </w:p>
    <w:p>
      <w:pPr>
        <w:spacing w:after="0"/>
      </w:pPr>
      <w:r>
        <w:rPr>
          <w:rFonts w:ascii="Consolas" w:cs="Consolas" w:eastAsia="Consolas" w:hAnsi="Consolas"/>
          <w:color w:val="0D0D0F"/>
          <w:sz w:val="18"/>
          <w:szCs w:val="18"/>
        </w:rPr>
        <w:t xml:space="preserve">    stroke="#FFFFFF" stroke-width="18" stroke-linecap="round"/&gt;</w:t>
      </w:r>
    </w:p>
    <w:p>
      <w:pPr>
        <w:spacing w:after="0"/>
      </w:pPr>
      <w:r>
        <w:rPr>
          <w:rFonts w:ascii="Consolas" w:cs="Consolas" w:eastAsia="Consolas" w:hAnsi="Consolas"/>
          <w:color w:val="0D0D0F"/>
          <w:sz w:val="18"/>
          <w:szCs w:val="18"/>
        </w:rPr>
        <w:t xml:space="preserve">&lt;/svg&gt;</w:t>
      </w:r>
    </w:p>
    <w:p>
      <w:r>
        <w:br w:type="page"/>
      </w:r>
    </w:p>
    <w:p>
      <w:pPr>
        <w:spacing w:after="100" w:before="240"/>
      </w:pPr>
      <w:r>
        <w:rPr>
          <w:b/>
          <w:bCs/>
          <w:color w:val="7C6AF7"/>
          <w:spacing w:val="50"/>
          <w:sz w:val="18"/>
          <w:szCs w:val="18"/>
        </w:rPr>
        <w:t xml:space="preserve">06 · COLOUR VARIANTS</w:t>
      </w:r>
    </w:p>
    <w:p>
      <w:pPr>
        <w:pStyle w:val="Heading1"/>
      </w:pPr>
      <w:r>
        <w:t xml:space="preserve">The Q mark across all approved colour schemes.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4F0" w:sz="4"/>
              <w:left w:val="single" w:color="E5E4F0" w:sz="4"/>
              <w:bottom w:val="single" w:color="E5E4F0" w:sz="4"/>
              <w:right w:val="single" w:color="E5E4F0" w:sz="4"/>
            </w:tcBorders>
            <w:tcMar>
              <w:top w:type="dxa" w:w="200"/>
              <w:left w:type="dxa" w:w="200"/>
              <w:bottom w:type="dxa" w:w="200"/>
              <w:right w:type="dxa" w:w="200"/>
            </w:tcMar>
          </w:tcPr>
          <w:p>
            <w:pPr>
              <w:jc w:val="center"/>
            </w:pPr>
            <w:r>
              <w:drawing>
                <wp:inline distT="0" distB="0" distL="0" distR="0">
                  <wp:extent cx="952500" cy="952500"/>
                  <wp:effectExtent t="0" r="0" b="0" l="0"/>
                  <wp:docPr id="1" name="image" descr="C:/Users/user/Desktop/QUALIVIO/files 6/qualivio_q_primary_dark_300x300.png" title="Qualivio brand as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spacing w:before="100"/>
              <w:jc w:val="center"/>
            </w:pPr>
            <w:r>
              <w:rPr>
                <w:b/>
                <w:bCs/>
                <w:color w:val="0D0D0F"/>
                <w:spacing w:val="40"/>
                <w:sz w:val="16"/>
                <w:szCs w:val="16"/>
              </w:rPr>
              <w:t xml:space="preserve">PRIMARY (DARK)</w:t>
            </w:r>
          </w:p>
          <w:p>
            <w:pPr>
              <w:jc w:val="center"/>
            </w:pPr>
            <w:r>
              <w:rPr>
                <w:color w:val="6B6A8F"/>
                <w:sz w:val="14"/>
                <w:szCs w:val="14"/>
              </w:rPr>
              <w:t xml:space="preserve">#0D0D0F · #FFFFFF</w:t>
            </w:r>
          </w:p>
        </w:tc>
        <w:tc>
          <w:tcPr>
            <w:tcW w:type="dxa" w:w="3120"/>
            <w:tcBorders>
              <w:top w:val="single" w:color="E5E4F0" w:sz="4"/>
              <w:left w:val="single" w:color="E5E4F0" w:sz="4"/>
              <w:bottom w:val="single" w:color="E5E4F0" w:sz="4"/>
              <w:right w:val="single" w:color="E5E4F0" w:sz="4"/>
            </w:tcBorders>
            <w:tcMar>
              <w:top w:type="dxa" w:w="200"/>
              <w:left w:type="dxa" w:w="200"/>
              <w:bottom w:type="dxa" w:w="200"/>
              <w:right w:type="dxa" w:w="200"/>
            </w:tcMar>
          </w:tcPr>
          <w:p>
            <w:pPr>
              <w:jc w:val="center"/>
            </w:pPr>
            <w:r>
              <w:drawing>
                <wp:inline distT="0" distB="0" distL="0" distR="0">
                  <wp:extent cx="952500" cy="952500"/>
                  <wp:effectExtent t="0" r="0" b="0" l="0"/>
                  <wp:docPr id="1" name="image" descr="C:/Users/user/Desktop/QUALIVIO/files 6/qualivio_q_violet_300x300.png" title="Qualivio brand as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52500" cy="952500"/>
                          </a:xfrm>
                          <a:prstGeom prst="rect">
                            <a:avLst/>
                          </a:prstGeom>
                        </pic:spPr>
                      </pic:pic>
                    </a:graphicData>
                  </a:graphic>
                </wp:inline>
              </w:drawing>
            </w:r>
          </w:p>
          <w:p>
            <w:pPr>
              <w:spacing w:before="100"/>
              <w:jc w:val="center"/>
            </w:pPr>
            <w:r>
              <w:rPr>
                <w:b/>
                <w:bCs/>
                <w:color w:val="0D0D0F"/>
                <w:spacing w:val="40"/>
                <w:sz w:val="16"/>
                <w:szCs w:val="16"/>
              </w:rPr>
              <w:t xml:space="preserve">VIOLET</w:t>
            </w:r>
          </w:p>
          <w:p>
            <w:pPr>
              <w:jc w:val="center"/>
            </w:pPr>
            <w:r>
              <w:rPr>
                <w:color w:val="6B6A8F"/>
                <w:sz w:val="14"/>
                <w:szCs w:val="14"/>
              </w:rPr>
              <w:t xml:space="preserve">#7C6AF7 · #FFFFFF</w:t>
            </w:r>
          </w:p>
        </w:tc>
        <w:tc>
          <w:tcPr>
            <w:tcW w:type="dxa" w:w="3120"/>
            <w:tcBorders>
              <w:top w:val="single" w:color="E5E4F0" w:sz="4"/>
              <w:left w:val="single" w:color="E5E4F0" w:sz="4"/>
              <w:bottom w:val="single" w:color="E5E4F0" w:sz="4"/>
              <w:right w:val="single" w:color="E5E4F0" w:sz="4"/>
            </w:tcBorders>
            <w:tcMar>
              <w:top w:type="dxa" w:w="200"/>
              <w:left w:type="dxa" w:w="200"/>
              <w:bottom w:type="dxa" w:w="200"/>
              <w:right w:type="dxa" w:w="200"/>
            </w:tcMar>
          </w:tcPr>
          <w:p>
            <w:pPr>
              <w:jc w:val="center"/>
            </w:pPr>
            <w:r>
              <w:drawing>
                <wp:inline distT="0" distB="0" distL="0" distR="0">
                  <wp:extent cx="952500" cy="952500"/>
                  <wp:effectExtent t="0" r="0" b="0" l="0"/>
                  <wp:docPr id="1" name="image" descr="C:/Users/user/Desktop/QUALIVIO/files 6/qualivio_q_teal_300x300.png" title="Qualivio brand as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52500" cy="952500"/>
                          </a:xfrm>
                          <a:prstGeom prst="rect">
                            <a:avLst/>
                          </a:prstGeom>
                        </pic:spPr>
                      </pic:pic>
                    </a:graphicData>
                  </a:graphic>
                </wp:inline>
              </w:drawing>
            </w:r>
          </w:p>
          <w:p>
            <w:pPr>
              <w:spacing w:before="100"/>
              <w:jc w:val="center"/>
            </w:pPr>
            <w:r>
              <w:rPr>
                <w:b/>
                <w:bCs/>
                <w:color w:val="0D0D0F"/>
                <w:spacing w:val="40"/>
                <w:sz w:val="16"/>
                <w:szCs w:val="16"/>
              </w:rPr>
              <w:t xml:space="preserve">TEAL</w:t>
            </w:r>
          </w:p>
          <w:p>
            <w:pPr>
              <w:jc w:val="center"/>
            </w:pPr>
            <w:r>
              <w:rPr>
                <w:color w:val="6B6A8F"/>
                <w:sz w:val="14"/>
                <w:szCs w:val="14"/>
              </w:rPr>
              <w:t xml:space="preserve">#4ECDC4 · #FFFFFF</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4F0" w:sz="4"/>
              <w:left w:val="single" w:color="E5E4F0" w:sz="4"/>
              <w:bottom w:val="single" w:color="E5E4F0" w:sz="4"/>
              <w:right w:val="single" w:color="E5E4F0" w:sz="4"/>
            </w:tcBorders>
            <w:tcMar>
              <w:top w:type="dxa" w:w="200"/>
              <w:left w:type="dxa" w:w="200"/>
              <w:bottom w:type="dxa" w:w="200"/>
              <w:right w:type="dxa" w:w="200"/>
            </w:tcMar>
          </w:tcPr>
          <w:p>
            <w:pPr>
              <w:jc w:val="center"/>
            </w:pPr>
            <w:r>
              <w:drawing>
                <wp:inline distT="0" distB="0" distL="0" distR="0">
                  <wp:extent cx="952500" cy="952500"/>
                  <wp:effectExtent t="0" r="0" b="0" l="0"/>
                  <wp:docPr id="1" name="image" descr="C:/Users/user/Desktop/QUALIVIO/files 6/qualivio_q_gold_300x300.png" title="Qualivio brand as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52500" cy="952500"/>
                          </a:xfrm>
                          <a:prstGeom prst="rect">
                            <a:avLst/>
                          </a:prstGeom>
                        </pic:spPr>
                      </pic:pic>
                    </a:graphicData>
                  </a:graphic>
                </wp:inline>
              </w:drawing>
            </w:r>
          </w:p>
          <w:p>
            <w:pPr>
              <w:spacing w:before="100"/>
              <w:jc w:val="center"/>
            </w:pPr>
            <w:r>
              <w:rPr>
                <w:b/>
                <w:bCs/>
                <w:color w:val="0D0D0F"/>
                <w:spacing w:val="40"/>
                <w:sz w:val="16"/>
                <w:szCs w:val="16"/>
              </w:rPr>
              <w:t xml:space="preserve">GOLD</w:t>
            </w:r>
          </w:p>
          <w:p>
            <w:pPr>
              <w:jc w:val="center"/>
            </w:pPr>
            <w:r>
              <w:rPr>
                <w:color w:val="6B6A8F"/>
                <w:sz w:val="14"/>
                <w:szCs w:val="14"/>
              </w:rPr>
              <w:t xml:space="preserve">#F7B731 · #FFFFFF</w:t>
            </w:r>
          </w:p>
        </w:tc>
        <w:tc>
          <w:tcPr>
            <w:tcW w:type="dxa" w:w="3120"/>
            <w:tcBorders>
              <w:top w:val="single" w:color="E5E4F0" w:sz="4"/>
              <w:left w:val="single" w:color="E5E4F0" w:sz="4"/>
              <w:bottom w:val="single" w:color="E5E4F0" w:sz="4"/>
              <w:right w:val="single" w:color="E5E4F0" w:sz="4"/>
            </w:tcBorders>
            <w:tcMar>
              <w:top w:type="dxa" w:w="200"/>
              <w:left w:type="dxa" w:w="200"/>
              <w:bottom w:type="dxa" w:w="200"/>
              <w:right w:type="dxa" w:w="200"/>
            </w:tcMar>
          </w:tcPr>
          <w:p>
            <w:pPr>
              <w:jc w:val="center"/>
            </w:pPr>
            <w:r>
              <w:drawing>
                <wp:inline distT="0" distB="0" distL="0" distR="0">
                  <wp:extent cx="952500" cy="952500"/>
                  <wp:effectExtent t="0" r="0" b="0" l="0"/>
                  <wp:docPr id="1" name="image" descr="C:/Users/user/Desktop/QUALIVIO/files 6/qualivio_q_surface_300x300.png" title="Qualivio brand as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52500" cy="952500"/>
                          </a:xfrm>
                          <a:prstGeom prst="rect">
                            <a:avLst/>
                          </a:prstGeom>
                        </pic:spPr>
                      </pic:pic>
                    </a:graphicData>
                  </a:graphic>
                </wp:inline>
              </w:drawing>
            </w:r>
          </w:p>
          <w:p>
            <w:pPr>
              <w:spacing w:before="100"/>
              <w:jc w:val="center"/>
            </w:pPr>
            <w:r>
              <w:rPr>
                <w:b/>
                <w:bCs/>
                <w:color w:val="0D0D0F"/>
                <w:spacing w:val="40"/>
                <w:sz w:val="16"/>
                <w:szCs w:val="16"/>
              </w:rPr>
              <w:t xml:space="preserve">SURFACE</w:t>
            </w:r>
          </w:p>
          <w:p>
            <w:pPr>
              <w:jc w:val="center"/>
            </w:pPr>
            <w:r>
              <w:rPr>
                <w:color w:val="6B6A8F"/>
                <w:sz w:val="14"/>
                <w:szCs w:val="14"/>
              </w:rPr>
              <w:t xml:space="preserve">#1A1A1E · #FFFFFF</w:t>
            </w:r>
          </w:p>
        </w:tc>
        <w:tc>
          <w:tcPr>
            <w:tcW w:type="dxa" w:w="3120"/>
            <w:tcBorders>
              <w:top w:val="single" w:color="E5E4F0" w:sz="4"/>
              <w:left w:val="single" w:color="E5E4F0" w:sz="4"/>
              <w:bottom w:val="single" w:color="E5E4F0" w:sz="4"/>
              <w:right w:val="single" w:color="E5E4F0" w:sz="4"/>
            </w:tcBorders>
            <w:tcMar>
              <w:top w:type="dxa" w:w="200"/>
              <w:left w:type="dxa" w:w="200"/>
              <w:bottom w:type="dxa" w:w="200"/>
              <w:right w:type="dxa" w:w="200"/>
            </w:tcMar>
          </w:tcPr>
          <w:p>
            <w:pPr>
              <w:jc w:val="center"/>
            </w:pPr>
            <w:r>
              <w:drawing>
                <wp:inline distT="0" distB="0" distL="0" distR="0">
                  <wp:extent cx="952500" cy="952500"/>
                  <wp:effectExtent t="0" r="0" b="0" l="0"/>
                  <wp:docPr id="1" name="image" descr="C:/Users/user/Desktop/QUALIVIO/files 6/qualivio_q_light_reverse_300x300.png" title="Qualivio brand as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52500" cy="952500"/>
                          </a:xfrm>
                          <a:prstGeom prst="rect">
                            <a:avLst/>
                          </a:prstGeom>
                        </pic:spPr>
                      </pic:pic>
                    </a:graphicData>
                  </a:graphic>
                </wp:inline>
              </w:drawing>
            </w:r>
          </w:p>
          <w:p>
            <w:pPr>
              <w:spacing w:before="100"/>
              <w:jc w:val="center"/>
            </w:pPr>
            <w:r>
              <w:rPr>
                <w:b/>
                <w:bCs/>
                <w:color w:val="0D0D0F"/>
                <w:spacing w:val="40"/>
                <w:sz w:val="16"/>
                <w:szCs w:val="16"/>
              </w:rPr>
              <w:t xml:space="preserve">LIGHT REVERSE</w:t>
            </w:r>
          </w:p>
          <w:p>
            <w:pPr>
              <w:jc w:val="center"/>
            </w:pPr>
            <w:r>
              <w:rPr>
                <w:color w:val="6B6A8F"/>
                <w:sz w:val="14"/>
                <w:szCs w:val="14"/>
              </w:rPr>
              <w:t xml:space="preserve">#FFFFFF · #0D0D0F</w:t>
            </w:r>
          </w:p>
        </w:tc>
      </w:tr>
    </w:tbl>
    <w:p>
      <w:pPr>
        <w:spacing w:after="100"/>
      </w:pPr>
    </w:p>
    <w:p>
      <w:r>
        <w:br w:type="page"/>
      </w:r>
    </w:p>
    <w:p>
      <w:pPr>
        <w:spacing w:after="100" w:before="240"/>
      </w:pPr>
      <w:r>
        <w:rPr>
          <w:b/>
          <w:bCs/>
          <w:color w:val="7C6AF7"/>
          <w:spacing w:val="50"/>
          <w:sz w:val="18"/>
          <w:szCs w:val="18"/>
        </w:rPr>
        <w:t xml:space="preserve">07 · CLEAR SPACE &amp; USAGE RULES</w:t>
      </w:r>
    </w:p>
    <w:p>
      <w:pPr>
        <w:pStyle w:val="Heading1"/>
      </w:pPr>
      <w:r>
        <w:t xml:space="preserve">How to use the mark, and what to avoid.</w:t>
      </w:r>
    </w:p>
    <w:p>
      <w:pPr>
        <w:spacing w:after="200"/>
      </w:pPr>
    </w:p>
    <w:p>
      <w:pPr>
        <w:spacing w:after="80" w:before="200"/>
      </w:pPr>
      <w:r>
        <w:rPr>
          <w:b/>
          <w:bCs/>
          <w:color w:val="7C6AF7"/>
          <w:spacing w:val="40"/>
          <w:sz w:val="20"/>
          <w:szCs w:val="20"/>
        </w:rPr>
        <w:t xml:space="preserve">SIZING</w:t>
      </w:r>
    </w:p>
    <w:p>
      <w:pPr>
        <w:pStyle w:val="ListParagraph"/>
        <w:numPr>
          <w:ilvl w:val="0"/>
          <w:numId w:val="2"/>
        </w:numPr>
      </w:pPr>
      <w:r>
        <w:t xml:space="preserve">Minimum icon size: 24 × 24 px</w:t>
      </w:r>
    </w:p>
    <w:p>
      <w:pPr>
        <w:pStyle w:val="ListParagraph"/>
        <w:numPr>
          <w:ilvl w:val="0"/>
          <w:numId w:val="2"/>
        </w:numPr>
      </w:pPr>
      <w:r>
        <w:t xml:space="preserve">Minimum full wordmark width: 120 px</w:t>
      </w:r>
    </w:p>
    <w:p>
      <w:pPr>
        <w:pStyle w:val="ListParagraph"/>
        <w:numPr>
          <w:ilvl w:val="0"/>
          <w:numId w:val="2"/>
        </w:numPr>
      </w:pPr>
      <w:r>
        <w:t xml:space="preserve">Recommended social media profile picture: 300 × 300 px</w:t>
      </w:r>
    </w:p>
    <w:p>
      <w:pPr>
        <w:pStyle w:val="ListParagraph"/>
        <w:numPr>
          <w:ilvl w:val="0"/>
          <w:numId w:val="2"/>
        </w:numPr>
      </w:pPr>
      <w:r>
        <w:t xml:space="preserve">Recommended retina (2×) export: 600 × 600 px</w:t>
      </w:r>
    </w:p>
    <w:p>
      <w:pPr>
        <w:spacing w:after="80" w:before="200"/>
      </w:pPr>
      <w:r>
        <w:rPr>
          <w:b/>
          <w:bCs/>
          <w:color w:val="7C6AF7"/>
          <w:spacing w:val="40"/>
          <w:sz w:val="20"/>
          <w:szCs w:val="20"/>
        </w:rPr>
        <w:t xml:space="preserve">CLEAR SPACE</w:t>
      </w:r>
    </w:p>
    <w:p>
      <w:pPr>
        <w:pStyle w:val="ListParagraph"/>
        <w:numPr>
          <w:ilvl w:val="0"/>
          <w:numId w:val="2"/>
        </w:numPr>
      </w:pPr>
      <w:r>
        <w:t xml:space="preserve">Maintain clear space equal to the Q height on all four sides.</w:t>
      </w:r>
    </w:p>
    <w:p>
      <w:pPr>
        <w:pStyle w:val="ListParagraph"/>
        <w:numPr>
          <w:ilvl w:val="0"/>
          <w:numId w:val="2"/>
        </w:numPr>
      </w:pPr>
      <w:r>
        <w:t xml:space="preserve">No content, text, or visual element may enter the clear space zone.</w:t>
      </w:r>
    </w:p>
    <w:p>
      <w:pPr>
        <w:spacing w:after="80" w:before="200"/>
      </w:pPr>
      <w:r>
        <w:rPr>
          <w:b/>
          <w:bCs/>
          <w:color w:val="7C6AF7"/>
          <w:spacing w:val="40"/>
          <w:sz w:val="20"/>
          <w:szCs w:val="20"/>
        </w:rPr>
        <w:t xml:space="preserve">CONSTRUCTION INTEGRITY</w:t>
      </w:r>
    </w:p>
    <w:p>
      <w:pPr>
        <w:pStyle w:val="ListParagraph"/>
        <w:numPr>
          <w:ilvl w:val="0"/>
          <w:numId w:val="2"/>
        </w:numPr>
      </w:pPr>
      <w:r>
        <w:t xml:space="preserve">Ring stroke width and tail stroke width MUST remain identical.</w:t>
      </w:r>
    </w:p>
    <w:p>
      <w:pPr>
        <w:pStyle w:val="ListParagraph"/>
        <w:numPr>
          <w:ilvl w:val="0"/>
          <w:numId w:val="2"/>
        </w:numPr>
      </w:pPr>
      <w:r>
        <w:t xml:space="preserve">Stroke linecap MUST be round on both ring and tail.</w:t>
      </w:r>
    </w:p>
    <w:p>
      <w:pPr>
        <w:pStyle w:val="ListParagraph"/>
        <w:numPr>
          <w:ilvl w:val="0"/>
          <w:numId w:val="2"/>
        </w:numPr>
      </w:pPr>
      <w:r>
        <w:t xml:space="preserve">The Q mark is a single unit — never separate the ring from the tail.</w:t>
      </w:r>
    </w:p>
    <w:p>
      <w:pPr>
        <w:spacing w:after="80" w:before="200"/>
      </w:pPr>
      <w:r>
        <w:rPr>
          <w:b/>
          <w:bCs/>
          <w:color w:val="7C6AF7"/>
          <w:spacing w:val="40"/>
          <w:sz w:val="20"/>
          <w:szCs w:val="20"/>
        </w:rPr>
        <w:t xml:space="preserve">PROHIBITED MODIFICATIONS</w:t>
      </w:r>
    </w:p>
    <w:p>
      <w:pPr>
        <w:pStyle w:val="ListParagraph"/>
        <w:numPr>
          <w:ilvl w:val="0"/>
          <w:numId w:val="2"/>
        </w:numPr>
      </w:pPr>
      <w:r>
        <w:t xml:space="preserve">Never stretch, rotate, skew, or distort the logo.</w:t>
      </w:r>
    </w:p>
    <w:p>
      <w:pPr>
        <w:pStyle w:val="ListParagraph"/>
        <w:numPr>
          <w:ilvl w:val="0"/>
          <w:numId w:val="2"/>
        </w:numPr>
      </w:pPr>
      <w:r>
        <w:t xml:space="preserve">Never apply gradients, drop shadows, glows, or any visual effects.</w:t>
      </w:r>
    </w:p>
    <w:p>
      <w:pPr>
        <w:pStyle w:val="ListParagraph"/>
        <w:numPr>
          <w:ilvl w:val="0"/>
          <w:numId w:val="2"/>
        </w:numPr>
      </w:pPr>
      <w:r>
        <w:t xml:space="preserve">Never use the Q in any colour other than approved variants.</w:t>
      </w:r>
    </w:p>
    <w:p>
      <w:pPr>
        <w:pStyle w:val="ListParagraph"/>
        <w:numPr>
          <w:ilvl w:val="0"/>
          <w:numId w:val="2"/>
        </w:numPr>
      </w:pPr>
      <w:r>
        <w:t xml:space="preserve">Never place on a busy background without sufficient contrast.</w:t>
      </w:r>
    </w:p>
    <w:p>
      <w:pPr>
        <w:pStyle w:val="ListParagraph"/>
        <w:numPr>
          <w:ilvl w:val="0"/>
          <w:numId w:val="2"/>
        </w:numPr>
      </w:pPr>
      <w:r>
        <w:t xml:space="preserve">Never reproduce below minimum size thresholds.</w:t>
      </w:r>
    </w:p>
    <w:p>
      <w:pPr>
        <w:pStyle w:val="ListParagraph"/>
        <w:numPr>
          <w:ilvl w:val="0"/>
          <w:numId w:val="2"/>
        </w:numPr>
      </w:pPr>
      <w:r>
        <w:t xml:space="preserve">Never modify the coordinate values or geometric proportions.</w:t>
      </w:r>
    </w:p>
    <w:p>
      <w:pPr>
        <w:spacing w:after="80" w:before="200"/>
      </w:pPr>
      <w:r>
        <w:rPr>
          <w:b/>
          <w:bCs/>
          <w:color w:val="7C6AF7"/>
          <w:spacing w:val="40"/>
          <w:sz w:val="20"/>
          <w:szCs w:val="20"/>
        </w:rPr>
        <w:t xml:space="preserve">CONTRAST</w:t>
      </w:r>
    </w:p>
    <w:p>
      <w:pPr>
        <w:pStyle w:val="ListParagraph"/>
        <w:numPr>
          <w:ilvl w:val="0"/>
          <w:numId w:val="2"/>
        </w:numPr>
      </w:pPr>
      <w:r>
        <w:t xml:space="preserve">White Q on any dark or saturated approved variant.</w:t>
      </w:r>
    </w:p>
    <w:p>
      <w:pPr>
        <w:pStyle w:val="ListParagraph"/>
        <w:numPr>
          <w:ilvl w:val="0"/>
          <w:numId w:val="2"/>
        </w:numPr>
      </w:pPr>
      <w:r>
        <w:t xml:space="preserve">Dark Q (#0D0D0F) only on white or very light backgrounds.</w:t>
      </w:r>
    </w:p>
    <w:p>
      <w:pPr>
        <w:pStyle w:val="ListParagraph"/>
        <w:numPr>
          <w:ilvl w:val="0"/>
          <w:numId w:val="2"/>
        </w:numPr>
      </w:pPr>
      <w:r>
        <w:t xml:space="preserve">All combinations must maintain WCAG AA contrast minimum (4.5 : 1).</w:t>
      </w:r>
    </w:p>
    <w:p>
      <w:r>
        <w:br w:type="page"/>
      </w:r>
    </w:p>
    <w:p>
      <w:pPr>
        <w:spacing w:after="100" w:before="240"/>
      </w:pPr>
      <w:r>
        <w:rPr>
          <w:b/>
          <w:bCs/>
          <w:color w:val="7C6AF7"/>
          <w:spacing w:val="50"/>
          <w:sz w:val="18"/>
          <w:szCs w:val="18"/>
        </w:rPr>
        <w:t xml:space="preserve">08 · TYPOGRAPHY</w:t>
      </w:r>
    </w:p>
    <w:p>
      <w:pPr>
        <w:pStyle w:val="Heading1"/>
      </w:pPr>
      <w:r>
        <w:t xml:space="preserve">Three typefaces, three roles.</w:t>
      </w:r>
    </w:p>
    <w:p>
      <w:pPr>
        <w:spacing w:after="120"/>
      </w:pPr>
      <w:r>
        <w:t xml:space="preserve">Qualivio uses three typefaces with strict separation. Sora is reserved exclusively for the Qualivio wordmark; Space Grotesk handles every other display surface (headings, eyebrows, card titles); DM Sans carries the body copy and form labels. This keeps the wordmark distinctive across channels.</w:t>
      </w:r>
    </w:p>
    <w:p>
      <w:pPr>
        <w:spacing w:after="200"/>
      </w:pPr>
    </w:p>
    <w:p>
      <w:pPr>
        <w:spacing w:after="100" w:before="240"/>
      </w:pPr>
      <w:r>
        <w:rPr>
          <w:b/>
          <w:bCs/>
          <w:color w:val="7C6AF7"/>
          <w:spacing w:val="50"/>
          <w:sz w:val="18"/>
          <w:szCs w:val="18"/>
        </w:rPr>
        <w:t xml:space="preserve">WORDMARK · SORA MEDIUM 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4F0" w:sz="4"/>
              <w:left w:val="single" w:color="E5E4F0" w:sz="4"/>
              <w:bottom w:val="single" w:color="E5E4F0" w:sz="4"/>
              <w:right w:val="single" w:color="E5E4F0" w:sz="4"/>
            </w:tcBorders>
            <w:tcMar>
              <w:top w:type="dxa" w:w="200"/>
              <w:left w:type="dxa" w:w="200"/>
              <w:bottom w:type="dxa" w:w="200"/>
              <w:right w:type="dxa" w:w="200"/>
            </w:tcMar>
          </w:tcPr>
          <w:p>
            <w:r>
              <w:rPr>
                <w:color w:val="0D0D0F"/>
                <w:sz w:val="80"/>
                <w:szCs w:val="80"/>
              </w:rPr>
              <w:t xml:space="preserve">Qualivio</w:t>
            </w:r>
          </w:p>
        </w:tc>
        <w:tc>
          <w:tcPr>
            <w:tcW w:type="dxa" w:w="4680"/>
            <w:tcBorders>
              <w:top w:val="single" w:color="E5E4F0" w:sz="4"/>
              <w:left w:val="single" w:color="E5E4F0" w:sz="4"/>
              <w:bottom w:val="single" w:color="E5E4F0" w:sz="4"/>
              <w:right w:val="single" w:color="E5E4F0" w:sz="4"/>
            </w:tcBorders>
            <w:tcMar>
              <w:top w:type="dxa" w:w="200"/>
              <w:left w:type="dxa" w:w="200"/>
              <w:bottom w:type="dxa" w:w="200"/>
              <w:right w:type="dxa" w:w="200"/>
            </w:tcMar>
          </w:tcPr>
          <w:p>
            <w:pPr>
              <w:spacing w:after="80"/>
            </w:pPr>
            <w:r>
              <w:rPr>
                <w:b/>
                <w:bCs/>
                <w:color w:val="7C6AF7"/>
                <w:sz w:val="20"/>
                <w:szCs w:val="20"/>
              </w:rPr>
              <w:t xml:space="preserve">Used only for the brand wordmark.</w:t>
            </w:r>
          </w:p>
          <w:p>
            <w:r>
              <w:rPr>
                <w:sz w:val="18"/>
                <w:szCs w:val="18"/>
              </w:rPr>
              <w:t xml:space="preserve">Website Header &amp; Footer, /intro MP4, LinkedIn banner, printed materials.</w:t>
            </w:r>
          </w:p>
        </w:tc>
      </w:tr>
    </w:tbl>
    <w:p>
      <w:pPr>
        <w:spacing w:after="240"/>
      </w:pPr>
    </w:p>
    <w:p>
      <w:pPr>
        <w:spacing w:after="100" w:before="240"/>
      </w:pPr>
      <w:r>
        <w:rPr>
          <w:b/>
          <w:bCs/>
          <w:color w:val="7C6AF7"/>
          <w:spacing w:val="50"/>
          <w:sz w:val="18"/>
          <w:szCs w:val="18"/>
        </w:rPr>
        <w:t xml:space="preserve">DISPLAY · SPACE GROTESK</w:t>
      </w:r>
    </w:p>
    <w:p>
      <w:pPr>
        <w:spacing w:after="100"/>
      </w:pPr>
      <w:r>
        <w:rPr>
          <w:b/>
          <w:bCs/>
          <w:color w:val="0D0D0F"/>
          <w:sz w:val="32"/>
          <w:szCs w:val="32"/>
        </w:rPr>
        <w:t xml:space="preserve">Clear thinking for complex regulations.</w:t>
      </w:r>
    </w:p>
    <w:p>
      <w:pPr>
        <w:spacing w:after="120"/>
      </w:pPr>
      <w:r>
        <w:t xml:space="preserve">Used for H1–H6, section eyebrows, card titles, and any heading-level display element. Weights 400 / 500 / 700.</w:t>
      </w:r>
    </w:p>
    <w:p>
      <w:pPr>
        <w:spacing w:after="240"/>
      </w:pPr>
    </w:p>
    <w:p>
      <w:pPr>
        <w:spacing w:after="100" w:before="240"/>
      </w:pPr>
      <w:r>
        <w:rPr>
          <w:b/>
          <w:bCs/>
          <w:color w:val="7C6AF7"/>
          <w:spacing w:val="50"/>
          <w:sz w:val="18"/>
          <w:szCs w:val="18"/>
        </w:rPr>
        <w:t xml:space="preserve">BODY · DM SANS</w:t>
      </w:r>
    </w:p>
    <w:p>
      <w:pPr>
        <w:spacing w:after="100"/>
      </w:pPr>
      <w:r>
        <w:rPr>
          <w:color w:val="0D0D0F"/>
          <w:sz w:val="22"/>
          <w:szCs w:val="22"/>
        </w:rPr>
        <w:t xml:space="preserve">Trusted insights, education and consulting for life sciences.</w:t>
      </w:r>
    </w:p>
    <w:p>
      <w:pPr>
        <w:spacing w:after="120"/>
      </w:pPr>
      <w:r>
        <w:t xml:space="preserve">Used for paragraphs, form fields, button labels, and captions. Weights 400 / 500.</w:t>
      </w:r>
    </w:p>
    <w:p>
      <w:pPr>
        <w:spacing w:after="240"/>
      </w:pPr>
    </w:p>
    <w:p>
      <w:pPr>
        <w:spacing w:after="100" w:before="240"/>
      </w:pPr>
      <w:r>
        <w:rPr>
          <w:b/>
          <w:bCs/>
          <w:color w:val="7C6AF7"/>
          <w:spacing w:val="50"/>
          <w:sz w:val="18"/>
          <w:szCs w:val="18"/>
        </w:rPr>
        <w:t xml:space="preserve">CROSS-CHANNEL CONSISTENCY</w:t>
      </w:r>
    </w:p>
    <w:p>
      <w:pPr>
        <w:spacing w:after="120"/>
      </w:pPr>
      <w:r>
        <w:t xml:space="preserve">Sora is the wordmark font and only that. Never set headings or body copy in Sora. Conversely, never set the Qualivio wordmark in Space Grotesk or DM Sans. Fallbacks (Inter, Arial) are permitted only when Sora cannot be loaded; never substitute by choice.</w:t>
      </w:r>
    </w:p>
    <w:p>
      <w:r>
        <w:br w:type="page"/>
      </w:r>
    </w:p>
    <w:p>
      <w:pPr>
        <w:spacing w:after="100" w:before="240"/>
      </w:pPr>
      <w:r>
        <w:rPr>
          <w:b/>
          <w:bCs/>
          <w:color w:val="7C6AF7"/>
          <w:spacing w:val="50"/>
          <w:sz w:val="18"/>
          <w:szCs w:val="18"/>
        </w:rPr>
        <w:t xml:space="preserve">09 · DIGITAL &amp; SOCIAL SPECS</w:t>
      </w:r>
    </w:p>
    <w:p>
      <w:pPr>
        <w:pStyle w:val="Heading1"/>
      </w:pPr>
      <w:r>
        <w:t xml:space="preserve">Surface-specific dimensions and assets.</w:t>
      </w:r>
    </w:p>
    <w:p>
      <w:pPr>
        <w:spacing w:after="200"/>
      </w:pPr>
    </w:p>
    <w:p>
      <w:pPr>
        <w:spacing w:after="100" w:before="240"/>
      </w:pPr>
      <w:r>
        <w:rPr>
          <w:b/>
          <w:bCs/>
          <w:color w:val="7C6AF7"/>
          <w:spacing w:val="50"/>
          <w:sz w:val="18"/>
          <w:szCs w:val="18"/>
        </w:rPr>
        <w:t xml:space="preserve">WEBSITE</w:t>
      </w:r>
    </w:p>
    <w:p>
      <w:pPr>
        <w:pStyle w:val="ListParagraph"/>
        <w:numPr>
          <w:ilvl w:val="0"/>
          <w:numId w:val="2"/>
        </w:numPr>
      </w:pPr>
      <w:r>
        <w:t xml:space="preserve">URL: www.qualiviopharma.com</w:t>
      </w:r>
    </w:p>
    <w:p>
      <w:pPr>
        <w:pStyle w:val="ListParagraph"/>
        <w:numPr>
          <w:ilvl w:val="0"/>
          <w:numId w:val="2"/>
        </w:numPr>
      </w:pPr>
      <w:r>
        <w:t xml:space="preserve">Hero background: #FFFFFF (white)</w:t>
      </w:r>
    </w:p>
    <w:p>
      <w:pPr>
        <w:pStyle w:val="ListParagraph"/>
        <w:numPr>
          <w:ilvl w:val="0"/>
          <w:numId w:val="2"/>
        </w:numPr>
      </w:pPr>
      <w:r>
        <w:t xml:space="preserve">Body sections alternate #FFFFFF and #0D0D0F</w:t>
      </w:r>
    </w:p>
    <w:p>
      <w:pPr>
        <w:pStyle w:val="ListParagraph"/>
        <w:numPr>
          <w:ilvl w:val="0"/>
          <w:numId w:val="2"/>
        </w:numPr>
      </w:pPr>
      <w:r>
        <w:t xml:space="preserve">Tagline (gold eyebrow): PHARMACOVIGILANCE · QUALITY ASSURANCE | LIFE SCIENCES</w:t>
      </w:r>
    </w:p>
    <w:p>
      <w:pPr>
        <w:pStyle w:val="ListParagraph"/>
        <w:numPr>
          <w:ilvl w:val="0"/>
          <w:numId w:val="2"/>
        </w:numPr>
      </w:pPr>
      <w:r>
        <w:t xml:space="preserve">Header &amp; footer wordmark: Sora Medium 500, colour #E8E6FF on dark</w:t>
      </w:r>
    </w:p>
    <w:p>
      <w:pPr>
        <w:spacing w:after="200"/>
      </w:pPr>
    </w:p>
    <w:p>
      <w:pPr>
        <w:spacing w:after="100" w:before="240"/>
      </w:pPr>
      <w:r>
        <w:rPr>
          <w:b/>
          <w:bCs/>
          <w:color w:val="7C6AF7"/>
          <w:spacing w:val="50"/>
          <w:sz w:val="18"/>
          <w:szCs w:val="18"/>
        </w:rPr>
        <w:t xml:space="preserve">INTRO ANIMATION (/INTRO)</w:t>
      </w:r>
    </w:p>
    <w:p>
      <w:pPr>
        <w:pStyle w:val="ListParagraph"/>
        <w:numPr>
          <w:ilvl w:val="0"/>
          <w:numId w:val="2"/>
        </w:numPr>
      </w:pPr>
      <w:r>
        <w:t xml:space="preserve">Resolution: 1080 × 1080 (square, LinkedIn feed) — also exportable at 1920 × 1080 and 1080 × 1920</w:t>
      </w:r>
    </w:p>
    <w:p>
      <w:pPr>
        <w:pStyle w:val="ListParagraph"/>
        <w:numPr>
          <w:ilvl w:val="0"/>
          <w:numId w:val="2"/>
        </w:numPr>
      </w:pPr>
      <w:r>
        <w:t xml:space="preserve">Duration: ~5 seconds; 30 fps; H.264 + AAC in MP4</w:t>
      </w:r>
    </w:p>
    <w:p>
      <w:pPr>
        <w:pStyle w:val="ListParagraph"/>
        <w:numPr>
          <w:ilvl w:val="0"/>
          <w:numId w:val="2"/>
        </w:numPr>
      </w:pPr>
      <w:r>
        <w:t xml:space="preserve">Background: pure #000000</w:t>
      </w:r>
    </w:p>
    <w:p>
      <w:pPr>
        <w:pStyle w:val="ListParagraph"/>
        <w:numPr>
          <w:ilvl w:val="0"/>
          <w:numId w:val="2"/>
        </w:numPr>
      </w:pPr>
      <w:r>
        <w:t xml:space="preserve">Audio: keyboard-typing SFX per letter, soft bell click on Q completion</w:t>
      </w:r>
    </w:p>
    <w:p>
      <w:pPr>
        <w:pStyle w:val="ListParagraph"/>
        <w:numPr>
          <w:ilvl w:val="0"/>
          <w:numId w:val="2"/>
        </w:numPr>
      </w:pPr>
      <w:r>
        <w:t xml:space="preserve">Source: marketing/intro-video (Remotion); regenerate via `npm run intro:render:square`</w:t>
      </w:r>
    </w:p>
    <w:p>
      <w:pPr>
        <w:spacing w:after="200"/>
      </w:pPr>
    </w:p>
    <w:p>
      <w:pPr>
        <w:spacing w:after="100" w:before="240"/>
      </w:pPr>
      <w:r>
        <w:rPr>
          <w:b/>
          <w:bCs/>
          <w:color w:val="7C6AF7"/>
          <w:spacing w:val="50"/>
          <w:sz w:val="18"/>
          <w:szCs w:val="18"/>
        </w:rPr>
        <w:t xml:space="preserve">LINKEDIN COVER BANNER</w:t>
      </w:r>
    </w:p>
    <w:p>
      <w:pPr>
        <w:pStyle w:val="ListParagraph"/>
        <w:numPr>
          <w:ilvl w:val="0"/>
          <w:numId w:val="2"/>
        </w:numPr>
      </w:pPr>
      <w:r>
        <w:t xml:space="preserve">Dimensions: 1584 × 396 px (LinkedIn personal/company cover)</w:t>
      </w:r>
    </w:p>
    <w:p>
      <w:pPr>
        <w:pStyle w:val="ListParagraph"/>
        <w:numPr>
          <w:ilvl w:val="0"/>
          <w:numId w:val="2"/>
        </w:numPr>
      </w:pPr>
      <w:r>
        <w:t xml:space="preserve">Background: pure #000000</w:t>
      </w:r>
    </w:p>
    <w:p>
      <w:pPr>
        <w:pStyle w:val="ListParagraph"/>
        <w:numPr>
          <w:ilvl w:val="0"/>
          <w:numId w:val="2"/>
        </w:numPr>
      </w:pPr>
      <w:r>
        <w:t xml:space="preserve">Lockup: Q mark + Qualivio wordmark + gold tagline + teal URL</w:t>
      </w:r>
    </w:p>
    <w:p>
      <w:pPr>
        <w:pStyle w:val="ListParagraph"/>
        <w:numPr>
          <w:ilvl w:val="0"/>
          <w:numId w:val="2"/>
        </w:numPr>
      </w:pPr>
      <w:r>
        <w:t xml:space="preserve">Safe area: bottom-left ~220 × 220 px reserved for the profile picture</w:t>
      </w:r>
    </w:p>
    <w:p>
      <w:pPr>
        <w:pStyle w:val="ListParagraph"/>
        <w:numPr>
          <w:ilvl w:val="0"/>
          <w:numId w:val="2"/>
        </w:numPr>
      </w:pPr>
      <w:r>
        <w:t xml:space="preserve">Source: marketing/intro-video/src/LinkedInBanner.tsx; regenerate via `npm run linkedin:render:banner`</w:t>
      </w:r>
    </w:p>
    <w:p>
      <w:pPr>
        <w:spacing w:after="100" w:before="200"/>
      </w:pPr>
    </w:p>
    <w:p>
      <w:pPr>
        <w:jc w:val="center"/>
      </w:pPr>
      <w:r>
        <w:drawing>
          <wp:inline distT="0" distB="0" distL="0" distR="0">
            <wp:extent cx="5143500" cy="1285875"/>
            <wp:effectExtent t="0" r="0" b="0" l="0"/>
            <wp:docPr id="1" name="image" descr="C:/Users/user/Desktop/Desktop/Qualivio/marketing/linkedin/qualivio_linkedin_banner_v3.png" title="Qualivio brand as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1285875"/>
                    </a:xfrm>
                    <a:prstGeom prst="rect">
                      <a:avLst/>
                    </a:prstGeom>
                  </pic:spPr>
                </pic:pic>
              </a:graphicData>
            </a:graphic>
          </wp:inline>
        </w:drawing>
      </w:r>
    </w:p>
    <w:p>
      <w:pPr>
        <w:spacing w:before="80"/>
        <w:jc w:val="center"/>
      </w:pPr>
      <w:r>
        <w:rPr>
          <w:color w:val="6B6A8F"/>
          <w:sz w:val="16"/>
          <w:szCs w:val="16"/>
        </w:rPr>
        <w:t xml:space="preserve">LinkedIn cover · 1584 × 396 px · pure black background</w:t>
      </w:r>
    </w:p>
    <w:p>
      <w:r>
        <w:br w:type="page"/>
      </w:r>
    </w:p>
    <w:p>
      <w:pPr>
        <w:spacing w:after="100" w:before="240"/>
      </w:pPr>
      <w:r>
        <w:rPr>
          <w:b/>
          <w:bCs/>
          <w:color w:val="7C6AF7"/>
          <w:spacing w:val="50"/>
          <w:sz w:val="18"/>
          <w:szCs w:val="18"/>
        </w:rPr>
        <w:t xml:space="preserve">10 · CHANGE LOG</w:t>
      </w:r>
    </w:p>
    <w:p>
      <w:pPr>
        <w:pStyle w:val="Heading1"/>
      </w:pPr>
      <w:r>
        <w:t xml:space="preserve">Version history.</w:t>
      </w:r>
    </w:p>
    <w:p>
      <w:pPr>
        <w:spacing w:after="200"/>
      </w:pPr>
    </w:p>
    <w:p>
      <w:pPr>
        <w:spacing w:after="100" w:before="200"/>
      </w:pPr>
      <w:r>
        <w:rPr>
          <w:b/>
          <w:bCs/>
          <w:color w:val="7C6AF7"/>
          <w:sz w:val="22"/>
          <w:szCs w:val="22"/>
        </w:rPr>
        <w:t xml:space="preserve">v1.2 — 2026</w:t>
      </w:r>
    </w:p>
    <w:p>
      <w:pPr>
        <w:pStyle w:val="ListParagraph"/>
        <w:numPr>
          <w:ilvl w:val="0"/>
          <w:numId w:val="2"/>
        </w:numPr>
      </w:pPr>
      <w:r>
        <w:t xml:space="preserve">Introduced Sora Medium 500 as a dedicated wordmark font; Space Grotesk remains the display typeface for all other headings.</w:t>
      </w:r>
    </w:p>
    <w:p>
      <w:pPr>
        <w:pStyle w:val="ListParagraph"/>
        <w:numPr>
          <w:ilvl w:val="0"/>
          <w:numId w:val="2"/>
        </w:numPr>
      </w:pPr>
      <w:r>
        <w:t xml:space="preserve">Added a Typography section documenting the three-font stack (Sora for wordmark, Space Grotesk for display, DM Sans for body).</w:t>
      </w:r>
    </w:p>
    <w:p>
      <w:pPr>
        <w:pStyle w:val="ListParagraph"/>
        <w:numPr>
          <w:ilvl w:val="0"/>
          <w:numId w:val="2"/>
        </w:numPr>
      </w:pPr>
      <w:r>
        <w:t xml:space="preserve">Added Digital &amp; Social Specs section: website, /intro MP4, LinkedIn banner.</w:t>
      </w:r>
    </w:p>
    <w:p>
      <w:pPr>
        <w:pStyle w:val="ListParagraph"/>
        <w:numPr>
          <w:ilvl w:val="0"/>
          <w:numId w:val="2"/>
        </w:numPr>
      </w:pPr>
      <w:r>
        <w:t xml:space="preserve">Updated primary tagline to Pharmacovigilance · Quality Assurance | Life Sciences.</w:t>
      </w:r>
    </w:p>
    <w:p>
      <w:pPr>
        <w:pStyle w:val="ListParagraph"/>
        <w:numPr>
          <w:ilvl w:val="0"/>
          <w:numId w:val="2"/>
        </w:numPr>
      </w:pPr>
      <w:r>
        <w:t xml:space="preserve">Replaced mid-sentence em-dashes and the word “jargon” across web copy.</w:t>
      </w:r>
    </w:p>
    <w:p>
      <w:pPr>
        <w:pStyle w:val="ListParagraph"/>
        <w:numPr>
          <w:ilvl w:val="0"/>
          <w:numId w:val="2"/>
        </w:numPr>
      </w:pPr>
      <w:r>
        <w:t xml:space="preserve">Refreshed Articles section descriptions and About hero headline.</w:t>
      </w:r>
    </w:p>
    <w:p>
      <w:pPr>
        <w:spacing w:after="100" w:before="200"/>
      </w:pPr>
      <w:r>
        <w:rPr>
          <w:b/>
          <w:bCs/>
          <w:color w:val="7C6AF7"/>
          <w:sz w:val="22"/>
          <w:szCs w:val="22"/>
        </w:rPr>
        <w:t xml:space="preserve">v1.1</w:t>
      </w:r>
    </w:p>
    <w:p>
      <w:pPr>
        <w:pStyle w:val="ListParagraph"/>
        <w:numPr>
          <w:ilvl w:val="0"/>
          <w:numId w:val="2"/>
        </w:numPr>
      </w:pPr>
      <w:r>
        <w:t xml:space="preserve">Added exact mathematical specifications for Q mark geometry.</w:t>
      </w:r>
    </w:p>
    <w:p>
      <w:pPr>
        <w:pStyle w:val="ListParagraph"/>
        <w:numPr>
          <w:ilvl w:val="0"/>
          <w:numId w:val="2"/>
        </w:numPr>
      </w:pPr>
      <w:r>
        <w:t xml:space="preserve">Added four approved colour variants (Violet, Teal, Gold, Surface).</w:t>
      </w:r>
    </w:p>
    <w:p>
      <w:pPr>
        <w:pStyle w:val="ListParagraph"/>
        <w:numPr>
          <w:ilvl w:val="0"/>
          <w:numId w:val="2"/>
        </w:numPr>
      </w:pPr>
      <w:r>
        <w:t xml:space="preserve">Added reference SVG code template for deterministic reproduction.</w:t>
      </w:r>
    </w:p>
    <w:p>
      <w:pPr>
        <w:pStyle w:val="ListParagraph"/>
        <w:numPr>
          <w:ilvl w:val="0"/>
          <w:numId w:val="2"/>
        </w:numPr>
      </w:pPr>
      <w:r>
        <w:t xml:space="preserve">Specified stroke linecap as round (was implicit).</w:t>
      </w:r>
    </w:p>
    <w:p>
      <w:pPr>
        <w:spacing w:after="100" w:before="200"/>
      </w:pPr>
      <w:r>
        <w:rPr>
          <w:b/>
          <w:bCs/>
          <w:color w:val="7C6AF7"/>
          <w:sz w:val="22"/>
          <w:szCs w:val="22"/>
        </w:rPr>
        <w:t xml:space="preserve">v1.0</w:t>
      </w:r>
    </w:p>
    <w:p>
      <w:pPr>
        <w:pStyle w:val="ListParagraph"/>
        <w:numPr>
          <w:ilvl w:val="0"/>
          <w:numId w:val="2"/>
        </w:numPr>
      </w:pPr>
      <w:r>
        <w:t xml:space="preserve">Initial release.</w:t>
      </w:r>
    </w:p>
    <w:p>
      <w:pPr>
        <w:spacing w:after="100" w:before="600"/>
      </w:pPr>
    </w:p>
    <w:p>
      <w:pPr>
        <w:pBdr>
          <w:bottom w:val="single" w:color="E5E4F0" w:sz="6" w:space="6"/>
        </w:pBdr>
      </w:pPr>
    </w:p>
    <w:p>
      <w:pPr>
        <w:spacing w:before="200"/>
      </w:pPr>
      <w:r>
        <w:rPr>
          <w:b/>
          <w:bCs/>
          <w:color w:val="0D0D0F"/>
          <w:sz w:val="18"/>
          <w:szCs w:val="18"/>
        </w:rPr>
        <w:t xml:space="preserve">For brand questions:</w:t>
      </w:r>
    </w:p>
    <w:p>
      <w:r>
        <w:rPr>
          <w:color w:val="4ECDC4"/>
          <w:sz w:val="18"/>
          <w:szCs w:val="18"/>
        </w:rPr>
        <w:t xml:space="preserve">hello@qualiviopharma.com  ·  www.qualiviopharma.com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6B6A8F"/>
        <w:sz w:val="14"/>
        <w:szCs w:val="14"/>
      </w:rPr>
      <w:t xml:space="preserve">Qualivio Brand Guidelines · Confidential · v1.2  </w:t>
    </w:r>
    <w:r>
      <w:rPr>
        <w:color w:val="6B6A8F"/>
        <w:sz w:val="14"/>
        <w:szCs w:val="14"/>
      </w:rPr>
      <w:t xml:space="preserve">Page </w:t>
    </w:r>
    <w:r>
      <w:rPr>
        <w:color w:val="6B6A8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4F0" w:sz="4" w:space="4"/>
      </w:pBdr>
    </w:pPr>
    <w:r>
      <w:rPr>
        <w:b/>
        <w:bCs/>
        <w:color w:val="7C6AF7"/>
        <w:spacing w:val="50"/>
        <w:sz w:val="14"/>
        <w:szCs w:val="14"/>
      </w:rPr>
      <w:t xml:space="preserve">QUALIVIO BRAND GUIDELINES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0D0D0F"/>
      <w:sz w:val="36"/>
      <w:szCs w:val="36"/>
    </w:rPr>
  </w:style>
  <w:style w:type="paragraph" w:styleId="Heading2">
    <w:name w:val="Heading 2"/>
    <w:basedOn w:val="Normal"/>
    <w:next w:val="Normal"/>
    <w:qFormat/>
    <w:pPr>
      <w:spacing w:after="140" w:before="200"/>
      <w:outlineLvl w:val="1"/>
    </w:pPr>
    <w:rPr>
      <w:rFonts w:ascii="Arial" w:cs="Arial" w:eastAsia="Arial" w:hAnsi="Arial"/>
      <w:b/>
      <w:bCs/>
      <w:color w:val="0D0D0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4beb3d9e9a67ce15a022807ca0302294ec517dc.png"/><Relationship Id="rId10" Type="http://schemas.openxmlformats.org/officeDocument/2006/relationships/image" Target="media/d90b686b9043d08d9af1ec0526c1288d0c21e696.png"/><Relationship Id="rId11" Type="http://schemas.openxmlformats.org/officeDocument/2006/relationships/image" Target="media/b94e8b5a88698fef072366a0110c16031bde8061.png"/><Relationship Id="rId12" Type="http://schemas.openxmlformats.org/officeDocument/2006/relationships/image" Target="media/472de0555ca61fd3d50bedb587f02ed723642008.png"/><Relationship Id="rId13" Type="http://schemas.openxmlformats.org/officeDocument/2006/relationships/image" Target="media/e4e47d56439e244f4912e1ca8d64eb8bd021619b.png"/><Relationship Id="rId14" Type="http://schemas.openxmlformats.org/officeDocument/2006/relationships/image" Target="media/6d4e93ce53702adc6a0b3d4e2332911e4868ebce.png"/><Relationship Id="rId15" Type="http://schemas.openxmlformats.org/officeDocument/2006/relationships/image" Target="media/d83a19676457c1ced40ed105dbeb87c3975e606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Qualivio Brand Guidelines v1.2</dc:title>
  <dc:creator>Qualivio</dc:creator>
  <dc:description>Brand identity system and usage rules</dc:description>
  <cp:lastModifiedBy>Un-named</cp:lastModifiedBy>
  <cp:revision>1</cp:revision>
  <dcterms:created xsi:type="dcterms:W3CDTF">2026-05-26T14:54:27.039Z</dcterms:created>
  <dcterms:modified xsi:type="dcterms:W3CDTF">2026-05-26T14:54:27.047Z</dcterms:modified>
</cp:coreProperties>
</file>

<file path=docProps/custom.xml><?xml version="1.0" encoding="utf-8"?>
<Properties xmlns="http://schemas.openxmlformats.org/officeDocument/2006/custom-properties" xmlns:vt="http://schemas.openxmlformats.org/officeDocument/2006/docPropsVTypes"/>
</file>