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25), (100, 35) et (100, 50).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p>
        </w:tc>
        <w:tc>
          <w:tcPr>
            <w:tcW w:w="1008" w:type="dxa"/>
          </w:tcPr>
          <w:p w14:paraId="3C9234FE" w14:textId="77777777" w:rsidR="00C6317F" w:rsidRDefault="00D87F96">
            <w:r>
              <w:t>0,137</w:t>
            </w:r>
          </w:p>
        </w:tc>
        <w:tc>
          <w:tcPr>
            <w:tcW w:w="1008" w:type="dxa"/>
          </w:tcPr>
          <w:p w14:paraId="5007B5C3" w14:textId="77777777" w:rsidR="00C6317F" w:rsidRDefault="00D87F96">
            <w:r>
              <w:t>0,148</w:t>
            </w:r>
          </w:p>
        </w:tc>
        <w:tc>
          <w:tcPr>
            <w:tcW w:w="1008" w:type="dxa"/>
          </w:tcPr>
          <w:p w14:paraId="52D4CA3D" w14:textId="77777777" w:rsidR="00C6317F" w:rsidRDefault="00C6317F">
            <w:r>
              <w:t>0,056</w:t>
            </w:r>
          </w:p>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32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3297"/>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3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3818"/>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66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6687"/>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599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599161"/>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3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3428"/>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4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413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À l'inverse, la comédie tombe de 37 % à 14 %, l'horreur de 10 % à 1,5 %,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7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7463"/>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50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508045"/>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34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3428"/>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28992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28992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