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SOURCE BOOK</w:t>
      </w:r>
    </w:p>
    <w:p>
      <w:pPr>
        <w:jc w:val="center"/>
      </w:pPr>
      <w:r>
        <w:rPr>
          <w:b/>
          <w:sz w:val="32"/>
        </w:rPr>
        <w:t>National Center for Non-Profit Sector Development — Services and Products of the Non-Profit Sector</w:t>
      </w:r>
    </w:p>
    <w:p>
      <w:pPr>
        <w:jc w:val="center"/>
      </w:pPr>
      <w:r>
        <w:rPr>
          <w:sz w:val="20"/>
        </w:rPr>
        <w:t>Generated: 2026-04-14 | Language: ar | Pass: 4</w:t>
      </w:r>
    </w:p>
    <w:p>
      <w:r>
        <w:br w:type="page"/>
      </w:r>
    </w:p>
    <w:p>
      <w:pPr>
        <w:pStyle w:val="Heading1"/>
      </w:pPr>
      <w:r>
        <w:t>1. RFP Interpretation</w:t>
      </w:r>
    </w:p>
    <w:p>
      <w:pPr>
        <w:pStyle w:val="Heading3"/>
      </w:pPr>
      <w:r>
        <w:t>Compliance-to-Requirement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Requirement</w:t>
            </w:r>
          </w:p>
        </w:tc>
        <w:tc>
          <w:tcPr>
            <w:tcW w:type="dxa" w:w="1728"/>
          </w:tcPr>
          <w:p>
            <w:r>
              <w:rPr>
                <w:b/>
                <w:sz w:val="18"/>
              </w:rPr>
              <w:t>SG Response</w:t>
            </w:r>
          </w:p>
        </w:tc>
        <w:tc>
          <w:tcPr>
            <w:tcW w:type="dxa" w:w="1728"/>
          </w:tcPr>
          <w:p>
            <w:r>
              <w:rPr>
                <w:b/>
                <w:sz w:val="18"/>
              </w:rPr>
              <w:t>Evidence Ref</w:t>
            </w:r>
          </w:p>
        </w:tc>
        <w:tc>
          <w:tcPr>
            <w:tcW w:type="dxa" w:w="1728"/>
          </w:tcPr>
          <w:p>
            <w:r>
              <w:rPr>
                <w:b/>
                <w:sz w:val="18"/>
              </w:rPr>
              <w:t>Classification</w:t>
            </w:r>
          </w:p>
        </w:tc>
      </w:tr>
      <w:tr>
        <w:tc>
          <w:tcPr>
            <w:tcW w:type="dxa" w:w="1728"/>
          </w:tcPr>
          <w:p>
            <w:r>
              <w:rPr>
                <w:sz w:val="18"/>
              </w:rPr>
              <w:t>COMP-001</w:t>
            </w:r>
          </w:p>
        </w:tc>
        <w:tc>
          <w:tcPr>
            <w:tcW w:type="dxa" w:w="1728"/>
          </w:tcPr>
          <w:p>
            <w:r>
              <w:rPr>
                <w:sz w:val="18"/>
              </w:rPr>
              <w:t>آلية الترسية: اجتياز فني ثنائي (ناجح/راسب) ثم أقل سعر بين المجتازين فنياً. لا يوجد نظام نقاط مرجّحة أو أوزان نسبية.</w:t>
            </w:r>
          </w:p>
        </w:tc>
        <w:tc>
          <w:tcPr>
            <w:tcW w:type="dxa" w:w="1728"/>
          </w:tcPr>
          <w:p>
            <w:r>
              <w:rPr>
                <w:sz w:val="18"/>
              </w:rPr>
              <w:t>تصميم العرض الفني يستهدف القبول الفني الكامل عبر جميع المتطلبات الإلزامية (23 مخرجاً، 8 بنود نطاق عمل، متطلبات الفريق). هيكل التكلفة مُحسّن لتقديم أقل سعر تنافسي. لا يُفترض أي نظام نقاط مرجّحة أو أوزان نسبية أو عتبة نسبية.</w:t>
            </w:r>
          </w:p>
        </w:tc>
        <w:tc>
          <w:tcPr>
            <w:tcW w:type="dxa" w:w="1728"/>
          </w:tcPr>
          <w:p>
            <w:r>
              <w:rPr>
                <w:sz w:val="18"/>
              </w:rPr>
              <w:t>HR-L1-001 — نص صريح في المنافسة</w:t>
            </w:r>
          </w:p>
        </w:tc>
        <w:tc>
          <w:tcPr>
            <w:tcW w:type="dxa" w:w="1728"/>
          </w:tcPr>
          <w:p>
            <w:r>
              <w:rPr>
                <w:sz w:val="18"/>
              </w:rPr>
              <w:t>RFP Fact</w:t>
            </w:r>
          </w:p>
        </w:tc>
      </w:tr>
      <w:tr>
        <w:tc>
          <w:tcPr>
            <w:tcW w:type="dxa" w:w="1728"/>
          </w:tcPr>
          <w:p>
            <w:r>
              <w:rPr>
                <w:sz w:val="18"/>
              </w:rPr>
              <w:t>COMP-002</w:t>
            </w:r>
          </w:p>
        </w:tc>
        <w:tc>
          <w:tcPr>
            <w:tcW w:type="dxa" w:w="1728"/>
          </w:tcPr>
          <w:p>
            <w:r>
              <w:rPr>
                <w:sz w:val="18"/>
              </w:rPr>
              <w:t>مدة العقد 12 شهراً من تاريخ إشعار البدء بالعمل.</w:t>
            </w:r>
          </w:p>
        </w:tc>
        <w:tc>
          <w:tcPr>
            <w:tcW w:type="dxa" w:w="1728"/>
          </w:tcPr>
          <w:p>
            <w:r>
              <w:rPr>
                <w:sz w:val="18"/>
              </w:rPr>
              <w:t>خطة العمل التنفيذية مصممة على 12 شهراً بالضبط، موزعة على 5 مراحل مع بوابات حوكمة بين كل مرحلة. أي إشارة لأفق زمني يتجاوز 12 شهراً تُصنف صراحة كـ 'أفق تنفيذي مقترح بعد العقد'.</w:t>
            </w:r>
          </w:p>
        </w:tc>
        <w:tc>
          <w:tcPr>
            <w:tcW w:type="dxa" w:w="1728"/>
          </w:tcPr>
          <w:p>
            <w:r>
              <w:rPr>
                <w:sz w:val="18"/>
              </w:rPr>
              <w:t>HR-L1-002 — نص صريح في العقد</w:t>
            </w:r>
          </w:p>
        </w:tc>
        <w:tc>
          <w:tcPr>
            <w:tcW w:type="dxa" w:w="1728"/>
          </w:tcPr>
          <w:p>
            <w:r>
              <w:rPr>
                <w:sz w:val="18"/>
              </w:rPr>
              <w:t>RFP Fact</w:t>
            </w:r>
          </w:p>
        </w:tc>
      </w:tr>
      <w:tr>
        <w:tc>
          <w:tcPr>
            <w:tcW w:type="dxa" w:w="1728"/>
          </w:tcPr>
          <w:p>
            <w:r>
              <w:rPr>
                <w:sz w:val="18"/>
              </w:rPr>
              <w:t>COMP-003</w:t>
            </w:r>
          </w:p>
        </w:tc>
        <w:tc>
          <w:tcPr>
            <w:tcW w:type="dxa" w:w="1728"/>
          </w:tcPr>
          <w:p>
            <w:r>
              <w:rPr>
                <w:sz w:val="18"/>
              </w:rPr>
              <w:t>تقديم العرض باللغة العربية مع إمكانية تقديم وثائق داعمة بالإنجليزية مترجمة، وفي حال التعارض يُؤخذ بالنص العربي (CR-1).</w:t>
            </w:r>
          </w:p>
        </w:tc>
        <w:tc>
          <w:tcPr>
            <w:tcW w:type="dxa" w:w="1728"/>
          </w:tcPr>
          <w:p>
            <w:r>
              <w:rPr>
                <w:sz w:val="18"/>
              </w:rPr>
              <w:t>جميع وثائق العرض الفني والمالي تُعد باللغة العربية. المراجع الدولية تُرفق بالإنجليزية مع ملخصات مترجمة للعربية. يُنص في خطاب العرض على أولوية النص العربي.</w:t>
            </w:r>
          </w:p>
        </w:tc>
        <w:tc>
          <w:tcPr>
            <w:tcW w:type="dxa" w:w="1728"/>
          </w:tcPr>
          <w:p>
            <w:r>
              <w:rPr>
                <w:sz w:val="18"/>
              </w:rPr>
              <w:t>HR-L1-008 — compliance_requirements[CR-1]</w:t>
            </w:r>
          </w:p>
        </w:tc>
        <w:tc>
          <w:tcPr>
            <w:tcW w:type="dxa" w:w="1728"/>
          </w:tcPr>
          <w:p>
            <w:r>
              <w:rPr>
                <w:sz w:val="18"/>
              </w:rPr>
              <w:t>RFP Fact</w:t>
            </w:r>
          </w:p>
        </w:tc>
      </w:tr>
      <w:tr>
        <w:tc>
          <w:tcPr>
            <w:tcW w:type="dxa" w:w="1728"/>
          </w:tcPr>
          <w:p>
            <w:r>
              <w:rPr>
                <w:sz w:val="18"/>
              </w:rPr>
              <w:t>COMP-004</w:t>
            </w:r>
          </w:p>
        </w:tc>
        <w:tc>
          <w:tcPr>
            <w:tcW w:type="dxa" w:w="1728"/>
          </w:tcPr>
          <w:p>
            <w:r>
              <w:rPr>
                <w:sz w:val="18"/>
              </w:rPr>
              <w:t>تقديم سجل تجاري ساري المفعول (CR-2).</w:t>
            </w:r>
          </w:p>
        </w:tc>
        <w:tc>
          <w:tcPr>
            <w:tcW w:type="dxa" w:w="1728"/>
          </w:tcPr>
          <w:p>
            <w:r>
              <w:rPr>
                <w:sz w:val="18"/>
              </w:rPr>
              <w:t>يُرفق السجل التجاري ساري المفعول ضمن المظروف الفني. المالك: إدارة الشؤون القانونية في SG. التحقق: صلاحية السجل تغطي فترة سريان العرض (90 يوماً) + مدة العقد (12 شهراً).</w:t>
            </w:r>
          </w:p>
        </w:tc>
        <w:tc>
          <w:tcPr>
            <w:tcW w:type="dxa" w:w="1728"/>
          </w:tcPr>
          <w:p>
            <w:r>
              <w:rPr>
                <w:sz w:val="18"/>
              </w:rPr>
              <w:t>HR-L1-009 — [فجوة Engine 2: التحقق من صلاحية السجل التجاري الحالي]</w:t>
            </w:r>
          </w:p>
        </w:tc>
        <w:tc>
          <w:tcPr>
            <w:tcW w:type="dxa" w:w="1728"/>
          </w:tcPr>
          <w:p>
            <w:r>
              <w:rPr>
                <w:sz w:val="18"/>
              </w:rPr>
              <w:t>RFP Fact</w:t>
            </w:r>
          </w:p>
        </w:tc>
      </w:tr>
      <w:tr>
        <w:tc>
          <w:tcPr>
            <w:tcW w:type="dxa" w:w="1728"/>
          </w:tcPr>
          <w:p>
            <w:r>
              <w:rPr>
                <w:sz w:val="18"/>
              </w:rPr>
              <w:t>COMP-005</w:t>
            </w:r>
          </w:p>
        </w:tc>
        <w:tc>
          <w:tcPr>
            <w:tcW w:type="dxa" w:w="1728"/>
          </w:tcPr>
          <w:p>
            <w:r>
              <w:rPr>
                <w:sz w:val="18"/>
              </w:rPr>
              <w:t>تقديم شهادة زكاة سارية المفعول (CR-3).</w:t>
            </w:r>
          </w:p>
        </w:tc>
        <w:tc>
          <w:tcPr>
            <w:tcW w:type="dxa" w:w="1728"/>
          </w:tcPr>
          <w:p>
            <w:r>
              <w:rPr>
                <w:sz w:val="18"/>
              </w:rPr>
              <w:t>تُرفق شهادة الزكاة سارية المفعول ضمن المظروف الفني. المالك: الإدارة المالية في SG. التحقق: صلاحية الشهادة تغطي فترة سريان العرض + مدة العقد.</w:t>
            </w:r>
          </w:p>
        </w:tc>
        <w:tc>
          <w:tcPr>
            <w:tcW w:type="dxa" w:w="1728"/>
          </w:tcPr>
          <w:p>
            <w:r>
              <w:rPr>
                <w:sz w:val="18"/>
              </w:rPr>
              <w:t>HR-L1-010 — [فجوة Engine 2: التحقق من صلاحية شهادة الزكاة]</w:t>
            </w:r>
          </w:p>
        </w:tc>
        <w:tc>
          <w:tcPr>
            <w:tcW w:type="dxa" w:w="1728"/>
          </w:tcPr>
          <w:p>
            <w:r>
              <w:rPr>
                <w:sz w:val="18"/>
              </w:rPr>
              <w:t>RFP Fact</w:t>
            </w:r>
          </w:p>
        </w:tc>
      </w:tr>
      <w:tr>
        <w:tc>
          <w:tcPr>
            <w:tcW w:type="dxa" w:w="1728"/>
          </w:tcPr>
          <w:p>
            <w:r>
              <w:rPr>
                <w:sz w:val="18"/>
              </w:rPr>
              <w:t>COMP-006</w:t>
            </w:r>
          </w:p>
        </w:tc>
        <w:tc>
          <w:tcPr>
            <w:tcW w:type="dxa" w:w="1728"/>
          </w:tcPr>
          <w:p>
            <w:r>
              <w:rPr>
                <w:sz w:val="18"/>
              </w:rPr>
              <w:t>تقديم شهادة ضريبة سارية المفعول (CR-4).</w:t>
            </w:r>
          </w:p>
        </w:tc>
        <w:tc>
          <w:tcPr>
            <w:tcW w:type="dxa" w:w="1728"/>
          </w:tcPr>
          <w:p>
            <w:r>
              <w:rPr>
                <w:sz w:val="18"/>
              </w:rPr>
              <w:t>تُرفق شهادة الضريبة سارية المفعول ضمن المظروف الفني. المالك: الإدارة المالية في SG. التحقق: صلاحية الشهادة تغطي فترة سريان العرض + مدة العقد.</w:t>
            </w:r>
          </w:p>
        </w:tc>
        <w:tc>
          <w:tcPr>
            <w:tcW w:type="dxa" w:w="1728"/>
          </w:tcPr>
          <w:p>
            <w:r>
              <w:rPr>
                <w:sz w:val="18"/>
              </w:rPr>
              <w:t>HR-L1-011 — [فجوة Engine 2: التحقق من صلاحية شهادة الضريبة]</w:t>
            </w:r>
          </w:p>
        </w:tc>
        <w:tc>
          <w:tcPr>
            <w:tcW w:type="dxa" w:w="1728"/>
          </w:tcPr>
          <w:p>
            <w:r>
              <w:rPr>
                <w:sz w:val="18"/>
              </w:rPr>
              <w:t>RFP Fact</w:t>
            </w:r>
          </w:p>
        </w:tc>
      </w:tr>
      <w:tr>
        <w:tc>
          <w:tcPr>
            <w:tcW w:type="dxa" w:w="1728"/>
          </w:tcPr>
          <w:p>
            <w:r>
              <w:rPr>
                <w:sz w:val="18"/>
              </w:rPr>
              <w:t>COMP-007</w:t>
            </w:r>
          </w:p>
        </w:tc>
        <w:tc>
          <w:tcPr>
            <w:tcW w:type="dxa" w:w="1728"/>
          </w:tcPr>
          <w:p>
            <w:r>
              <w:rPr>
                <w:sz w:val="18"/>
              </w:rPr>
              <w:t>تقديم شهادة تأمينات اجتماعية سارية المفعول (CR-5).</w:t>
            </w:r>
          </w:p>
        </w:tc>
        <w:tc>
          <w:tcPr>
            <w:tcW w:type="dxa" w:w="1728"/>
          </w:tcPr>
          <w:p>
            <w:r>
              <w:rPr>
                <w:sz w:val="18"/>
              </w:rPr>
              <w:t>تُرفق شهادة التأمينات الاجتماعية سارية المفعول ضمن المظروف الفني. المالك: إدارة الموارد البشرية في SG. التحقق: صلاحية الشهادة.</w:t>
            </w:r>
          </w:p>
        </w:tc>
        <w:tc>
          <w:tcPr>
            <w:tcW w:type="dxa" w:w="1728"/>
          </w:tcPr>
          <w:p>
            <w:r>
              <w:rPr>
                <w:sz w:val="18"/>
              </w:rPr>
              <w:t>HR-L1-012 — [فجوة Engine 2: التحقق من صلاحية شهادة التأمينات]</w:t>
            </w:r>
          </w:p>
        </w:tc>
        <w:tc>
          <w:tcPr>
            <w:tcW w:type="dxa" w:w="1728"/>
          </w:tcPr>
          <w:p>
            <w:r>
              <w:rPr>
                <w:sz w:val="18"/>
              </w:rPr>
              <w:t>RFP Fact</w:t>
            </w:r>
          </w:p>
        </w:tc>
      </w:tr>
      <w:tr>
        <w:tc>
          <w:tcPr>
            <w:tcW w:type="dxa" w:w="1728"/>
          </w:tcPr>
          <w:p>
            <w:r>
              <w:rPr>
                <w:sz w:val="18"/>
              </w:rPr>
              <w:t>COMP-008</w:t>
            </w:r>
          </w:p>
        </w:tc>
        <w:tc>
          <w:tcPr>
            <w:tcW w:type="dxa" w:w="1728"/>
          </w:tcPr>
          <w:p>
            <w:r>
              <w:rPr>
                <w:sz w:val="18"/>
              </w:rPr>
              <w:t>تقديم شهادة اشتراك الغرفة التجارية سارية المفعول (CR-6).</w:t>
            </w:r>
          </w:p>
        </w:tc>
        <w:tc>
          <w:tcPr>
            <w:tcW w:type="dxa" w:w="1728"/>
          </w:tcPr>
          <w:p>
            <w:r>
              <w:rPr>
                <w:sz w:val="18"/>
              </w:rPr>
              <w:t>تُرفق شهادة اشتراك الغرفة التجارية سارية المفعول ضمن المظروف الفني. المالك: إدارة الشؤون القانونية في SG. التحقق: صلاحية الشهادة.</w:t>
            </w:r>
          </w:p>
        </w:tc>
        <w:tc>
          <w:tcPr>
            <w:tcW w:type="dxa" w:w="1728"/>
          </w:tcPr>
          <w:p>
            <w:r>
              <w:rPr>
                <w:sz w:val="18"/>
              </w:rPr>
              <w:t>HR-L1-013 — [فجوة Engine 2: التحقق من صلاحية شهادة الغرفة التجارية]</w:t>
            </w:r>
          </w:p>
        </w:tc>
        <w:tc>
          <w:tcPr>
            <w:tcW w:type="dxa" w:w="1728"/>
          </w:tcPr>
          <w:p>
            <w:r>
              <w:rPr>
                <w:sz w:val="18"/>
              </w:rPr>
              <w:t>RFP Fact</w:t>
            </w:r>
          </w:p>
        </w:tc>
      </w:tr>
      <w:tr>
        <w:tc>
          <w:tcPr>
            <w:tcW w:type="dxa" w:w="1728"/>
          </w:tcPr>
          <w:p>
            <w:r>
              <w:rPr>
                <w:sz w:val="18"/>
              </w:rPr>
              <w:t>COMP-009</w:t>
            </w:r>
          </w:p>
        </w:tc>
        <w:tc>
          <w:tcPr>
            <w:tcW w:type="dxa" w:w="1728"/>
          </w:tcPr>
          <w:p>
            <w:r>
              <w:rPr>
                <w:sz w:val="18"/>
              </w:rPr>
              <w:t>تقديم شهادة السعودة (نطاقات) سارية المفعول (CR-7).</w:t>
            </w:r>
          </w:p>
        </w:tc>
        <w:tc>
          <w:tcPr>
            <w:tcW w:type="dxa" w:w="1728"/>
          </w:tcPr>
          <w:p>
            <w:r>
              <w:rPr>
                <w:sz w:val="18"/>
              </w:rPr>
              <w:t>تُرفق شهادة السعودة سارية المفعول ضمن المظروف الفني. المالك: إدارة الموارد البشرية في SG. التحقق: صلاحية الشهادة ونطاق أخضر أو أعلى.</w:t>
            </w:r>
          </w:p>
        </w:tc>
        <w:tc>
          <w:tcPr>
            <w:tcW w:type="dxa" w:w="1728"/>
          </w:tcPr>
          <w:p>
            <w:r>
              <w:rPr>
                <w:sz w:val="18"/>
              </w:rPr>
              <w:t>HR-L1-014 — [فجوة Engine 2: التحقق من صلاحية شهادة السعودة ومستوى النطاق]</w:t>
            </w:r>
          </w:p>
        </w:tc>
        <w:tc>
          <w:tcPr>
            <w:tcW w:type="dxa" w:w="1728"/>
          </w:tcPr>
          <w:p>
            <w:r>
              <w:rPr>
                <w:sz w:val="18"/>
              </w:rPr>
              <w:t>RFP Fact</w:t>
            </w:r>
          </w:p>
        </w:tc>
      </w:tr>
      <w:tr>
        <w:tc>
          <w:tcPr>
            <w:tcW w:type="dxa" w:w="1728"/>
          </w:tcPr>
          <w:p>
            <w:r>
              <w:rPr>
                <w:sz w:val="18"/>
              </w:rPr>
              <w:t>COMP-010</w:t>
            </w:r>
          </w:p>
        </w:tc>
        <w:tc>
          <w:tcPr>
            <w:tcW w:type="dxa" w:w="1728"/>
          </w:tcPr>
          <w:p>
            <w:r>
              <w:rPr>
                <w:sz w:val="18"/>
              </w:rPr>
              <w:t>تقديم ضمان ابتدائي بنسبة 1% من القيمة الإجمالية للعرض، يُرفق أصله في ملف العرض المالي (CR-8).</w:t>
            </w:r>
          </w:p>
        </w:tc>
        <w:tc>
          <w:tcPr>
            <w:tcW w:type="dxa" w:w="1728"/>
          </w:tcPr>
          <w:p>
            <w:r>
              <w:rPr>
                <w:sz w:val="18"/>
              </w:rPr>
              <w:t>يُصدر الضمان الابتدائي بنسبة 1% من القيمة الإجمالية ويُرفق أصله في المظروف المالي المشفر عبر منصة اعتماد. المالك: الإدارة المالية في SG. التوقيت: الإصدار قبل 72 ساعة من موعد التسليم.</w:t>
            </w:r>
          </w:p>
        </w:tc>
        <w:tc>
          <w:tcPr>
            <w:tcW w:type="dxa" w:w="1728"/>
          </w:tcPr>
          <w:p>
            <w:r>
              <w:rPr>
                <w:sz w:val="18"/>
              </w:rPr>
              <w:t>HR-L1-015 — [فجوة Engine 2: التنسيق مع البنك لإصدار الضمان]</w:t>
            </w:r>
          </w:p>
        </w:tc>
        <w:tc>
          <w:tcPr>
            <w:tcW w:type="dxa" w:w="1728"/>
          </w:tcPr>
          <w:p>
            <w:r>
              <w:rPr>
                <w:sz w:val="18"/>
              </w:rPr>
              <w:t>RFP Fact</w:t>
            </w:r>
          </w:p>
        </w:tc>
      </w:tr>
      <w:tr>
        <w:tc>
          <w:tcPr>
            <w:tcW w:type="dxa" w:w="1728"/>
          </w:tcPr>
          <w:p>
            <w:r>
              <w:rPr>
                <w:sz w:val="18"/>
              </w:rPr>
              <w:t>COMP-011</w:t>
            </w:r>
          </w:p>
        </w:tc>
        <w:tc>
          <w:tcPr>
            <w:tcW w:type="dxa" w:w="1728"/>
          </w:tcPr>
          <w:p>
            <w:r>
              <w:rPr>
                <w:sz w:val="18"/>
              </w:rPr>
              <w:t>تقديم ضمان نهائي بنسبة 5% من قيمة العقد خلال 15 يوم عمل من تاريخ إبلاغ الترسية (CR-9).</w:t>
            </w:r>
          </w:p>
        </w:tc>
        <w:tc>
          <w:tcPr>
            <w:tcW w:type="dxa" w:w="1728"/>
          </w:tcPr>
          <w:p>
            <w:r>
              <w:rPr>
                <w:sz w:val="18"/>
              </w:rPr>
              <w:t>يُجهز الضمان النهائي فور إبلاغ الترسية ضمن المهلة المحددة (15 يوم عمل). يُنسق مسبقاً مع البنك لتسريع الإصدار. المالك: الإدارة المالية في SG.</w:t>
            </w:r>
          </w:p>
        </w:tc>
        <w:tc>
          <w:tcPr>
            <w:tcW w:type="dxa" w:w="1728"/>
          </w:tcPr>
          <w:p>
            <w:r>
              <w:rPr>
                <w:sz w:val="18"/>
              </w:rPr>
              <w:t>HR-L1-016 — [فجوة Engine 2: التنسيق المسبق مع البنك]</w:t>
            </w:r>
          </w:p>
        </w:tc>
        <w:tc>
          <w:tcPr>
            <w:tcW w:type="dxa" w:w="1728"/>
          </w:tcPr>
          <w:p>
            <w:r>
              <w:rPr>
                <w:sz w:val="18"/>
              </w:rPr>
              <w:t>RFP Fact</w:t>
            </w:r>
          </w:p>
        </w:tc>
      </w:tr>
      <w:tr>
        <w:tc>
          <w:tcPr>
            <w:tcW w:type="dxa" w:w="1728"/>
          </w:tcPr>
          <w:p>
            <w:r>
              <w:rPr>
                <w:sz w:val="18"/>
              </w:rPr>
              <w:t>COMP-012</w:t>
            </w:r>
          </w:p>
        </w:tc>
        <w:tc>
          <w:tcPr>
            <w:tcW w:type="dxa" w:w="1728"/>
          </w:tcPr>
          <w:p>
            <w:r>
              <w:rPr>
                <w:sz w:val="18"/>
              </w:rPr>
              <w:t>سريان العرض 90 يوماً من تاريخ التسليم (CR-10).</w:t>
            </w:r>
          </w:p>
        </w:tc>
        <w:tc>
          <w:tcPr>
            <w:tcW w:type="dxa" w:w="1728"/>
          </w:tcPr>
          <w:p>
            <w:r>
              <w:rPr>
                <w:sz w:val="18"/>
              </w:rPr>
              <w:t>يُنص صراحة في خطاب العرض على سريان العرض لمدة 90 يوماً من تاريخ التسليم. جميع الشهادات والضمانات تغطي هذه الفترة.</w:t>
            </w:r>
          </w:p>
        </w:tc>
        <w:tc>
          <w:tcPr>
            <w:tcW w:type="dxa" w:w="1728"/>
          </w:tcPr>
          <w:p>
            <w:r>
              <w:rPr>
                <w:sz w:val="18"/>
              </w:rPr>
              <w:t>HR-L1-017 — compliance_requirements[CR-10]</w:t>
            </w:r>
          </w:p>
        </w:tc>
        <w:tc>
          <w:tcPr>
            <w:tcW w:type="dxa" w:w="1728"/>
          </w:tcPr>
          <w:p>
            <w:r>
              <w:rPr>
                <w:sz w:val="18"/>
              </w:rPr>
              <w:t>RFP Fact</w:t>
            </w:r>
          </w:p>
        </w:tc>
      </w:tr>
      <w:tr>
        <w:tc>
          <w:tcPr>
            <w:tcW w:type="dxa" w:w="1728"/>
          </w:tcPr>
          <w:p>
            <w:r>
              <w:rPr>
                <w:sz w:val="18"/>
              </w:rPr>
              <w:t>COMP-013</w:t>
            </w:r>
          </w:p>
        </w:tc>
        <w:tc>
          <w:tcPr>
            <w:tcW w:type="dxa" w:w="1728"/>
          </w:tcPr>
          <w:p>
            <w:r>
              <w:rPr>
                <w:sz w:val="18"/>
              </w:rPr>
              <w:t>تقديم العرض عبر منصة اعتماد في مظروفين إلكترونيين منفصلين مشفرين بصيغة PDF.</w:t>
            </w:r>
          </w:p>
        </w:tc>
        <w:tc>
          <w:tcPr>
            <w:tcW w:type="dxa" w:w="1728"/>
          </w:tcPr>
          <w:p>
            <w:r>
              <w:rPr>
                <w:sz w:val="18"/>
              </w:rPr>
              <w:t>يُعد العرض الفني والمالي كملفين PDF منفصلين مشفرين ويُرفعان عبر منصة اعتماد. التحقق من نجاح الرفع والتشفير قبل 24 ساعة من الموعد النهائي. المظروف الفني: العرض_الفني.pdf + مرفقات الشهادات. المظروف المالي: العرض_المالي.pdf + الضمان الابتدائي.</w:t>
            </w:r>
          </w:p>
        </w:tc>
        <w:tc>
          <w:tcPr>
            <w:tcW w:type="dxa" w:w="1728"/>
          </w:tcPr>
          <w:p>
            <w:r>
              <w:rPr>
                <w:sz w:val="18"/>
              </w:rPr>
              <w:t>HR-L1-019 إلى HR-L1-024 — submission_format</w:t>
            </w:r>
          </w:p>
        </w:tc>
        <w:tc>
          <w:tcPr>
            <w:tcW w:type="dxa" w:w="1728"/>
          </w:tcPr>
          <w:p>
            <w:r>
              <w:rPr>
                <w:sz w:val="18"/>
              </w:rPr>
              <w:t>RFP Fact</w:t>
            </w:r>
          </w:p>
        </w:tc>
      </w:tr>
      <w:tr>
        <w:tc>
          <w:tcPr>
            <w:tcW w:type="dxa" w:w="1728"/>
          </w:tcPr>
          <w:p>
            <w:r>
              <w:rPr>
                <w:sz w:val="18"/>
              </w:rPr>
              <w:t>COMP-014</w:t>
            </w:r>
          </w:p>
        </w:tc>
        <w:tc>
          <w:tcPr>
            <w:tcW w:type="dxa" w:w="1728"/>
          </w:tcPr>
          <w:p>
            <w:r>
              <w:rPr>
                <w:sz w:val="18"/>
              </w:rPr>
              <w:t>تغطية ما لا يقل عن 5 قطاعات ذات أولوية في حصر المنتجات والخدمات (SI-2).</w:t>
            </w:r>
          </w:p>
        </w:tc>
        <w:tc>
          <w:tcPr>
            <w:tcW w:type="dxa" w:w="1728"/>
          </w:tcPr>
          <w:p>
            <w:r>
              <w:rPr>
                <w:sz w:val="18"/>
              </w:rPr>
              <w:t>المنهجية المقترحة تغطي 5 قطاعات كحد أدنى. يُحدد اختيار القطاعات بالتنسيق مع المركز في المرحلة 1 بناءً على معايير الأولوية التنموية. يُوثق تبرير الاختيار في D-6.</w:t>
            </w:r>
          </w:p>
        </w:tc>
        <w:tc>
          <w:tcPr>
            <w:tcW w:type="dxa" w:w="1728"/>
          </w:tcPr>
          <w:p>
            <w:r>
              <w:rPr>
                <w:sz w:val="18"/>
              </w:rPr>
              <w:t>scope_items SI-2 — حد أدنى صريح</w:t>
            </w:r>
          </w:p>
        </w:tc>
        <w:tc>
          <w:tcPr>
            <w:tcW w:type="dxa" w:w="1728"/>
          </w:tcPr>
          <w:p>
            <w:r>
              <w:rPr>
                <w:sz w:val="18"/>
              </w:rPr>
              <w:t>RFP Fact</w:t>
            </w:r>
          </w:p>
        </w:tc>
      </w:tr>
      <w:tr>
        <w:tc>
          <w:tcPr>
            <w:tcW w:type="dxa" w:w="1728"/>
          </w:tcPr>
          <w:p>
            <w:r>
              <w:rPr>
                <w:sz w:val="18"/>
              </w:rPr>
              <w:t>COMP-015</w:t>
            </w:r>
          </w:p>
        </w:tc>
        <w:tc>
          <w:tcPr>
            <w:tcW w:type="dxa" w:w="1728"/>
          </w:tcPr>
          <w:p>
            <w:r>
              <w:rPr>
                <w:sz w:val="18"/>
              </w:rPr>
              <w:t>دراسة الممارسات الدولية الرائدة في ما لا يقل عن 5 دول (SI-3).</w:t>
            </w:r>
          </w:p>
        </w:tc>
        <w:tc>
          <w:tcPr>
            <w:tcW w:type="dxa" w:w="1728"/>
          </w:tcPr>
          <w:p>
            <w:r>
              <w:rPr>
                <w:sz w:val="18"/>
              </w:rPr>
              <w:t>المنهجية تتضمن دراسة مقارنة معيارية لـ 5 دول على الأقل مع تبرير اختيار كل دولة. الحزمة الخارجية تغطي حالياً 3 دول (أمريكا EXT-001، أستراليا EXT-005، إندونيسيا EXT-007). فجوة: بحث إضافي مطلوب لتغطية دولتين إضافيتين.</w:t>
            </w:r>
          </w:p>
        </w:tc>
        <w:tc>
          <w:tcPr>
            <w:tcW w:type="dxa" w:w="1728"/>
          </w:tcPr>
          <w:p>
            <w:r>
              <w:rPr>
                <w:sz w:val="18"/>
              </w:rPr>
              <w:t>EXT-001، EXT-005، EXT-007 — [فجوة: دولتان إضافيتان مطلوبتان]</w:t>
            </w:r>
          </w:p>
        </w:tc>
        <w:tc>
          <w:tcPr>
            <w:tcW w:type="dxa" w:w="1728"/>
          </w:tcPr>
          <w:p>
            <w:r>
              <w:rPr>
                <w:sz w:val="18"/>
              </w:rPr>
              <w:t>RFP Fact</w:t>
            </w:r>
          </w:p>
        </w:tc>
      </w:tr>
      <w:tr>
        <w:tc>
          <w:tcPr>
            <w:tcW w:type="dxa" w:w="1728"/>
          </w:tcPr>
          <w:p>
            <w:r>
              <w:rPr>
                <w:sz w:val="18"/>
              </w:rPr>
              <w:t>COMP-016</w:t>
            </w:r>
          </w:p>
        </w:tc>
        <w:tc>
          <w:tcPr>
            <w:tcW w:type="dxa" w:w="1728"/>
          </w:tcPr>
          <w:p>
            <w:r>
              <w:rPr>
                <w:sz w:val="18"/>
              </w:rPr>
              <w:t>تدريب وتطوير العاملين في المركز قبل المشروع وفي كافة مراحل المشروع (SI-8).</w:t>
            </w:r>
          </w:p>
        </w:tc>
        <w:tc>
          <w:tcPr>
            <w:tcW w:type="dxa" w:w="1728"/>
          </w:tcPr>
          <w:p>
            <w:r>
              <w:rPr>
                <w:sz w:val="18"/>
              </w:rPr>
              <w:t>برنامج تدريبي متدرج: ورشة تأسيسية قبل بدء المشروع + ورشة تطبيقية في كل مرحلة مرتبطة بمخرجاتها + تسليم أدوات ونماذج عمل قابلة لإعادة الاستخدام.</w:t>
            </w:r>
          </w:p>
        </w:tc>
        <w:tc>
          <w:tcPr>
            <w:tcW w:type="dxa" w:w="1728"/>
          </w:tcPr>
          <w:p>
            <w:r>
              <w:rPr>
                <w:sz w:val="18"/>
              </w:rPr>
              <w:t>[فجوة Engine 2: لا تتوفر أدلة داخلية على برامج تدريب سابقة — مطلوب نماذج من مشاريع سابقة]</w:t>
            </w:r>
          </w:p>
        </w:tc>
        <w:tc>
          <w:tcPr>
            <w:tcW w:type="dxa" w:w="1728"/>
          </w:tcPr>
          <w:p>
            <w:r>
              <w:rPr>
                <w:sz w:val="18"/>
              </w:rPr>
              <w:t>RFP Fact</w:t>
            </w:r>
          </w:p>
        </w:tc>
      </w:tr>
      <w:tr>
        <w:tc>
          <w:tcPr>
            <w:tcW w:type="dxa" w:w="1728"/>
          </w:tcPr>
          <w:p>
            <w:r>
              <w:rPr>
                <w:sz w:val="18"/>
              </w:rPr>
              <w:t>COMP-017</w:t>
            </w:r>
          </w:p>
        </w:tc>
        <w:tc>
          <w:tcPr>
            <w:tcW w:type="dxa" w:w="1728"/>
          </w:tcPr>
          <w:p>
            <w:r>
              <w:rPr>
                <w:sz w:val="18"/>
              </w:rPr>
              <w:t>تأمين فريق العمل حسب المسمى الوظيفي والمؤهلات والخبرة المبينة في جدول مواصفات فريق العمل — الملحق 2 (team_requirements).</w:t>
            </w:r>
          </w:p>
        </w:tc>
        <w:tc>
          <w:tcPr>
            <w:tcW w:type="dxa" w:w="1728"/>
          </w:tcPr>
          <w:p>
            <w:r>
              <w:rPr>
                <w:sz w:val="18"/>
              </w:rPr>
              <w:t>يُصمم الفريق وفق هيكل هرمي يتوافق مع متطلبات الملحق 2. جميع الأدوار تُعامل كـ open_role_profile حتى توفر بيانات الفريق من Engine 2 والحصول على تفاصيل الملحق 2 الكاملة.</w:t>
            </w:r>
          </w:p>
        </w:tc>
        <w:tc>
          <w:tcPr>
            <w:tcW w:type="dxa" w:w="1728"/>
          </w:tcPr>
          <w:p>
            <w:r>
              <w:rPr>
                <w:sz w:val="18"/>
              </w:rPr>
              <w:t>HR-L1-018 — [فجوة حرجة مزدوجة: (1) تفاصيل الملحق 2 غير متوفرة، (2) بيانات فريق SG غير متوفرة]</w:t>
            </w:r>
          </w:p>
        </w:tc>
        <w:tc>
          <w:tcPr>
            <w:tcW w:type="dxa" w:w="1728"/>
          </w:tcPr>
          <w:p>
            <w:r>
              <w:rPr>
                <w:sz w:val="18"/>
              </w:rPr>
              <w:t>RFP Fact</w:t>
            </w:r>
          </w:p>
        </w:tc>
      </w:tr>
      <w:tr>
        <w:tc>
          <w:tcPr>
            <w:tcW w:type="dxa" w:w="1728"/>
          </w:tcPr>
          <w:p>
            <w:r>
              <w:rPr>
                <w:sz w:val="18"/>
              </w:rPr>
              <w:t>COMP-018</w:t>
            </w:r>
          </w:p>
        </w:tc>
        <w:tc>
          <w:tcPr>
            <w:tcW w:type="dxa" w:w="1728"/>
          </w:tcPr>
          <w:p>
            <w:r>
              <w:rPr>
                <w:sz w:val="18"/>
              </w:rPr>
              <w:t>تسليم 23 مخرجاً إلزامياً (D-1 إلى D-23) حسب الجدول الزمني المحدد لكل مرحلة.</w:t>
            </w:r>
          </w:p>
        </w:tc>
        <w:tc>
          <w:tcPr>
            <w:tcW w:type="dxa" w:w="1728"/>
          </w:tcPr>
          <w:p>
            <w:r>
              <w:rPr>
                <w:sz w:val="18"/>
              </w:rPr>
              <w:t>العرض الفني يتضمن وصفاً لمنهجية إعداد كل مخرج من المخرجات الـ 23، مع ربط كل مخرج بالمرحلة المحددة له. يُرفق جدول تقاطعي (Phase-to-Deliverable Crosswalk) يربط كل مخرج بالمرحلة والشهر والمسؤول ومعايير القبول.</w:t>
            </w:r>
          </w:p>
        </w:tc>
        <w:tc>
          <w:tcPr>
            <w:tcW w:type="dxa" w:w="1728"/>
          </w:tcPr>
          <w:p>
            <w:r>
              <w:rPr>
                <w:sz w:val="18"/>
              </w:rPr>
              <w:t>deliverables[D-1 to D-23] mandatory=true — HR-L1-030 إلى HR-L1-052</w:t>
            </w:r>
          </w:p>
        </w:tc>
        <w:tc>
          <w:tcPr>
            <w:tcW w:type="dxa" w:w="1728"/>
          </w:tcPr>
          <w:p>
            <w:r>
              <w:rPr>
                <w:sz w:val="18"/>
              </w:rPr>
              <w:t>RFP Fact</w:t>
            </w:r>
          </w:p>
        </w:tc>
      </w:tr>
      <w:tr>
        <w:tc>
          <w:tcPr>
            <w:tcW w:type="dxa" w:w="1728"/>
          </w:tcPr>
          <w:p>
            <w:r>
              <w:rPr>
                <w:sz w:val="18"/>
              </w:rPr>
              <w:t>COMP-019</w:t>
            </w:r>
          </w:p>
        </w:tc>
        <w:tc>
          <w:tcPr>
            <w:tcW w:type="dxa" w:w="1728"/>
          </w:tcPr>
          <w:p>
            <w:r>
              <w:rPr>
                <w:sz w:val="18"/>
              </w:rPr>
              <w:t>تسليم ميثاق المشروع (D-5) ضمن مخرجات المرحلة 1.</w:t>
            </w:r>
          </w:p>
        </w:tc>
        <w:tc>
          <w:tcPr>
            <w:tcW w:type="dxa" w:w="1728"/>
          </w:tcPr>
          <w:p>
            <w:r>
              <w:rPr>
                <w:sz w:val="18"/>
              </w:rPr>
              <w:t>يُعد ميثاق المشروع في المرحلة 1 ويتضمن: أهداف المشروع، نطاق العمل، الهيكل التنظيمي، الأدوار والمسؤوليات، الافتراضات والقيود، معايير النجاح. يُعتمد من لجنة التوجيه قبل الانتقال للمرحلة 2.</w:t>
            </w:r>
          </w:p>
        </w:tc>
        <w:tc>
          <w:tcPr>
            <w:tcW w:type="dxa" w:w="1728"/>
          </w:tcPr>
          <w:p>
            <w:r>
              <w:rPr>
                <w:sz w:val="18"/>
              </w:rPr>
              <w:t>HR-L1-034 — deliverables[D-5] mandatory=true</w:t>
            </w:r>
          </w:p>
        </w:tc>
        <w:tc>
          <w:tcPr>
            <w:tcW w:type="dxa" w:w="1728"/>
          </w:tcPr>
          <w:p>
            <w:r>
              <w:rPr>
                <w:sz w:val="18"/>
              </w:rPr>
              <w:t>RFP Fact</w:t>
            </w:r>
          </w:p>
        </w:tc>
      </w:tr>
      <w:tr>
        <w:tc>
          <w:tcPr>
            <w:tcW w:type="dxa" w:w="1728"/>
          </w:tcPr>
          <w:p>
            <w:r>
              <w:rPr>
                <w:sz w:val="18"/>
              </w:rPr>
              <w:t>COMP-020</w:t>
            </w:r>
          </w:p>
        </w:tc>
        <w:tc>
          <w:tcPr>
            <w:tcW w:type="dxa" w:w="1728"/>
          </w:tcPr>
          <w:p>
            <w:r>
              <w:rPr>
                <w:sz w:val="18"/>
              </w:rPr>
              <w:t>تسليم وثيقة قائمة خبراء السوق المحليين/الدوليين المتخصصين في كل قطاع/نشاط (D-2) ضمن مخرجات المرحلة 1.</w:t>
            </w:r>
          </w:p>
        </w:tc>
        <w:tc>
          <w:tcPr>
            <w:tcW w:type="dxa" w:w="1728"/>
          </w:tcPr>
          <w:p>
            <w:r>
              <w:rPr>
                <w:sz w:val="18"/>
              </w:rPr>
              <w:t>تُعد قائمة الخبراء في المرحلة 1 وتتضمن: اسم الخبير، التخصص القطاعي، الخبرة الدولية/المحلية، دوره المقترح في المشروع. يُحدد ما لا يقل عن خبيرين لكل قطاع من القطاعات الخمسة.</w:t>
            </w:r>
          </w:p>
        </w:tc>
        <w:tc>
          <w:tcPr>
            <w:tcW w:type="dxa" w:w="1728"/>
          </w:tcPr>
          <w:p>
            <w:r>
              <w:rPr>
                <w:sz w:val="18"/>
              </w:rPr>
              <w:t>HR-L1-031 — deliverables[D-2] mandatory=true</w:t>
            </w:r>
          </w:p>
        </w:tc>
        <w:tc>
          <w:tcPr>
            <w:tcW w:type="dxa" w:w="1728"/>
          </w:tcPr>
          <w:p>
            <w:r>
              <w:rPr>
                <w:sz w:val="18"/>
              </w:rPr>
              <w:t>RFP Fact</w:t>
            </w:r>
          </w:p>
        </w:tc>
      </w:tr>
      <w:tr>
        <w:tc>
          <w:tcPr>
            <w:tcW w:type="dxa" w:w="1728"/>
          </w:tcPr>
          <w:p>
            <w:r>
              <w:rPr>
                <w:sz w:val="18"/>
              </w:rPr>
              <w:t>COMP-021</w:t>
            </w:r>
          </w:p>
        </w:tc>
        <w:tc>
          <w:tcPr>
            <w:tcW w:type="dxa" w:w="1728"/>
          </w:tcPr>
          <w:p>
            <w:r>
              <w:rPr>
                <w:sz w:val="18"/>
              </w:rPr>
              <w:t>تسليم وثيقة الحزمة التحفيزية (D-20) ضمن مخرجات المرحلة 4.</w:t>
            </w:r>
          </w:p>
        </w:tc>
        <w:tc>
          <w:tcPr>
            <w:tcW w:type="dxa" w:w="1728"/>
          </w:tcPr>
          <w:p>
            <w:r>
              <w:rPr>
                <w:sz w:val="18"/>
              </w:rPr>
              <w:t>تُعد وثيقة الحزمة التحفيزية في المرحلة 4 وتتضمن: أنواع الحوافز (مالية، تنظيمية، تقنية)، الفئات المستهدفة، آليات التطبيق، الجدول الزمني، مؤشرات قياس الفعالية. يُستند إلى ممارسات دولية مقارنة (EXT-010).</w:t>
            </w:r>
          </w:p>
        </w:tc>
        <w:tc>
          <w:tcPr>
            <w:tcW w:type="dxa" w:w="1728"/>
          </w:tcPr>
          <w:p>
            <w:r>
              <w:rPr>
                <w:sz w:val="18"/>
              </w:rPr>
              <w:t>HR-L1-049 — deliverables[D-20] mandatory=true، EXT-010</w:t>
            </w:r>
          </w:p>
        </w:tc>
        <w:tc>
          <w:tcPr>
            <w:tcW w:type="dxa" w:w="1728"/>
          </w:tcPr>
          <w:p>
            <w:r>
              <w:rPr>
                <w:sz w:val="18"/>
              </w:rPr>
              <w:t>RFP Fact</w:t>
            </w:r>
          </w:p>
        </w:tc>
      </w:tr>
      <w:tr>
        <w:tc>
          <w:tcPr>
            <w:tcW w:type="dxa" w:w="1728"/>
          </w:tcPr>
          <w:p>
            <w:r>
              <w:rPr>
                <w:sz w:val="18"/>
              </w:rPr>
              <w:t>COMP-022</w:t>
            </w:r>
          </w:p>
        </w:tc>
        <w:tc>
          <w:tcPr>
            <w:tcW w:type="dxa" w:w="1728"/>
          </w:tcPr>
          <w:p>
            <w:r>
              <w:rPr>
                <w:sz w:val="18"/>
              </w:rPr>
              <w:t>تسليم بطاقة لكل منتج وخدمة ذات أولوية (D-21) ضمن مخرجات المرحلة 4.</w:t>
            </w:r>
          </w:p>
        </w:tc>
        <w:tc>
          <w:tcPr>
            <w:tcW w:type="dxa" w:w="1728"/>
          </w:tcPr>
          <w:p>
            <w:r>
              <w:rPr>
                <w:sz w:val="18"/>
              </w:rPr>
              <w:t>تُعد بطاقات المنتجات والخدمات في المرحلة 4 بقالب موحد يتضمن: الوصف، القطاع المستهدف، الفئة المستفيدة، نموذج التشغيل، التكلفة التقديرية، الأثر المتوقع، الحوافز المطلوبة، مؤشرات القياس.</w:t>
            </w:r>
          </w:p>
        </w:tc>
        <w:tc>
          <w:tcPr>
            <w:tcW w:type="dxa" w:w="1728"/>
          </w:tcPr>
          <w:p>
            <w:r>
              <w:rPr>
                <w:sz w:val="18"/>
              </w:rPr>
              <w:t>HR-L1-050 — deliverables[D-21] mandatory=true</w:t>
            </w:r>
          </w:p>
        </w:tc>
        <w:tc>
          <w:tcPr>
            <w:tcW w:type="dxa" w:w="1728"/>
          </w:tcPr>
          <w:p>
            <w:r>
              <w:rPr>
                <w:sz w:val="18"/>
              </w:rPr>
              <w:t>RFP Fact</w:t>
            </w:r>
          </w:p>
        </w:tc>
      </w:tr>
      <w:tr>
        <w:tc>
          <w:tcPr>
            <w:tcW w:type="dxa" w:w="1728"/>
          </w:tcPr>
          <w:p>
            <w:r>
              <w:rPr>
                <w:sz w:val="18"/>
              </w:rPr>
              <w:t>COMP-023</w:t>
            </w:r>
          </w:p>
        </w:tc>
        <w:tc>
          <w:tcPr>
            <w:tcW w:type="dxa" w:w="1728"/>
          </w:tcPr>
          <w:p>
            <w:r>
              <w:rPr>
                <w:sz w:val="18"/>
              </w:rPr>
              <w:t>تسليم وثيقة منهجية قياس الأثر والمستهدفات والاستدامة (D-22) وقائمة المؤشرات اللازمة لضمان تحقيق الأثر (D-23) ضمن مخرجات المرحلة 5.</w:t>
            </w:r>
          </w:p>
        </w:tc>
        <w:tc>
          <w:tcPr>
            <w:tcW w:type="dxa" w:w="1728"/>
          </w:tcPr>
          <w:p>
            <w:r>
              <w:rPr>
                <w:sz w:val="18"/>
              </w:rPr>
              <w:t>تُعد منهجية قياس الأثر في المرحلة 5 وتتضمن: نظرية التغيير، مؤشرات الأثر والمخرجات والعمليات، مصادر البيانات، دورية القياس، معايير الاستدامة. قائمة المؤشرات (D-23) تُصنف حسب القطاع والمنتج/الخدمة.</w:t>
            </w:r>
          </w:p>
        </w:tc>
        <w:tc>
          <w:tcPr>
            <w:tcW w:type="dxa" w:w="1728"/>
          </w:tcPr>
          <w:p>
            <w:r>
              <w:rPr>
                <w:sz w:val="18"/>
              </w:rPr>
              <w:t>deliverables[D-22, D-23] mandatory=true، EXT-009</w:t>
            </w:r>
          </w:p>
        </w:tc>
        <w:tc>
          <w:tcPr>
            <w:tcW w:type="dxa" w:w="1728"/>
          </w:tcPr>
          <w:p>
            <w:r>
              <w:rPr>
                <w:sz w:val="18"/>
              </w:rPr>
              <w:t>RFP Fact</w:t>
            </w:r>
          </w:p>
        </w:tc>
      </w:tr>
      <w:tr>
        <w:tc>
          <w:tcPr>
            <w:tcW w:type="dxa" w:w="1728"/>
          </w:tcPr>
          <w:p>
            <w:r>
              <w:rPr>
                <w:sz w:val="18"/>
              </w:rPr>
              <w:t>COMP-024</w:t>
            </w:r>
          </w:p>
        </w:tc>
        <w:tc>
          <w:tcPr>
            <w:tcW w:type="dxa" w:w="1728"/>
          </w:tcPr>
          <w:p>
            <w:r>
              <w:rPr>
                <w:sz w:val="18"/>
              </w:rPr>
              <w:t>تحليل أصحاب المصلحة القائمين والمحتملين ودراسة الوضع الراهن للمنتجات والخدمات القائمة في المملكة بمختلف أشكالها (SI-4).</w:t>
            </w:r>
          </w:p>
        </w:tc>
        <w:tc>
          <w:tcPr>
            <w:tcW w:type="dxa" w:w="1728"/>
          </w:tcPr>
          <w:p>
            <w:r>
              <w:rPr>
                <w:sz w:val="18"/>
              </w:rPr>
              <w:t>يُعد تحليل أصحاب المصلحة في المرحلة 2 ويتضمن: خارطة أصحاب المصلحة (D-8)، تحليل القوة/الاهتمام، وثيقة الوضع الراهن (D-9) تغطي أشكال الخدمات: جمع التبرع، التطوع، الوقف، الاستقبال.</w:t>
            </w:r>
          </w:p>
        </w:tc>
        <w:tc>
          <w:tcPr>
            <w:tcW w:type="dxa" w:w="1728"/>
          </w:tcPr>
          <w:p>
            <w:r>
              <w:rPr>
                <w:sz w:val="18"/>
              </w:rPr>
              <w:t>scope_items SI-4، deliverables[D-8, D-9] mandatory=true</w:t>
            </w:r>
          </w:p>
        </w:tc>
        <w:tc>
          <w:tcPr>
            <w:tcW w:type="dxa" w:w="1728"/>
          </w:tcPr>
          <w:p>
            <w:r>
              <w:rPr>
                <w:sz w:val="18"/>
              </w:rPr>
              <w:t>RFP Fact</w:t>
            </w:r>
          </w:p>
        </w:tc>
      </w:tr>
    </w:tbl>
    <w:p/>
    <w:p>
      <w:pPr>
        <w:pStyle w:val="Heading3"/>
      </w:pPr>
      <w:r>
        <w:t>Assumptions &amp; Ambiguities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Type</w:t>
            </w:r>
          </w:p>
        </w:tc>
        <w:tc>
          <w:tcPr>
            <w:tcW w:type="dxa" w:w="4320"/>
          </w:tcPr>
          <w:p>
            <w:r>
              <w:rPr>
                <w:b/>
                <w:sz w:val="18"/>
              </w:rPr>
              <w:t>Description</w:t>
            </w:r>
          </w:p>
        </w:tc>
      </w:tr>
      <w:tr>
        <w:tc>
          <w:tcPr>
            <w:tcW w:type="dxa" w:w="4320"/>
          </w:tcPr>
          <w:p>
            <w:r>
              <w:t>Assumption</w:t>
            </w:r>
          </w:p>
        </w:tc>
        <w:tc>
          <w:tcPr>
            <w:tcW w:type="dxa" w:w="4320"/>
          </w:tcPr>
          <w:p>
            <w:r>
              <w:t>آلية pass_fail_then_lowest_price تعني أن التقييم الفني ثنائي (ناجح/راسب) بدون ترتيب نقاط بين العروض المجتازة، وأن السعر هو المحدد الوحيد بين المجتازين فنياً. لا توجد أوزان نسبية أو نقاط. [DIRECT_RFP_FACT — HR-L1-001]</w:t>
            </w:r>
          </w:p>
        </w:tc>
      </w:tr>
      <w:tr>
        <w:tc>
          <w:tcPr>
            <w:tcW w:type="dxa" w:w="4320"/>
          </w:tcPr>
          <w:p>
            <w:r>
              <w:t>Assumption</w:t>
            </w:r>
          </w:p>
        </w:tc>
        <w:tc>
          <w:tcPr>
            <w:tcW w:type="dxa" w:w="4320"/>
          </w:tcPr>
          <w:p>
            <w:r>
              <w:t>تفاصيل جدول مواصفات فريق العمل (الملحق 2) غير متوفرة في النص المستخرج. الافتراض: الملحق يتضمن مسميات وظيفية ومؤهلات وسنوات خبرة محددة يجب مطابقتها بدقة. [INFERENCE — confidence: high] — الإجراء: فريق المشتريات يحصل على الملحق الأصلي فوراً من منصة اعتماد.</w:t>
            </w:r>
          </w:p>
        </w:tc>
      </w:tr>
      <w:tr>
        <w:tc>
          <w:tcPr>
            <w:tcW w:type="dxa" w:w="4320"/>
          </w:tcPr>
          <w:p>
            <w:r>
              <w:t>Assumption</w:t>
            </w:r>
          </w:p>
        </w:tc>
        <w:tc>
          <w:tcPr>
            <w:tcW w:type="dxa" w:w="4320"/>
          </w:tcPr>
          <w:p>
            <w:r>
              <w:t>الافتراض: 'القطاعات ذات الأولوية' تشير إلى القطاعات المحددة في استراتيجية المركز أو رؤية 2030 للقطاع الثالث، وأن المتقدم يقترحها مع تبرير الاختيار ويعتمدها المركز في المرحلة الأولى. [INFERENCE — confidence: medium]</w:t>
            </w:r>
          </w:p>
        </w:tc>
      </w:tr>
      <w:tr>
        <w:tc>
          <w:tcPr>
            <w:tcW w:type="dxa" w:w="4320"/>
          </w:tcPr>
          <w:p>
            <w:r>
              <w:t>Assumption</w:t>
            </w:r>
          </w:p>
        </w:tc>
        <w:tc>
          <w:tcPr>
            <w:tcW w:type="dxa" w:w="4320"/>
          </w:tcPr>
          <w:p>
            <w:r>
              <w:t>الافتراض: المركز يقبل منهجية بحثية مختلطة (Mixed Methods) تجمع بين التحليل الكمي والنوعي، بناءً على تنوع المخرجات المطلوبة التي تشمل حصراً كمياً (D-6, D-9) وتحليلاً نوعياً (D-10, D-16) وورش عمل تشاركية (D-11). [INFERENCE — confidence: high]</w:t>
            </w:r>
          </w:p>
        </w:tc>
      </w:tr>
      <w:tr>
        <w:tc>
          <w:tcPr>
            <w:tcW w:type="dxa" w:w="4320"/>
          </w:tcPr>
          <w:p>
            <w:r>
              <w:t>Assumption</w:t>
            </w:r>
          </w:p>
        </w:tc>
        <w:tc>
          <w:tcPr>
            <w:tcW w:type="dxa" w:w="4320"/>
          </w:tcPr>
          <w:p>
            <w:r>
              <w:t>الافتراض: التقديم عبر منصة اعتماد يتطلب حساباً مفعلاً ومعتمداً مسبقاً. الإجراء: فريق تقنية المعلومات في SG يتحقق من فعالية الحساب قبل 2021-11-05.</w:t>
            </w:r>
          </w:p>
        </w:tc>
      </w:tr>
      <w:tr>
        <w:tc>
          <w:tcPr>
            <w:tcW w:type="dxa" w:w="4320"/>
          </w:tcPr>
          <w:p>
            <w:r>
              <w:t>Assumption</w:t>
            </w:r>
          </w:p>
        </w:tc>
        <w:tc>
          <w:tcPr>
            <w:tcW w:type="dxa" w:w="4320"/>
          </w:tcPr>
          <w:p>
            <w:r>
              <w:t>pack_context المرفق (qatar_public_sector, digital_transformation) لا ينطبق على هذه المنافسة السعودية — الجهة المصدرة سعودية والسياق التنظيمي سعودي بالكامل. لن تُطبق مراجع قطر أو التحول الرقمي إلا إذا كانت ذات صلة منهجية مباشرة.</w:t>
            </w:r>
          </w:p>
        </w:tc>
      </w:tr>
      <w:tr>
        <w:tc>
          <w:tcPr>
            <w:tcW w:type="dxa" w:w="4320"/>
          </w:tcPr>
          <w:p>
            <w:r>
              <w:t>Assumption</w:t>
            </w:r>
          </w:p>
        </w:tc>
        <w:tc>
          <w:tcPr>
            <w:tcW w:type="dxa" w:w="4320"/>
          </w:tcPr>
          <w:p>
            <w:r>
              <w:t>الافتراض: D-14 (الملخص التنفيذي) مخرج متكرر يُعد في نهاية كل مرحلة وليس مخرجاً واحداً نهائياً، بناءً على صياغة 'ملخص وأبرز النتائج والتوصيات في المرحلة'. [INFERENCE — confidence: high]</w:t>
            </w:r>
          </w:p>
        </w:tc>
      </w:tr>
      <w:tr>
        <w:tc>
          <w:tcPr>
            <w:tcW w:type="dxa" w:w="4320"/>
          </w:tcPr>
          <w:p>
            <w:r>
              <w:t>Assumption</w:t>
            </w:r>
          </w:p>
        </w:tc>
        <w:tc>
          <w:tcPr>
            <w:tcW w:type="dxa" w:w="4320"/>
          </w:tcPr>
          <w:p>
            <w:r>
              <w:t>الافتراض: المركز يتوقع أن يكون المتقدم هو المسؤول عن تحديد وتأهيل خبراء السوق المحليين والدوليين (D-2) وليس المركز، بناءً على صياغة SI-1. [INFERENCE — confidence: high]</w:t>
            </w:r>
          </w:p>
        </w:tc>
      </w:tr>
      <w:tr>
        <w:tc>
          <w:tcPr>
            <w:tcW w:type="dxa" w:w="4320"/>
          </w:tcPr>
          <w:p>
            <w:r>
              <w:t>Assumption</w:t>
            </w:r>
          </w:p>
        </w:tc>
        <w:tc>
          <w:tcPr>
            <w:tcW w:type="dxa" w:w="4320"/>
          </w:tcPr>
          <w:p>
            <w:r>
              <w:t>الافتراض: عدم تغطية أي مخرج إلزامي من المخرجات الـ 23 يمثل مخاطرة عالية بعدم اجتياز التقييم الفني. [INFERENCE — confidence: high]</w:t>
            </w:r>
          </w:p>
        </w:tc>
      </w:tr>
      <w:tr>
        <w:tc>
          <w:tcPr>
            <w:tcW w:type="dxa" w:w="4320"/>
          </w:tcPr>
          <w:p>
            <w:r>
              <w:t>Assumption</w:t>
            </w:r>
          </w:p>
        </w:tc>
        <w:tc>
          <w:tcPr>
            <w:tcW w:type="dxa" w:w="4320"/>
          </w:tcPr>
          <w:p>
            <w:r>
              <w:t>الافتراض: الشهادات النظامية الست (CR-2 إلى CR-7) تُرفق في المظروف الفني ما لم تنص تعليمات المنصة على خلاف ذلك. الإجراء: فريق المشتريات يتحقق من تعليمات منصة اعتماد قبل 2021-11-08.</w:t>
            </w:r>
          </w:p>
        </w:tc>
      </w:tr>
      <w:tr>
        <w:tc>
          <w:tcPr>
            <w:tcW w:type="dxa" w:w="4320"/>
          </w:tcPr>
          <w:p>
            <w:r>
              <w:t>Ambiguity</w:t>
            </w:r>
          </w:p>
        </w:tc>
        <w:tc>
          <w:tcPr>
            <w:tcW w:type="dxa" w:w="4320"/>
          </w:tcPr>
          <w:p>
            <w:r>
              <w:t>فجوة حرجة — عتبة النجاح الفني غير محددة: لم تُذكر النسبة المئوية المطلوبة لاجتياز التقييم الفني (evaluation_criteria.technical_passing_threshold = null). | الإجراء: طرح استفسار رسمي عبر منصة اعتماد. | المسؤول: فريق المشتريات في SG. | الموعد: قبل 2021-11-03. | مسار القرار: تصميم العرض لتحقيق اجتياز شامل عبر جميع المتطلبات بصرف النظر عن العتبة.</w:t>
            </w:r>
          </w:p>
        </w:tc>
      </w:tr>
      <w:tr>
        <w:tc>
          <w:tcPr>
            <w:tcW w:type="dxa" w:w="4320"/>
          </w:tcPr>
          <w:p>
            <w:r>
              <w:t>Ambiguity</w:t>
            </w:r>
          </w:p>
        </w:tc>
        <w:tc>
          <w:tcPr>
            <w:tcW w:type="dxa" w:w="4320"/>
          </w:tcPr>
          <w:p>
            <w:r>
              <w:t>فجوة حرجة — جدول مواصفات فريق العمل (الملحق 2) غير متاح: الوثيقة تشير صراحة إلى جدول تفصيلي بالمسميات والمؤهلات وسنوات الخبرة لكن صفوفه غير ظاهرة. | الإجراء: الحصول على الملحق 2 الأصلي من منصة اعتماد. | المسؤول: فريق المشتريات في SG. | الموعد: فوراً.</w:t>
            </w:r>
          </w:p>
        </w:tc>
      </w:tr>
      <w:tr>
        <w:tc>
          <w:tcPr>
            <w:tcW w:type="dxa" w:w="4320"/>
          </w:tcPr>
          <w:p>
            <w:r>
              <w:t>Ambiguity</w:t>
            </w:r>
          </w:p>
        </w:tc>
        <w:tc>
          <w:tcPr>
            <w:tcW w:type="dxa" w:w="4320"/>
          </w:tcPr>
          <w:p>
            <w:r>
              <w:t>معايير التقييم الفني التفصيلية غير محددة: الوثيقة لا تفصل المعايير الفرعية للتقييم الفني. | الإجراء: طرح استفسار رسمي عبر منصة اعتماد. | المسؤول: فريق المشتريات. | الموعد: قبل 2021-11-03.</w:t>
            </w:r>
          </w:p>
        </w:tc>
      </w:tr>
      <w:tr>
        <w:tc>
          <w:tcPr>
            <w:tcW w:type="dxa" w:w="4320"/>
          </w:tcPr>
          <w:p>
            <w:r>
              <w:t>Ambiguity</w:t>
            </w:r>
          </w:p>
        </w:tc>
        <w:tc>
          <w:tcPr>
            <w:tcW w:type="dxa" w:w="4320"/>
          </w:tcPr>
          <w:p>
            <w:r>
              <w:t>المدد الزمنية لكل مرحلة غير محددة: 5 مراحل ضمن 12 شهراً دون تحديد مدة كل مرحلة بالأشهر. | الإجراء: التحقق من الملحقات الأصلية. | المسؤول: فريق المشتريات. | الموعد: قبل 2021-11-03. | مسار القرار: يقترح المتقدم توزيعاً واقعياً مع تبرير.</w:t>
            </w:r>
          </w:p>
        </w:tc>
      </w:tr>
      <w:tr>
        <w:tc>
          <w:tcPr>
            <w:tcW w:type="dxa" w:w="4320"/>
          </w:tcPr>
          <w:p>
            <w:r>
              <w:t>Ambiguity</w:t>
            </w:r>
          </w:p>
        </w:tc>
        <w:tc>
          <w:tcPr>
            <w:tcW w:type="dxa" w:w="4320"/>
          </w:tcPr>
          <w:p>
            <w:r>
              <w:t>تعريف 'القطاعات ذات الأولوية' غير محدد: SI-2 يشترط 5 قطاعات كحد أدنى لكن لا يحدد ما هي. | الإجراء: طرح استفسار أو اقتراح قطاعات مع تبرير في المرحلة 1. | المسؤول: مدير العرض. | الموعد: قبل 2021-11-03.</w:t>
            </w:r>
          </w:p>
        </w:tc>
      </w:tr>
      <w:tr>
        <w:tc>
          <w:tcPr>
            <w:tcW w:type="dxa" w:w="4320"/>
          </w:tcPr>
          <w:p>
            <w:r>
              <w:t>Ambiguity</w:t>
            </w:r>
          </w:p>
        </w:tc>
        <w:tc>
          <w:tcPr>
            <w:tcW w:type="dxa" w:w="4320"/>
          </w:tcPr>
          <w:p>
            <w:r>
              <w:t>نطاق 'المنتجات والخدمات النوعية' غير محدد بدقة: الأشكال المذكورة في SI-4 (تبرع، تطوع، وقف، استضافة) — هل هي حصرية أم أمثلة؟ | الإجراء: طرح استفسار. | المسؤول: مدير العرض. | الموعد: قبل 2021-11-03.</w:t>
            </w:r>
          </w:p>
        </w:tc>
      </w:tr>
      <w:tr>
        <w:tc>
          <w:tcPr>
            <w:tcW w:type="dxa" w:w="4320"/>
          </w:tcPr>
          <w:p>
            <w:r>
              <w:t>Ambiguity</w:t>
            </w:r>
          </w:p>
        </w:tc>
        <w:tc>
          <w:tcPr>
            <w:tcW w:type="dxa" w:w="4320"/>
          </w:tcPr>
          <w:p>
            <w:r>
              <w:t>آلية اعتماد المخرجات غير واضحة: D-4 يطلب 'حوكمة المشروع واعتماد المخرجات' لكن لا يوضح من يعتمد ومدة المراجعة. | الإجراء: تضمين آلية اعتماد مقترحة في D-4 مع مرونة للتعديل. | المسؤول: مدير المشروع المقترح.</w:t>
            </w:r>
          </w:p>
        </w:tc>
      </w:tr>
      <w:tr>
        <w:tc>
          <w:tcPr>
            <w:tcW w:type="dxa" w:w="4320"/>
          </w:tcPr>
          <w:p>
            <w:r>
              <w:t>Ambiguity</w:t>
            </w:r>
          </w:p>
        </w:tc>
        <w:tc>
          <w:tcPr>
            <w:tcW w:type="dxa" w:w="4320"/>
          </w:tcPr>
          <w:p>
            <w:r>
              <w:t>متطلبات ورش العمل (D-11) غير محددة: عدد الورش والمشاركون المستهدفون غير واضحين. | الإجراء: اقتراح عدد ونوع الورش في المنهجية مع مرونة للتعديل بالتنسيق مع المركز.</w:t>
            </w:r>
          </w:p>
        </w:tc>
      </w:tr>
      <w:tr>
        <w:tc>
          <w:tcPr>
            <w:tcW w:type="dxa" w:w="4320"/>
          </w:tcPr>
          <w:p>
            <w:r>
              <w:t>Ambiguity</w:t>
            </w:r>
          </w:p>
        </w:tc>
        <w:tc>
          <w:tcPr>
            <w:tcW w:type="dxa" w:w="4320"/>
          </w:tcPr>
          <w:p>
            <w:r>
              <w:t>تعريف 'الحزمة التحفيزية' (D-20) غير واضح: هل المطلوب حوافز مالية أم تنظيمية أم كليهما؟ ومن الجهة المسؤولة عن تقديمها؟ | الإجراء: طرح استفسار أو تصميم حزمة شاملة تغطي كلا النوعين. | المسؤول: مدير العرض. | الموعد: قبل 2021-11-03.</w:t>
            </w:r>
          </w:p>
        </w:tc>
      </w:tr>
      <w:tr>
        <w:tc>
          <w:tcPr>
            <w:tcW w:type="dxa" w:w="4320"/>
          </w:tcPr>
          <w:p>
            <w:r>
              <w:t>Ambiguity</w:t>
            </w:r>
          </w:p>
        </w:tc>
        <w:tc>
          <w:tcPr>
            <w:tcW w:type="dxa" w:w="4320"/>
          </w:tcPr>
          <w:p>
            <w:r>
              <w:t>هل النسخة الإلكترونية من الضمان الابتدائي مقبولة عبر منصة اعتماد أم يجب تسليم الأصل ورقياً بشكل منفصل؟ | الإجراء: التحقق من تعليمات المنصة. | المسؤول: فريق المشتريات. | الموعد: قبل 2021-11-03.</w:t>
            </w:r>
          </w:p>
        </w:tc>
      </w:tr>
      <w:tr>
        <w:tc>
          <w:tcPr>
            <w:tcW w:type="dxa" w:w="4320"/>
          </w:tcPr>
          <w:p>
            <w:r>
              <w:t>Ambiguity</w:t>
            </w:r>
          </w:p>
        </w:tc>
        <w:tc>
          <w:tcPr>
            <w:tcW w:type="dxa" w:w="4320"/>
          </w:tcPr>
          <w:p>
            <w:r>
              <w:t>موقع إرفاق الشهادات النظامية الست (CR-2 إلى CR-7): هل تُرفق في المظروف الفني أم المالي أم كليهما؟ | الإجراء: التحقق من تعليمات منصة اعتماد. | المسؤول: فريق المشتريات. | الموعد: قبل 2021-11-08.</w:t>
            </w:r>
          </w:p>
        </w:tc>
      </w:tr>
    </w:tbl>
    <w:p/>
    <w:p>
      <w:pPr>
        <w:pStyle w:val="Heading3"/>
      </w:pPr>
      <w:r>
        <w:t>Explicit RFP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Claim</w:t>
            </w:r>
          </w:p>
        </w:tc>
        <w:tc>
          <w:tcPr>
            <w:tcW w:type="dxa" w:w="2160"/>
          </w:tcPr>
          <w:p>
            <w:r>
              <w:rPr>
                <w:b/>
                <w:sz w:val="18"/>
              </w:rPr>
              <w:t>Classification</w:t>
            </w:r>
          </w:p>
        </w:tc>
        <w:tc>
          <w:tcPr>
            <w:tcW w:type="dxa" w:w="2160"/>
          </w:tcPr>
          <w:p>
            <w:r>
              <w:rPr>
                <w:b/>
                <w:sz w:val="18"/>
              </w:rPr>
              <w:t>Basis</w:t>
            </w:r>
          </w:p>
        </w:tc>
        <w:tc>
          <w:tcPr>
            <w:tcW w:type="dxa" w:w="2160"/>
          </w:tcPr>
          <w:p>
            <w:r>
              <w:rPr>
                <w:b/>
                <w:sz w:val="18"/>
              </w:rPr>
              <w:t>Confidence</w:t>
            </w:r>
          </w:p>
        </w:tc>
      </w:tr>
      <w:tr>
        <w:tc>
          <w:tcPr>
            <w:tcW w:type="dxa" w:w="2160"/>
          </w:tcPr>
          <w:p>
            <w:r>
              <w:rPr>
                <w:sz w:val="18"/>
              </w:rPr>
              <w:t>آلية الترسية هي اجتياز فني ثنائي (ناجح/راسب) ثم أقل سعر بين المجتازين فنياً. لا يوجد نظام نقاط مرجّحة ولا أوزان نسبية بين التقييم الفني والمالي. التقييم الفني بوابة عبور فقط، والسعر الأقل يحسم الترسية.</w:t>
            </w:r>
          </w:p>
        </w:tc>
        <w:tc>
          <w:tcPr>
            <w:tcW w:type="dxa" w:w="2160"/>
          </w:tcPr>
          <w:p>
            <w:r>
              <w:rPr>
                <w:sz w:val="18"/>
              </w:rPr>
              <w:t>RFP Fact</w:t>
            </w:r>
          </w:p>
        </w:tc>
        <w:tc>
          <w:tcPr>
            <w:tcW w:type="dxa" w:w="2160"/>
          </w:tcPr>
          <w:p>
            <w:r>
              <w:rPr>
                <w:sz w:val="18"/>
              </w:rPr>
              <w:t>evaluation_criteria.award_mechanism = pass_fail_then_lowest_price — نص صريح في وثيقة المنافسة (HR-L1-001). أي إشارة لأوزان نسبية أو نقاط مرجّحة مرفوضة.</w:t>
            </w:r>
          </w:p>
        </w:tc>
        <w:tc>
          <w:tcPr>
            <w:tcW w:type="dxa" w:w="2160"/>
          </w:tcPr>
          <w:p>
            <w:r>
              <w:rPr>
                <w:sz w:val="18"/>
              </w:rPr>
              <w:t>high</w:t>
            </w:r>
          </w:p>
        </w:tc>
      </w:tr>
      <w:tr>
        <w:tc>
          <w:tcPr>
            <w:tcW w:type="dxa" w:w="2160"/>
          </w:tcPr>
          <w:p>
            <w:r>
              <w:rPr>
                <w:sz w:val="18"/>
              </w:rPr>
              <w:t>مدة العقد هي (12) شهراً تبدأ من تاريخ إشعار البدء بالعمل.</w:t>
            </w:r>
          </w:p>
        </w:tc>
        <w:tc>
          <w:tcPr>
            <w:tcW w:type="dxa" w:w="2160"/>
          </w:tcPr>
          <w:p>
            <w:r>
              <w:rPr>
                <w:sz w:val="18"/>
              </w:rPr>
              <w:t>RFP Fact</w:t>
            </w:r>
          </w:p>
        </w:tc>
        <w:tc>
          <w:tcPr>
            <w:tcW w:type="dxa" w:w="2160"/>
          </w:tcPr>
          <w:p>
            <w:r>
              <w:rPr>
                <w:sz w:val="18"/>
              </w:rPr>
              <w:t>project_timeline.total_duration — نص صريح: 'مدة العقد هي (12) شهر' (HR-L1-002)</w:t>
            </w:r>
          </w:p>
        </w:tc>
        <w:tc>
          <w:tcPr>
            <w:tcW w:type="dxa" w:w="2160"/>
          </w:tcPr>
          <w:p>
            <w:r>
              <w:rPr>
                <w:sz w:val="18"/>
              </w:rPr>
              <w:t>high</w:t>
            </w:r>
          </w:p>
        </w:tc>
      </w:tr>
      <w:tr>
        <w:tc>
          <w:tcPr>
            <w:tcW w:type="dxa" w:w="2160"/>
          </w:tcPr>
          <w:p>
            <w:r>
              <w:rPr>
                <w:sz w:val="18"/>
              </w:rPr>
              <w:t>يجب تقديم العروض باللغة العربية مع إمكانية تقديم وثائق داعمة بالإنجليزية أو لغات أجنبية أخرى بشرط ترجمتها للعربية عند الحاجة، وفي حال التعارض يُؤخذ بالنص العربي.</w:t>
            </w:r>
          </w:p>
        </w:tc>
        <w:tc>
          <w:tcPr>
            <w:tcW w:type="dxa" w:w="2160"/>
          </w:tcPr>
          <w:p>
            <w:r>
              <w:rPr>
                <w:sz w:val="18"/>
              </w:rPr>
              <w:t>RFP Fact</w:t>
            </w:r>
          </w:p>
        </w:tc>
        <w:tc>
          <w:tcPr>
            <w:tcW w:type="dxa" w:w="2160"/>
          </w:tcPr>
          <w:p>
            <w:r>
              <w:rPr>
                <w:sz w:val="18"/>
              </w:rPr>
              <w:t>compliance_requirements[CR-1] — نص صريح في شروط المنافسة (HR-L1-008)</w:t>
            </w:r>
          </w:p>
        </w:tc>
        <w:tc>
          <w:tcPr>
            <w:tcW w:type="dxa" w:w="2160"/>
          </w:tcPr>
          <w:p>
            <w:r>
              <w:rPr>
                <w:sz w:val="18"/>
              </w:rPr>
              <w:t>high</w:t>
            </w:r>
          </w:p>
        </w:tc>
      </w:tr>
      <w:tr>
        <w:tc>
          <w:tcPr>
            <w:tcW w:type="dxa" w:w="2160"/>
          </w:tcPr>
          <w:p>
            <w:r>
              <w:rPr>
                <w:sz w:val="18"/>
              </w:rPr>
              <w:t>يُشترط تقديم ضمان ابتدائي بنسبة 1% من القيمة الإجمالية للعرض، يُرفق أصله في ملف العرض المالي.</w:t>
            </w:r>
          </w:p>
        </w:tc>
        <w:tc>
          <w:tcPr>
            <w:tcW w:type="dxa" w:w="2160"/>
          </w:tcPr>
          <w:p>
            <w:r>
              <w:rPr>
                <w:sz w:val="18"/>
              </w:rPr>
              <w:t>RFP Fact</w:t>
            </w:r>
          </w:p>
        </w:tc>
        <w:tc>
          <w:tcPr>
            <w:tcW w:type="dxa" w:w="2160"/>
          </w:tcPr>
          <w:p>
            <w:r>
              <w:rPr>
                <w:sz w:val="18"/>
              </w:rPr>
              <w:t>compliance_requirements[CR-8] — نص صريح (HR-L1-015)</w:t>
            </w:r>
          </w:p>
        </w:tc>
        <w:tc>
          <w:tcPr>
            <w:tcW w:type="dxa" w:w="2160"/>
          </w:tcPr>
          <w:p>
            <w:r>
              <w:rPr>
                <w:sz w:val="18"/>
              </w:rPr>
              <w:t>high</w:t>
            </w:r>
          </w:p>
        </w:tc>
      </w:tr>
      <w:tr>
        <w:tc>
          <w:tcPr>
            <w:tcW w:type="dxa" w:w="2160"/>
          </w:tcPr>
          <w:p>
            <w:r>
              <w:rPr>
                <w:sz w:val="18"/>
              </w:rPr>
              <w:t>يُشترط تقديم ضمان نهائي بنسبة 5% من قيمة العقد خلال 15 يوم عمل من تاريخ إبلاغ الترسية.</w:t>
            </w:r>
          </w:p>
        </w:tc>
        <w:tc>
          <w:tcPr>
            <w:tcW w:type="dxa" w:w="2160"/>
          </w:tcPr>
          <w:p>
            <w:r>
              <w:rPr>
                <w:sz w:val="18"/>
              </w:rPr>
              <w:t>RFP Fact</w:t>
            </w:r>
          </w:p>
        </w:tc>
        <w:tc>
          <w:tcPr>
            <w:tcW w:type="dxa" w:w="2160"/>
          </w:tcPr>
          <w:p>
            <w:r>
              <w:rPr>
                <w:sz w:val="18"/>
              </w:rPr>
              <w:t>compliance_requirements[CR-9] — نص صريح (HR-L1-016)</w:t>
            </w:r>
          </w:p>
        </w:tc>
        <w:tc>
          <w:tcPr>
            <w:tcW w:type="dxa" w:w="2160"/>
          </w:tcPr>
          <w:p>
            <w:r>
              <w:rPr>
                <w:sz w:val="18"/>
              </w:rPr>
              <w:t>high</w:t>
            </w:r>
          </w:p>
        </w:tc>
      </w:tr>
      <w:tr>
        <w:tc>
          <w:tcPr>
            <w:tcW w:type="dxa" w:w="2160"/>
          </w:tcPr>
          <w:p>
            <w:r>
              <w:rPr>
                <w:sz w:val="18"/>
              </w:rPr>
              <w:t>يُشترط تقديم سجل تجاري ساري المفعول.</w:t>
            </w:r>
          </w:p>
        </w:tc>
        <w:tc>
          <w:tcPr>
            <w:tcW w:type="dxa" w:w="2160"/>
          </w:tcPr>
          <w:p>
            <w:r>
              <w:rPr>
                <w:sz w:val="18"/>
              </w:rPr>
              <w:t>RFP Fact</w:t>
            </w:r>
          </w:p>
        </w:tc>
        <w:tc>
          <w:tcPr>
            <w:tcW w:type="dxa" w:w="2160"/>
          </w:tcPr>
          <w:p>
            <w:r>
              <w:rPr>
                <w:sz w:val="18"/>
              </w:rPr>
              <w:t>compliance_requirements[CR-2] — متطلب نظامي صريح (HR-L1-009)</w:t>
            </w:r>
          </w:p>
        </w:tc>
        <w:tc>
          <w:tcPr>
            <w:tcW w:type="dxa" w:w="2160"/>
          </w:tcPr>
          <w:p>
            <w:r>
              <w:rPr>
                <w:sz w:val="18"/>
              </w:rPr>
              <w:t>high</w:t>
            </w:r>
          </w:p>
        </w:tc>
      </w:tr>
      <w:tr>
        <w:tc>
          <w:tcPr>
            <w:tcW w:type="dxa" w:w="2160"/>
          </w:tcPr>
          <w:p>
            <w:r>
              <w:rPr>
                <w:sz w:val="18"/>
              </w:rPr>
              <w:t>يُشترط تقديم شهادة زكاة سارية المفعول.</w:t>
            </w:r>
          </w:p>
        </w:tc>
        <w:tc>
          <w:tcPr>
            <w:tcW w:type="dxa" w:w="2160"/>
          </w:tcPr>
          <w:p>
            <w:r>
              <w:rPr>
                <w:sz w:val="18"/>
              </w:rPr>
              <w:t>RFP Fact</w:t>
            </w:r>
          </w:p>
        </w:tc>
        <w:tc>
          <w:tcPr>
            <w:tcW w:type="dxa" w:w="2160"/>
          </w:tcPr>
          <w:p>
            <w:r>
              <w:rPr>
                <w:sz w:val="18"/>
              </w:rPr>
              <w:t>compliance_requirements[CR-3] — متطلب نظامي صريح (HR-L1-010)</w:t>
            </w:r>
          </w:p>
        </w:tc>
        <w:tc>
          <w:tcPr>
            <w:tcW w:type="dxa" w:w="2160"/>
          </w:tcPr>
          <w:p>
            <w:r>
              <w:rPr>
                <w:sz w:val="18"/>
              </w:rPr>
              <w:t>high</w:t>
            </w:r>
          </w:p>
        </w:tc>
      </w:tr>
      <w:tr>
        <w:tc>
          <w:tcPr>
            <w:tcW w:type="dxa" w:w="2160"/>
          </w:tcPr>
          <w:p>
            <w:r>
              <w:rPr>
                <w:sz w:val="18"/>
              </w:rPr>
              <w:t>يُشترط تقديم شهادة ضريبة سارية المفعول.</w:t>
            </w:r>
          </w:p>
        </w:tc>
        <w:tc>
          <w:tcPr>
            <w:tcW w:type="dxa" w:w="2160"/>
          </w:tcPr>
          <w:p>
            <w:r>
              <w:rPr>
                <w:sz w:val="18"/>
              </w:rPr>
              <w:t>RFP Fact</w:t>
            </w:r>
          </w:p>
        </w:tc>
        <w:tc>
          <w:tcPr>
            <w:tcW w:type="dxa" w:w="2160"/>
          </w:tcPr>
          <w:p>
            <w:r>
              <w:rPr>
                <w:sz w:val="18"/>
              </w:rPr>
              <w:t>compliance_requirements[CR-4] — متطلب نظامي صريح (HR-L1-011)</w:t>
            </w:r>
          </w:p>
        </w:tc>
        <w:tc>
          <w:tcPr>
            <w:tcW w:type="dxa" w:w="2160"/>
          </w:tcPr>
          <w:p>
            <w:r>
              <w:rPr>
                <w:sz w:val="18"/>
              </w:rPr>
              <w:t>high</w:t>
            </w:r>
          </w:p>
        </w:tc>
      </w:tr>
      <w:tr>
        <w:tc>
          <w:tcPr>
            <w:tcW w:type="dxa" w:w="2160"/>
          </w:tcPr>
          <w:p>
            <w:r>
              <w:rPr>
                <w:sz w:val="18"/>
              </w:rPr>
              <w:t>يُشترط تقديم شهادة تأمينات اجتماعية سارية المفعول.</w:t>
            </w:r>
          </w:p>
        </w:tc>
        <w:tc>
          <w:tcPr>
            <w:tcW w:type="dxa" w:w="2160"/>
          </w:tcPr>
          <w:p>
            <w:r>
              <w:rPr>
                <w:sz w:val="18"/>
              </w:rPr>
              <w:t>RFP Fact</w:t>
            </w:r>
          </w:p>
        </w:tc>
        <w:tc>
          <w:tcPr>
            <w:tcW w:type="dxa" w:w="2160"/>
          </w:tcPr>
          <w:p>
            <w:r>
              <w:rPr>
                <w:sz w:val="18"/>
              </w:rPr>
              <w:t>compliance_requirements[CR-5] — متطلب نظامي صريح (HR-L1-012)</w:t>
            </w:r>
          </w:p>
        </w:tc>
        <w:tc>
          <w:tcPr>
            <w:tcW w:type="dxa" w:w="2160"/>
          </w:tcPr>
          <w:p>
            <w:r>
              <w:rPr>
                <w:sz w:val="18"/>
              </w:rPr>
              <w:t>high</w:t>
            </w:r>
          </w:p>
        </w:tc>
      </w:tr>
      <w:tr>
        <w:tc>
          <w:tcPr>
            <w:tcW w:type="dxa" w:w="2160"/>
          </w:tcPr>
          <w:p>
            <w:r>
              <w:rPr>
                <w:sz w:val="18"/>
              </w:rPr>
              <w:t>يُشترط تقديم شهادة اشتراك الغرفة التجارية سارية المفعول.</w:t>
            </w:r>
          </w:p>
        </w:tc>
        <w:tc>
          <w:tcPr>
            <w:tcW w:type="dxa" w:w="2160"/>
          </w:tcPr>
          <w:p>
            <w:r>
              <w:rPr>
                <w:sz w:val="18"/>
              </w:rPr>
              <w:t>RFP Fact</w:t>
            </w:r>
          </w:p>
        </w:tc>
        <w:tc>
          <w:tcPr>
            <w:tcW w:type="dxa" w:w="2160"/>
          </w:tcPr>
          <w:p>
            <w:r>
              <w:rPr>
                <w:sz w:val="18"/>
              </w:rPr>
              <w:t>compliance_requirements[CR-6] — متطلب نظامي صريح (HR-L1-013)</w:t>
            </w:r>
          </w:p>
        </w:tc>
        <w:tc>
          <w:tcPr>
            <w:tcW w:type="dxa" w:w="2160"/>
          </w:tcPr>
          <w:p>
            <w:r>
              <w:rPr>
                <w:sz w:val="18"/>
              </w:rPr>
              <w:t>high</w:t>
            </w:r>
          </w:p>
        </w:tc>
      </w:tr>
      <w:tr>
        <w:tc>
          <w:tcPr>
            <w:tcW w:type="dxa" w:w="2160"/>
          </w:tcPr>
          <w:p>
            <w:r>
              <w:rPr>
                <w:sz w:val="18"/>
              </w:rPr>
              <w:t>يُشترط تقديم شهادة السعودة (نطاقات) سارية المفعول.</w:t>
            </w:r>
          </w:p>
        </w:tc>
        <w:tc>
          <w:tcPr>
            <w:tcW w:type="dxa" w:w="2160"/>
          </w:tcPr>
          <w:p>
            <w:r>
              <w:rPr>
                <w:sz w:val="18"/>
              </w:rPr>
              <w:t>RFP Fact</w:t>
            </w:r>
          </w:p>
        </w:tc>
        <w:tc>
          <w:tcPr>
            <w:tcW w:type="dxa" w:w="2160"/>
          </w:tcPr>
          <w:p>
            <w:r>
              <w:rPr>
                <w:sz w:val="18"/>
              </w:rPr>
              <w:t>compliance_requirements[CR-7] — متطلب نظامي صريح (HR-L1-014)</w:t>
            </w:r>
          </w:p>
        </w:tc>
        <w:tc>
          <w:tcPr>
            <w:tcW w:type="dxa" w:w="2160"/>
          </w:tcPr>
          <w:p>
            <w:r>
              <w:rPr>
                <w:sz w:val="18"/>
              </w:rPr>
              <w:t>high</w:t>
            </w:r>
          </w:p>
        </w:tc>
      </w:tr>
      <w:tr>
        <w:tc>
          <w:tcPr>
            <w:tcW w:type="dxa" w:w="2160"/>
          </w:tcPr>
          <w:p>
            <w:r>
              <w:rPr>
                <w:sz w:val="18"/>
              </w:rPr>
              <w:t>يجب أن تكون مدة سريان العروض 90 يوماً من التاريخ المحدد لتسليم العروض.</w:t>
            </w:r>
          </w:p>
        </w:tc>
        <w:tc>
          <w:tcPr>
            <w:tcW w:type="dxa" w:w="2160"/>
          </w:tcPr>
          <w:p>
            <w:r>
              <w:rPr>
                <w:sz w:val="18"/>
              </w:rPr>
              <w:t>RFP Fact</w:t>
            </w:r>
          </w:p>
        </w:tc>
        <w:tc>
          <w:tcPr>
            <w:tcW w:type="dxa" w:w="2160"/>
          </w:tcPr>
          <w:p>
            <w:r>
              <w:rPr>
                <w:sz w:val="18"/>
              </w:rPr>
              <w:t>compliance_requirements[CR-10] — نص صريح (HR-L1-017)</w:t>
            </w:r>
          </w:p>
        </w:tc>
        <w:tc>
          <w:tcPr>
            <w:tcW w:type="dxa" w:w="2160"/>
          </w:tcPr>
          <w:p>
            <w:r>
              <w:rPr>
                <w:sz w:val="18"/>
              </w:rPr>
              <w:t>high</w:t>
            </w:r>
          </w:p>
        </w:tc>
      </w:tr>
      <w:tr>
        <w:tc>
          <w:tcPr>
            <w:tcW w:type="dxa" w:w="2160"/>
          </w:tcPr>
          <w:p>
            <w:r>
              <w:rPr>
                <w:sz w:val="18"/>
              </w:rPr>
              <w:t>يُقدم العرض الفني والمالي في مظروفين إلكترونيين منفصلين مشفرين عبر منصة اعتماد بصيغة PDF.</w:t>
            </w:r>
          </w:p>
        </w:tc>
        <w:tc>
          <w:tcPr>
            <w:tcW w:type="dxa" w:w="2160"/>
          </w:tcPr>
          <w:p>
            <w:r>
              <w:rPr>
                <w:sz w:val="18"/>
              </w:rPr>
              <w:t>RFP Fact</w:t>
            </w:r>
          </w:p>
        </w:tc>
        <w:tc>
          <w:tcPr>
            <w:tcW w:type="dxa" w:w="2160"/>
          </w:tcPr>
          <w:p>
            <w:r>
              <w:rPr>
                <w:sz w:val="18"/>
              </w:rPr>
              <w:t>submission_format — separate_envelopes=true، ملفان مشفران بصيغة PDF عبر منصة اعتماد (HR-L1-019 إلى HR-L1-024)</w:t>
            </w:r>
          </w:p>
        </w:tc>
        <w:tc>
          <w:tcPr>
            <w:tcW w:type="dxa" w:w="2160"/>
          </w:tcPr>
          <w:p>
            <w:r>
              <w:rPr>
                <w:sz w:val="18"/>
              </w:rPr>
              <w:t>high</w:t>
            </w:r>
          </w:p>
        </w:tc>
      </w:tr>
      <w:tr>
        <w:tc>
          <w:tcPr>
            <w:tcW w:type="dxa" w:w="2160"/>
          </w:tcPr>
          <w:p>
            <w:r>
              <w:rPr>
                <w:sz w:val="18"/>
              </w:rPr>
              <w:t>المشروع يتضمن 23 مخرجاً إلزامياً (D-1 إلى D-23) جميعها mandatory=true، موزعة على 5 مراحل تنفيذية.</w:t>
            </w:r>
          </w:p>
        </w:tc>
        <w:tc>
          <w:tcPr>
            <w:tcW w:type="dxa" w:w="2160"/>
          </w:tcPr>
          <w:p>
            <w:r>
              <w:rPr>
                <w:sz w:val="18"/>
              </w:rPr>
              <w:t>RFP Fact</w:t>
            </w:r>
          </w:p>
        </w:tc>
        <w:tc>
          <w:tcPr>
            <w:tcW w:type="dxa" w:w="2160"/>
          </w:tcPr>
          <w:p>
            <w:r>
              <w:rPr>
                <w:sz w:val="18"/>
              </w:rPr>
              <w:t>deliverables[D-1 to D-23] mandatory=true، وproject_timeline.deliverable_schedule يحدد 5 مراحل (HR-L1-030 إلى HR-L1-052)</w:t>
            </w:r>
          </w:p>
        </w:tc>
        <w:tc>
          <w:tcPr>
            <w:tcW w:type="dxa" w:w="2160"/>
          </w:tcPr>
          <w:p>
            <w:r>
              <w:rPr>
                <w:sz w:val="18"/>
              </w:rPr>
              <w:t>high</w:t>
            </w:r>
          </w:p>
        </w:tc>
      </w:tr>
      <w:tr>
        <w:tc>
          <w:tcPr>
            <w:tcW w:type="dxa" w:w="2160"/>
          </w:tcPr>
          <w:p>
            <w:r>
              <w:rPr>
                <w:sz w:val="18"/>
              </w:rPr>
              <w:t>يلتزم المتعاقد بتأمين الموظفين اللازمين حسب المسمى الوظيفي والمؤهلات والخبرة المبينة في جدول مواصفات فريق العمل (الملحق 2).</w:t>
            </w:r>
          </w:p>
        </w:tc>
        <w:tc>
          <w:tcPr>
            <w:tcW w:type="dxa" w:w="2160"/>
          </w:tcPr>
          <w:p>
            <w:r>
              <w:rPr>
                <w:sz w:val="18"/>
              </w:rPr>
              <w:t>RFP Fact</w:t>
            </w:r>
          </w:p>
        </w:tc>
        <w:tc>
          <w:tcPr>
            <w:tcW w:type="dxa" w:w="2160"/>
          </w:tcPr>
          <w:p>
            <w:r>
              <w:rPr>
                <w:sz w:val="18"/>
              </w:rPr>
              <w:t>team_requirements[0] — نص صريح في كراسة الشروط مع إحالة للملحق 2 (HR-L1-018)</w:t>
            </w:r>
          </w:p>
        </w:tc>
        <w:tc>
          <w:tcPr>
            <w:tcW w:type="dxa" w:w="2160"/>
          </w:tcPr>
          <w:p>
            <w:r>
              <w:rPr>
                <w:sz w:val="18"/>
              </w:rPr>
              <w:t>high</w:t>
            </w:r>
          </w:p>
        </w:tc>
      </w:tr>
      <w:tr>
        <w:tc>
          <w:tcPr>
            <w:tcW w:type="dxa" w:w="2160"/>
          </w:tcPr>
          <w:p>
            <w:r>
              <w:rPr>
                <w:sz w:val="18"/>
              </w:rPr>
              <w:t>نطاق العمل يشمل حصر المنتجات والخدمات النوعية في ما لا يقل عن 5 قطاعات ذات أولوية.</w:t>
            </w:r>
          </w:p>
        </w:tc>
        <w:tc>
          <w:tcPr>
            <w:tcW w:type="dxa" w:w="2160"/>
          </w:tcPr>
          <w:p>
            <w:r>
              <w:rPr>
                <w:sz w:val="18"/>
              </w:rPr>
              <w:t>RFP Fact</w:t>
            </w:r>
          </w:p>
        </w:tc>
        <w:tc>
          <w:tcPr>
            <w:tcW w:type="dxa" w:w="2160"/>
          </w:tcPr>
          <w:p>
            <w:r>
              <w:rPr>
                <w:sz w:val="18"/>
              </w:rPr>
              <w:t>scope_items SI-2 — حد أدنى صريح: 5 قطاعات</w:t>
            </w:r>
          </w:p>
        </w:tc>
        <w:tc>
          <w:tcPr>
            <w:tcW w:type="dxa" w:w="2160"/>
          </w:tcPr>
          <w:p>
            <w:r>
              <w:rPr>
                <w:sz w:val="18"/>
              </w:rPr>
              <w:t>high</w:t>
            </w:r>
          </w:p>
        </w:tc>
      </w:tr>
      <w:tr>
        <w:tc>
          <w:tcPr>
            <w:tcW w:type="dxa" w:w="2160"/>
          </w:tcPr>
          <w:p>
            <w:r>
              <w:rPr>
                <w:sz w:val="18"/>
              </w:rPr>
              <w:t>نطاق العمل يشمل دراسة الممارسات الدولية الرائدة في ما لا يقل عن 5 دول.</w:t>
            </w:r>
          </w:p>
        </w:tc>
        <w:tc>
          <w:tcPr>
            <w:tcW w:type="dxa" w:w="2160"/>
          </w:tcPr>
          <w:p>
            <w:r>
              <w:rPr>
                <w:sz w:val="18"/>
              </w:rPr>
              <w:t>RFP Fact</w:t>
            </w:r>
          </w:p>
        </w:tc>
        <w:tc>
          <w:tcPr>
            <w:tcW w:type="dxa" w:w="2160"/>
          </w:tcPr>
          <w:p>
            <w:r>
              <w:rPr>
                <w:sz w:val="18"/>
              </w:rPr>
              <w:t>scope_items SI-3 — حد أدنى صريح: 5 دول</w:t>
            </w:r>
          </w:p>
        </w:tc>
        <w:tc>
          <w:tcPr>
            <w:tcW w:type="dxa" w:w="2160"/>
          </w:tcPr>
          <w:p>
            <w:r>
              <w:rPr>
                <w:sz w:val="18"/>
              </w:rPr>
              <w:t>high</w:t>
            </w:r>
          </w:p>
        </w:tc>
      </w:tr>
      <w:tr>
        <w:tc>
          <w:tcPr>
            <w:tcW w:type="dxa" w:w="2160"/>
          </w:tcPr>
          <w:p>
            <w:r>
              <w:rPr>
                <w:sz w:val="18"/>
              </w:rPr>
              <w:t>يشمل نطاق العمل تدريب وتطوير العاملين في المركز قبل المشروع وفي كافة مراحل المشروع.</w:t>
            </w:r>
          </w:p>
        </w:tc>
        <w:tc>
          <w:tcPr>
            <w:tcW w:type="dxa" w:w="2160"/>
          </w:tcPr>
          <w:p>
            <w:r>
              <w:rPr>
                <w:sz w:val="18"/>
              </w:rPr>
              <w:t>RFP Fact</w:t>
            </w:r>
          </w:p>
        </w:tc>
        <w:tc>
          <w:tcPr>
            <w:tcW w:type="dxa" w:w="2160"/>
          </w:tcPr>
          <w:p>
            <w:r>
              <w:rPr>
                <w:sz w:val="18"/>
              </w:rPr>
              <w:t>scope_items SI-8 — متطلب صريح لبناء القدرات عبر جميع المراحل</w:t>
            </w:r>
          </w:p>
        </w:tc>
        <w:tc>
          <w:tcPr>
            <w:tcW w:type="dxa" w:w="2160"/>
          </w:tcPr>
          <w:p>
            <w:r>
              <w:rPr>
                <w:sz w:val="18"/>
              </w:rPr>
              <w:t>high</w:t>
            </w:r>
          </w:p>
        </w:tc>
      </w:tr>
      <w:tr>
        <w:tc>
          <w:tcPr>
            <w:tcW w:type="dxa" w:w="2160"/>
          </w:tcPr>
          <w:p>
            <w:r>
              <w:rPr>
                <w:sz w:val="18"/>
              </w:rPr>
              <w:t>يجب أن يشمل نطاق العمل تحليل أصحاب المصلحة القائمين والمحتملين، ودراسة الوضع الراهن للمنتجات والخدمات القائمة في المملكة بمختلف أشكالها (جمع التبرع، التطوع، الوقف، الاستقبال).</w:t>
            </w:r>
          </w:p>
        </w:tc>
        <w:tc>
          <w:tcPr>
            <w:tcW w:type="dxa" w:w="2160"/>
          </w:tcPr>
          <w:p>
            <w:r>
              <w:rPr>
                <w:sz w:val="18"/>
              </w:rPr>
              <w:t>RFP Fact</w:t>
            </w:r>
          </w:p>
        </w:tc>
        <w:tc>
          <w:tcPr>
            <w:tcW w:type="dxa" w:w="2160"/>
          </w:tcPr>
          <w:p>
            <w:r>
              <w:rPr>
                <w:sz w:val="18"/>
              </w:rPr>
              <w:t>scope_items SI-4 — نص صريح يحدد أشكال الخدمات المطلوب دراستها</w:t>
            </w:r>
          </w:p>
        </w:tc>
        <w:tc>
          <w:tcPr>
            <w:tcW w:type="dxa" w:w="2160"/>
          </w:tcPr>
          <w:p>
            <w:r>
              <w:rPr>
                <w:sz w:val="18"/>
              </w:rPr>
              <w:t>high</w:t>
            </w:r>
          </w:p>
        </w:tc>
      </w:tr>
      <w:tr>
        <w:tc>
          <w:tcPr>
            <w:tcW w:type="dxa" w:w="2160"/>
          </w:tcPr>
          <w:p>
            <w:r>
              <w:rPr>
                <w:sz w:val="18"/>
              </w:rPr>
              <w:t>يشمل نطاق العمل تحليل الاحتياجات التنموية وربطها بالخدمات والمنتجات النوعية المبتكرة المقترحة.</w:t>
            </w:r>
          </w:p>
        </w:tc>
        <w:tc>
          <w:tcPr>
            <w:tcW w:type="dxa" w:w="2160"/>
          </w:tcPr>
          <w:p>
            <w:r>
              <w:rPr>
                <w:sz w:val="18"/>
              </w:rPr>
              <w:t>RFP Fact</w:t>
            </w:r>
          </w:p>
        </w:tc>
        <w:tc>
          <w:tcPr>
            <w:tcW w:type="dxa" w:w="2160"/>
          </w:tcPr>
          <w:p>
            <w:r>
              <w:rPr>
                <w:sz w:val="18"/>
              </w:rPr>
              <w:t>scope_items SI-5 — نص صريح</w:t>
            </w:r>
          </w:p>
        </w:tc>
        <w:tc>
          <w:tcPr>
            <w:tcW w:type="dxa" w:w="2160"/>
          </w:tcPr>
          <w:p>
            <w:r>
              <w:rPr>
                <w:sz w:val="18"/>
              </w:rPr>
              <w:t>high</w:t>
            </w:r>
          </w:p>
        </w:tc>
      </w:tr>
      <w:tr>
        <w:tc>
          <w:tcPr>
            <w:tcW w:type="dxa" w:w="2160"/>
          </w:tcPr>
          <w:p>
            <w:r>
              <w:rPr>
                <w:sz w:val="18"/>
              </w:rPr>
              <w:t>يشمل نطاق العمل تحديد أولويات المعالجة والحوافز المناسبة وإعداد الخطة التنفيذية والجدول الزمني لتفعيل المنتجات والخدمات المقترحة.</w:t>
            </w:r>
          </w:p>
        </w:tc>
        <w:tc>
          <w:tcPr>
            <w:tcW w:type="dxa" w:w="2160"/>
          </w:tcPr>
          <w:p>
            <w:r>
              <w:rPr>
                <w:sz w:val="18"/>
              </w:rPr>
              <w:t>RFP Fact</w:t>
            </w:r>
          </w:p>
        </w:tc>
        <w:tc>
          <w:tcPr>
            <w:tcW w:type="dxa" w:w="2160"/>
          </w:tcPr>
          <w:p>
            <w:r>
              <w:rPr>
                <w:sz w:val="18"/>
              </w:rPr>
              <w:t>scope_items SI-6 — نص صريح</w:t>
            </w:r>
          </w:p>
        </w:tc>
        <w:tc>
          <w:tcPr>
            <w:tcW w:type="dxa" w:w="2160"/>
          </w:tcPr>
          <w:p>
            <w:r>
              <w:rPr>
                <w:sz w:val="18"/>
              </w:rPr>
              <w:t>high</w:t>
            </w:r>
          </w:p>
        </w:tc>
      </w:tr>
      <w:tr>
        <w:tc>
          <w:tcPr>
            <w:tcW w:type="dxa" w:w="2160"/>
          </w:tcPr>
          <w:p>
            <w:r>
              <w:rPr>
                <w:sz w:val="18"/>
              </w:rPr>
              <w:t>يشمل نطاق العمل وضع منهجية قياس الأثر والاستدامة بما في ذلك قائمة المؤشرات اللازمة لضمان تحقيق الأثر.</w:t>
            </w:r>
          </w:p>
        </w:tc>
        <w:tc>
          <w:tcPr>
            <w:tcW w:type="dxa" w:w="2160"/>
          </w:tcPr>
          <w:p>
            <w:r>
              <w:rPr>
                <w:sz w:val="18"/>
              </w:rPr>
              <w:t>RFP Fact</w:t>
            </w:r>
          </w:p>
        </w:tc>
        <w:tc>
          <w:tcPr>
            <w:tcW w:type="dxa" w:w="2160"/>
          </w:tcPr>
          <w:p>
            <w:r>
              <w:rPr>
                <w:sz w:val="18"/>
              </w:rPr>
              <w:t>scope_items SI-7 — نص صريح</w:t>
            </w:r>
          </w:p>
        </w:tc>
        <w:tc>
          <w:tcPr>
            <w:tcW w:type="dxa" w:w="2160"/>
          </w:tcPr>
          <w:p>
            <w:r>
              <w:rPr>
                <w:sz w:val="18"/>
              </w:rPr>
              <w:t>high</w:t>
            </w:r>
          </w:p>
        </w:tc>
      </w:tr>
      <w:tr>
        <w:tc>
          <w:tcPr>
            <w:tcW w:type="dxa" w:w="2160"/>
          </w:tcPr>
          <w:p>
            <w:r>
              <w:rPr>
                <w:sz w:val="18"/>
              </w:rPr>
              <w:t>يشمل نطاق العمل تحديد منهجية الدراسة وتحديد المعلومات والبيانات اللازمة وخطة الحصول عليها وتحديد قائمة بخبراء السوق المحليين/الدوليين وتصميم خطة العمل وحوكمة المشروع.</w:t>
            </w:r>
          </w:p>
        </w:tc>
        <w:tc>
          <w:tcPr>
            <w:tcW w:type="dxa" w:w="2160"/>
          </w:tcPr>
          <w:p>
            <w:r>
              <w:rPr>
                <w:sz w:val="18"/>
              </w:rPr>
              <w:t>RFP Fact</w:t>
            </w:r>
          </w:p>
        </w:tc>
        <w:tc>
          <w:tcPr>
            <w:tcW w:type="dxa" w:w="2160"/>
          </w:tcPr>
          <w:p>
            <w:r>
              <w:rPr>
                <w:sz w:val="18"/>
              </w:rPr>
              <w:t>scope_items SI-1 — نص صريح في بند المنهجية</w:t>
            </w:r>
          </w:p>
        </w:tc>
        <w:tc>
          <w:tcPr>
            <w:tcW w:type="dxa" w:w="2160"/>
          </w:tcPr>
          <w:p>
            <w:r>
              <w:rPr>
                <w:sz w:val="18"/>
              </w:rPr>
              <w:t>high</w:t>
            </w:r>
          </w:p>
        </w:tc>
      </w:tr>
      <w:tr>
        <w:tc>
          <w:tcPr>
            <w:tcW w:type="dxa" w:w="2160"/>
          </w:tcPr>
          <w:p>
            <w:r>
              <w:rPr>
                <w:sz w:val="18"/>
              </w:rPr>
              <w:t>من المخرجات الإلزامية: ميثاق المشروع (D-5).</w:t>
            </w:r>
          </w:p>
        </w:tc>
        <w:tc>
          <w:tcPr>
            <w:tcW w:type="dxa" w:w="2160"/>
          </w:tcPr>
          <w:p>
            <w:r>
              <w:rPr>
                <w:sz w:val="18"/>
              </w:rPr>
              <w:t>RFP Fact</w:t>
            </w:r>
          </w:p>
        </w:tc>
        <w:tc>
          <w:tcPr>
            <w:tcW w:type="dxa" w:w="2160"/>
          </w:tcPr>
          <w:p>
            <w:r>
              <w:rPr>
                <w:sz w:val="18"/>
              </w:rPr>
              <w:t>deliverables[D-5] mandatory=true (HR-L1-034)</w:t>
            </w:r>
          </w:p>
        </w:tc>
        <w:tc>
          <w:tcPr>
            <w:tcW w:type="dxa" w:w="2160"/>
          </w:tcPr>
          <w:p>
            <w:r>
              <w:rPr>
                <w:sz w:val="18"/>
              </w:rPr>
              <w:t>high</w:t>
            </w:r>
          </w:p>
        </w:tc>
      </w:tr>
      <w:tr>
        <w:tc>
          <w:tcPr>
            <w:tcW w:type="dxa" w:w="2160"/>
          </w:tcPr>
          <w:p>
            <w:r>
              <w:rPr>
                <w:sz w:val="18"/>
              </w:rPr>
              <w:t>من المخرجات الإلزامية: وثيقة الحزمة التحفيزية (D-20).</w:t>
            </w:r>
          </w:p>
        </w:tc>
        <w:tc>
          <w:tcPr>
            <w:tcW w:type="dxa" w:w="2160"/>
          </w:tcPr>
          <w:p>
            <w:r>
              <w:rPr>
                <w:sz w:val="18"/>
              </w:rPr>
              <w:t>RFP Fact</w:t>
            </w:r>
          </w:p>
        </w:tc>
        <w:tc>
          <w:tcPr>
            <w:tcW w:type="dxa" w:w="2160"/>
          </w:tcPr>
          <w:p>
            <w:r>
              <w:rPr>
                <w:sz w:val="18"/>
              </w:rPr>
              <w:t>deliverables[D-20] mandatory=true (HR-L1-049)</w:t>
            </w:r>
          </w:p>
        </w:tc>
        <w:tc>
          <w:tcPr>
            <w:tcW w:type="dxa" w:w="2160"/>
          </w:tcPr>
          <w:p>
            <w:r>
              <w:rPr>
                <w:sz w:val="18"/>
              </w:rPr>
              <w:t>high</w:t>
            </w:r>
          </w:p>
        </w:tc>
      </w:tr>
      <w:tr>
        <w:tc>
          <w:tcPr>
            <w:tcW w:type="dxa" w:w="2160"/>
          </w:tcPr>
          <w:p>
            <w:r>
              <w:rPr>
                <w:sz w:val="18"/>
              </w:rPr>
              <w:t>من المخرجات الإلزامية: بطاقة لكل منتج وخدمة ذات أولوية (D-21).</w:t>
            </w:r>
          </w:p>
        </w:tc>
        <w:tc>
          <w:tcPr>
            <w:tcW w:type="dxa" w:w="2160"/>
          </w:tcPr>
          <w:p>
            <w:r>
              <w:rPr>
                <w:sz w:val="18"/>
              </w:rPr>
              <w:t>RFP Fact</w:t>
            </w:r>
          </w:p>
        </w:tc>
        <w:tc>
          <w:tcPr>
            <w:tcW w:type="dxa" w:w="2160"/>
          </w:tcPr>
          <w:p>
            <w:r>
              <w:rPr>
                <w:sz w:val="18"/>
              </w:rPr>
              <w:t>deliverables[D-21] mandatory=true (HR-L1-050)</w:t>
            </w:r>
          </w:p>
        </w:tc>
        <w:tc>
          <w:tcPr>
            <w:tcW w:type="dxa" w:w="2160"/>
          </w:tcPr>
          <w:p>
            <w:r>
              <w:rPr>
                <w:sz w:val="18"/>
              </w:rPr>
              <w:t>high</w:t>
            </w:r>
          </w:p>
        </w:tc>
      </w:tr>
      <w:tr>
        <w:tc>
          <w:tcPr>
            <w:tcW w:type="dxa" w:w="2160"/>
          </w:tcPr>
          <w:p>
            <w:r>
              <w:rPr>
                <w:sz w:val="18"/>
              </w:rPr>
              <w:t>من المخرجات الإلزامية: وثيقة قائمة خبراء السوق المحليين/الدوليين المتخصصين في كل قطاع/نشاط (D-2).</w:t>
            </w:r>
          </w:p>
        </w:tc>
        <w:tc>
          <w:tcPr>
            <w:tcW w:type="dxa" w:w="2160"/>
          </w:tcPr>
          <w:p>
            <w:r>
              <w:rPr>
                <w:sz w:val="18"/>
              </w:rPr>
              <w:t>RFP Fact</w:t>
            </w:r>
          </w:p>
        </w:tc>
        <w:tc>
          <w:tcPr>
            <w:tcW w:type="dxa" w:w="2160"/>
          </w:tcPr>
          <w:p>
            <w:r>
              <w:rPr>
                <w:sz w:val="18"/>
              </w:rPr>
              <w:t>deliverables[D-2] mandatory=true (HR-L1-031)</w:t>
            </w:r>
          </w:p>
        </w:tc>
        <w:tc>
          <w:tcPr>
            <w:tcW w:type="dxa" w:w="2160"/>
          </w:tcPr>
          <w:p>
            <w:r>
              <w:rPr>
                <w:sz w:val="18"/>
              </w:rPr>
              <w:t>high</w:t>
            </w:r>
          </w:p>
        </w:tc>
      </w:tr>
      <w:tr>
        <w:tc>
          <w:tcPr>
            <w:tcW w:type="dxa" w:w="2160"/>
          </w:tcPr>
          <w:p>
            <w:r>
              <w:rPr>
                <w:sz w:val="18"/>
              </w:rPr>
              <w:t>لا يوجد نظام نقاط مرجّحة أو أوزان نسبية أو عتبة نجاح فني محددة رقمياً في النص المستخرج من كراسة الشروط. التقييم الفني بوابة عبور ثنائية (ناجح/راسب) فقط.</w:t>
            </w:r>
          </w:p>
        </w:tc>
        <w:tc>
          <w:tcPr>
            <w:tcW w:type="dxa" w:w="2160"/>
          </w:tcPr>
          <w:p>
            <w:r>
              <w:rPr>
                <w:sz w:val="18"/>
              </w:rPr>
              <w:t>RFP Fact</w:t>
            </w:r>
          </w:p>
        </w:tc>
        <w:tc>
          <w:tcPr>
            <w:tcW w:type="dxa" w:w="2160"/>
          </w:tcPr>
          <w:p>
            <w:r>
              <w:rPr>
                <w:sz w:val="18"/>
              </w:rPr>
              <w:t>evaluation_criteria: weight_pct=null لكل من الفني والمالي، technical_passing_threshold=null، passing_score=null، award_mechanism=pass_fail_then_lowest_price (HR-L1-001). لا يُفترض أي نظام تسجيل نقاط.</w:t>
            </w:r>
          </w:p>
        </w:tc>
        <w:tc>
          <w:tcPr>
            <w:tcW w:type="dxa" w:w="2160"/>
          </w:tcPr>
          <w:p>
            <w:r>
              <w:rPr>
                <w:sz w:val="18"/>
              </w:rPr>
              <w:t>high</w:t>
            </w:r>
          </w:p>
        </w:tc>
      </w:tr>
    </w:tbl>
    <w:p/>
    <w:p>
      <w:pPr>
        <w:pStyle w:val="Heading3"/>
      </w:pPr>
      <w:r>
        <w:t>Inferred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Claim</w:t>
            </w:r>
          </w:p>
        </w:tc>
        <w:tc>
          <w:tcPr>
            <w:tcW w:type="dxa" w:w="2160"/>
          </w:tcPr>
          <w:p>
            <w:r>
              <w:rPr>
                <w:b/>
                <w:sz w:val="18"/>
              </w:rPr>
              <w:t>Classification</w:t>
            </w:r>
          </w:p>
        </w:tc>
        <w:tc>
          <w:tcPr>
            <w:tcW w:type="dxa" w:w="2160"/>
          </w:tcPr>
          <w:p>
            <w:r>
              <w:rPr>
                <w:b/>
                <w:sz w:val="18"/>
              </w:rPr>
              <w:t>Basis</w:t>
            </w:r>
          </w:p>
        </w:tc>
        <w:tc>
          <w:tcPr>
            <w:tcW w:type="dxa" w:w="2160"/>
          </w:tcPr>
          <w:p>
            <w:r>
              <w:rPr>
                <w:b/>
                <w:sz w:val="18"/>
              </w:rPr>
              <w:t>Confidence</w:t>
            </w:r>
          </w:p>
        </w:tc>
      </w:tr>
      <w:tr>
        <w:tc>
          <w:tcPr>
            <w:tcW w:type="dxa" w:w="2160"/>
          </w:tcPr>
          <w:p>
            <w:r>
              <w:rPr>
                <w:sz w:val="18"/>
              </w:rPr>
              <w:t>في آلية pass/fail ثم أقل سعر، لا توجد مكافأة للتفوق الفني فوق عتبة القبول. التصميم الأمثل للعرض هو ضمان القبول الفني الواضح عبر جميع المتطلبات الإلزامية مع تحسين هيكل التكلفة لتقديم أقل سعر ممكن.</w:t>
            </w:r>
          </w:p>
        </w:tc>
        <w:tc>
          <w:tcPr>
            <w:tcW w:type="dxa" w:w="2160"/>
          </w:tcPr>
          <w:p>
            <w:r>
              <w:rPr>
                <w:sz w:val="18"/>
              </w:rPr>
              <w:t>Inferred</w:t>
            </w:r>
          </w:p>
        </w:tc>
        <w:tc>
          <w:tcPr>
            <w:tcW w:type="dxa" w:w="2160"/>
          </w:tcPr>
          <w:p>
            <w:r>
              <w:rPr>
                <w:sz w:val="18"/>
              </w:rPr>
              <w:t>نتيجة منطقية مباشرة لآلية pass_fail_then_lowest_price المذكورة صراحة في HR-L1-001. لا يُعتمد على هذا الاستنتاج كحقيقة مطلقة بل كمنطق تصميم العرض.</w:t>
            </w:r>
          </w:p>
        </w:tc>
        <w:tc>
          <w:tcPr>
            <w:tcW w:type="dxa" w:w="2160"/>
          </w:tcPr>
          <w:p>
            <w:r>
              <w:rPr>
                <w:sz w:val="18"/>
              </w:rPr>
              <w:t>high</w:t>
            </w:r>
          </w:p>
        </w:tc>
      </w:tr>
      <w:tr>
        <w:tc>
          <w:tcPr>
            <w:tcW w:type="dxa" w:w="2160"/>
          </w:tcPr>
          <w:p>
            <w:r>
              <w:rPr>
                <w:sz w:val="18"/>
              </w:rPr>
              <w:t>عتبة النجاح الفني غير محددة صراحة في النص المستخرج. هذه فجوة معلوماتية حرجة تتطلب مراجعة كراسة الشروط الكاملة والملاحق أو الاستفسار عبر منصة اعتماد.</w:t>
            </w:r>
          </w:p>
        </w:tc>
        <w:tc>
          <w:tcPr>
            <w:tcW w:type="dxa" w:w="2160"/>
          </w:tcPr>
          <w:p>
            <w:r>
              <w:rPr>
                <w:sz w:val="18"/>
              </w:rPr>
              <w:t>Inferred</w:t>
            </w:r>
          </w:p>
        </w:tc>
        <w:tc>
          <w:tcPr>
            <w:tcW w:type="dxa" w:w="2160"/>
          </w:tcPr>
          <w:p>
            <w:r>
              <w:rPr>
                <w:sz w:val="18"/>
              </w:rPr>
              <w:t>evaluation_criteria.technical_passing_threshold = null وpassing_score = null في البيانات المستخرجة. يُصنف كفجوة معلوماتية وليس كتقدير قابل للاعتماد.</w:t>
            </w:r>
          </w:p>
        </w:tc>
        <w:tc>
          <w:tcPr>
            <w:tcW w:type="dxa" w:w="2160"/>
          </w:tcPr>
          <w:p>
            <w:r>
              <w:rPr>
                <w:sz w:val="18"/>
              </w:rPr>
              <w:t>medium</w:t>
            </w:r>
          </w:p>
        </w:tc>
      </w:tr>
      <w:tr>
        <w:tc>
          <w:tcPr>
            <w:tcW w:type="dxa" w:w="2160"/>
          </w:tcPr>
          <w:p>
            <w:r>
              <w:rPr>
                <w:sz w:val="18"/>
              </w:rPr>
              <w:t>كثافة المخرجات (23 مخرجاً إلزامياً في 12 شهراً عبر 5 مراحل) تشير إلى أن المُقيّم يبحث عن مقدم خدمة لديه قدرة على إدارة مسارات عمل متوازية، مما يتطلب فريقاً متعدد التخصصات يعمل بالتوازي.</w:t>
            </w:r>
          </w:p>
        </w:tc>
        <w:tc>
          <w:tcPr>
            <w:tcW w:type="dxa" w:w="2160"/>
          </w:tcPr>
          <w:p>
            <w:r>
              <w:rPr>
                <w:sz w:val="18"/>
              </w:rPr>
              <w:t>Inferred</w:t>
            </w:r>
          </w:p>
        </w:tc>
        <w:tc>
          <w:tcPr>
            <w:tcW w:type="dxa" w:w="2160"/>
          </w:tcPr>
          <w:p>
            <w:r>
              <w:rPr>
                <w:sz w:val="18"/>
              </w:rPr>
              <w:t>استنتاج من حجم المخرجات (23) مقابل المدة الزمنية (12 شهراً) وعدد المراحل (5). هذا الحجم يتجاوز قدرة فريق صغير يعمل بشكل تسلسلي.</w:t>
            </w:r>
          </w:p>
        </w:tc>
        <w:tc>
          <w:tcPr>
            <w:tcW w:type="dxa" w:w="2160"/>
          </w:tcPr>
          <w:p>
            <w:r>
              <w:rPr>
                <w:sz w:val="18"/>
              </w:rPr>
              <w:t>high</w:t>
            </w:r>
          </w:p>
        </w:tc>
      </w:tr>
      <w:tr>
        <w:tc>
          <w:tcPr>
            <w:tcW w:type="dxa" w:w="2160"/>
          </w:tcPr>
          <w:p>
            <w:r>
              <w:rPr>
                <w:sz w:val="18"/>
              </w:rPr>
              <w:t>اشتراط تدريب موظفي المركز في جميع المراحل (SI-8) يشير إلى رغبة المركز في بناء قدرة مؤسسية لتحديث الدراسة ذاتياً مستقبلاً. العروض التي تتضمن أدوات ونماذج عمل قابلة لإعادة الاستخدام ستكون أكثر توافقاً مع هذا التوجه.</w:t>
            </w:r>
          </w:p>
        </w:tc>
        <w:tc>
          <w:tcPr>
            <w:tcW w:type="dxa" w:w="2160"/>
          </w:tcPr>
          <w:p>
            <w:r>
              <w:rPr>
                <w:sz w:val="18"/>
              </w:rPr>
              <w:t>Inferred</w:t>
            </w:r>
          </w:p>
        </w:tc>
        <w:tc>
          <w:tcPr>
            <w:tcW w:type="dxa" w:w="2160"/>
          </w:tcPr>
          <w:p>
            <w:r>
              <w:rPr>
                <w:sz w:val="18"/>
              </w:rPr>
              <w:t>استنتاج من صياغة SI-8 التي تشترط التدريب 'قبل المشروع وفي كافة مراحل المشروع' — هذا المستوى من التكامل يتجاوز التدريب الشكلي.</w:t>
            </w:r>
          </w:p>
        </w:tc>
        <w:tc>
          <w:tcPr>
            <w:tcW w:type="dxa" w:w="2160"/>
          </w:tcPr>
          <w:p>
            <w:r>
              <w:rPr>
                <w:sz w:val="18"/>
              </w:rPr>
              <w:t>medium</w:t>
            </w:r>
          </w:p>
        </w:tc>
      </w:tr>
      <w:tr>
        <w:tc>
          <w:tcPr>
            <w:tcW w:type="dxa" w:w="2160"/>
          </w:tcPr>
          <w:p>
            <w:r>
              <w:rPr>
                <w:sz w:val="18"/>
              </w:rPr>
              <w:t>في آلية pass/fail، المُقيّم يتحقق من تغطية كل بند من بنود نطاق العمل الثمانية (SI-1 إلى SI-8) وكل مخرج من المخرجات الـ 23 بمنهجية واضحة. عدم تغطية أي بند يمثل خطر رسوب فني.</w:t>
            </w:r>
          </w:p>
        </w:tc>
        <w:tc>
          <w:tcPr>
            <w:tcW w:type="dxa" w:w="2160"/>
          </w:tcPr>
          <w:p>
            <w:r>
              <w:rPr>
                <w:sz w:val="18"/>
              </w:rPr>
              <w:t>Inferred</w:t>
            </w:r>
          </w:p>
        </w:tc>
        <w:tc>
          <w:tcPr>
            <w:tcW w:type="dxa" w:w="2160"/>
          </w:tcPr>
          <w:p>
            <w:r>
              <w:rPr>
                <w:sz w:val="18"/>
              </w:rPr>
              <w:t>في آلية pass/fail، المُقيّم يتحقق من استيفاء الحد الأدنى لكل متطلب. وجود 23 مخرجاً إلزامياً (mandatory=true) و8 بنود نطاق عمل يعني أن كل عنصر نقطة تحقق محتملة.</w:t>
            </w:r>
          </w:p>
        </w:tc>
        <w:tc>
          <w:tcPr>
            <w:tcW w:type="dxa" w:w="2160"/>
          </w:tcPr>
          <w:p>
            <w:r>
              <w:rPr>
                <w:sz w:val="18"/>
              </w:rPr>
              <w:t>high</w:t>
            </w:r>
          </w:p>
        </w:tc>
      </w:tr>
      <w:tr>
        <w:tc>
          <w:tcPr>
            <w:tcW w:type="dxa" w:w="2160"/>
          </w:tcPr>
          <w:p>
            <w:r>
              <w:rPr>
                <w:sz w:val="18"/>
              </w:rPr>
              <w:t>تفاصيل جدول مواصفات فريق العمل (الملحق 2) غير متوفرة في النص المستخرج. هذه فجوة حرجة تتطلب الحصول على الملحق 2 كاملاً ومطابقة كل دور مطلوب مع ملفات المرشحين المتاحين. عدم المطابقة الدقيقة يمثل خطر رسوب فني.</w:t>
            </w:r>
          </w:p>
        </w:tc>
        <w:tc>
          <w:tcPr>
            <w:tcW w:type="dxa" w:w="2160"/>
          </w:tcPr>
          <w:p>
            <w:r>
              <w:rPr>
                <w:sz w:val="18"/>
              </w:rPr>
              <w:t>Inferred</w:t>
            </w:r>
          </w:p>
        </w:tc>
        <w:tc>
          <w:tcPr>
            <w:tcW w:type="dxa" w:w="2160"/>
          </w:tcPr>
          <w:p>
            <w:r>
              <w:rPr>
                <w:sz w:val="18"/>
              </w:rPr>
              <w:t>team_requirements[0].additional_requirements ينص على أن 'صفوف الجدول التفصيلية غير ظاهرة في النص المستخرج'. فجوة معلوماتية حرجة.</w:t>
            </w:r>
          </w:p>
        </w:tc>
        <w:tc>
          <w:tcPr>
            <w:tcW w:type="dxa" w:w="2160"/>
          </w:tcPr>
          <w:p>
            <w:r>
              <w:rPr>
                <w:sz w:val="18"/>
              </w:rPr>
              <w:t>high</w:t>
            </w:r>
          </w:p>
        </w:tc>
      </w:tr>
      <w:tr>
        <w:tc>
          <w:tcPr>
            <w:tcW w:type="dxa" w:w="2160"/>
          </w:tcPr>
          <w:p>
            <w:r>
              <w:rPr>
                <w:sz w:val="18"/>
              </w:rPr>
              <w:t>استراتيجية التسعير حاسمة: يجب تحسين هيكل التكلفة باستخدام فريق هرمي (خبراء في المراحل الحرجة + محللون في مهام الحصر والتوثيق) لتقديم سعر تنافسي مع ضمان القبول الفني.</w:t>
            </w:r>
          </w:p>
        </w:tc>
        <w:tc>
          <w:tcPr>
            <w:tcW w:type="dxa" w:w="2160"/>
          </w:tcPr>
          <w:p>
            <w:r>
              <w:rPr>
                <w:sz w:val="18"/>
              </w:rPr>
              <w:t>Inferred</w:t>
            </w:r>
          </w:p>
        </w:tc>
        <w:tc>
          <w:tcPr>
            <w:tcW w:type="dxa" w:w="2160"/>
          </w:tcPr>
          <w:p>
            <w:r>
              <w:rPr>
                <w:sz w:val="18"/>
              </w:rPr>
              <w:t>نتيجة مباشرة لآلية pass_fail_then_lowest_price (HR-L1-001) — السعر الأقل يحسم الفوز بين المجتازين فنياً.</w:t>
            </w:r>
          </w:p>
        </w:tc>
        <w:tc>
          <w:tcPr>
            <w:tcW w:type="dxa" w:w="2160"/>
          </w:tcPr>
          <w:p>
            <w:r>
              <w:rPr>
                <w:sz w:val="18"/>
              </w:rPr>
              <w:t>high</w:t>
            </w:r>
          </w:p>
        </w:tc>
      </w:tr>
      <w:tr>
        <w:tc>
          <w:tcPr>
            <w:tcW w:type="dxa" w:w="2160"/>
          </w:tcPr>
          <w:p>
            <w:r>
              <w:rPr>
                <w:sz w:val="18"/>
              </w:rPr>
              <w:t>المُقيّم الفني يتحقق على الأرجح من وجود منهجية واضحة لكل مرحلة من المراحل الخمس، وليس فقط من وجود قائمة مخرجات. غياب الوصف المنهجي لأي مرحلة يمثل خطر رسوب.</w:t>
            </w:r>
          </w:p>
        </w:tc>
        <w:tc>
          <w:tcPr>
            <w:tcW w:type="dxa" w:w="2160"/>
          </w:tcPr>
          <w:p>
            <w:r>
              <w:rPr>
                <w:sz w:val="18"/>
              </w:rPr>
              <w:t>Inferred</w:t>
            </w:r>
          </w:p>
        </w:tc>
        <w:tc>
          <w:tcPr>
            <w:tcW w:type="dxa" w:w="2160"/>
          </w:tcPr>
          <w:p>
            <w:r>
              <w:rPr>
                <w:sz w:val="18"/>
              </w:rPr>
              <w:t>استنتاج من بنية نطاق العمل التي تبدأ بـ SI-1 (تحديد منهجية الدراسة) وتتطلب وثيقة منهجية التحليل المقترحة (D-15) كمخرج مستقل. هذا يشير إلى أن المنهجية معيار تقييم وليست مجرد وصف إجرائي.</w:t>
            </w:r>
          </w:p>
        </w:tc>
        <w:tc>
          <w:tcPr>
            <w:tcW w:type="dxa" w:w="2160"/>
          </w:tcPr>
          <w:p>
            <w:r>
              <w:rPr>
                <w:sz w:val="18"/>
              </w:rPr>
              <w:t>medium</w:t>
            </w:r>
          </w:p>
        </w:tc>
      </w:tr>
    </w:tbl>
    <w:p/>
    <w:p>
      <w:pPr>
        <w:pStyle w:val="Heading3"/>
      </w:pPr>
      <w:r>
        <w:t>External Benchmark Support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Claim</w:t>
            </w:r>
          </w:p>
        </w:tc>
        <w:tc>
          <w:tcPr>
            <w:tcW w:type="dxa" w:w="2160"/>
          </w:tcPr>
          <w:p>
            <w:r>
              <w:rPr>
                <w:b/>
                <w:sz w:val="18"/>
              </w:rPr>
              <w:t>Classification</w:t>
            </w:r>
          </w:p>
        </w:tc>
        <w:tc>
          <w:tcPr>
            <w:tcW w:type="dxa" w:w="2160"/>
          </w:tcPr>
          <w:p>
            <w:r>
              <w:rPr>
                <w:b/>
                <w:sz w:val="18"/>
              </w:rPr>
              <w:t>Basis</w:t>
            </w:r>
          </w:p>
        </w:tc>
        <w:tc>
          <w:tcPr>
            <w:tcW w:type="dxa" w:w="2160"/>
          </w:tcPr>
          <w:p>
            <w:r>
              <w:rPr>
                <w:b/>
                <w:sz w:val="18"/>
              </w:rPr>
              <w:t>Confidence</w:t>
            </w:r>
          </w:p>
        </w:tc>
      </w:tr>
      <w:tr>
        <w:tc>
          <w:tcPr>
            <w:tcW w:type="dxa" w:w="2160"/>
          </w:tcPr>
          <w:p>
            <w:r>
              <w:rPr>
                <w:sz w:val="18"/>
              </w:rPr>
              <w:t>أنظمة التصنيف الدولية (ISIC/NAICS) توفر إطاراً مرجعياً لتصنيف الأنشطة الاقتصادية في القطاعات ذات الأولوية، مما يدعم التوافق مع المعايير الدولية المطلوبة في D-6 وSI-2.</w:t>
            </w:r>
          </w:p>
        </w:tc>
        <w:tc>
          <w:tcPr>
            <w:tcW w:type="dxa" w:w="2160"/>
          </w:tcPr>
          <w:p>
            <w:r>
              <w:rPr>
                <w:sz w:val="18"/>
              </w:rPr>
              <w:t>External Benchmark</w:t>
            </w:r>
          </w:p>
        </w:tc>
        <w:tc>
          <w:tcPr>
            <w:tcW w:type="dxa" w:w="2160"/>
          </w:tcPr>
          <w:p>
            <w:r>
              <w:rPr>
                <w:sz w:val="18"/>
              </w:rPr>
              <w:t>EXT-003 — أنظمة التصنيف الصناعي الدولية المعتمدة من الأمم المتحدة. تُستخدم كأساس لتصنيف الأنشطة الاقتصادية وتدعم تصميم D-6. مرجع منهجي داعم وليس دليلاً على قدرة SG. محدودية النقل: التصنيفات الدولية تتطلب تكييفاً مع التصنيفات المحلية المعتمدة في المملكة.</w:t>
            </w:r>
          </w:p>
        </w:tc>
        <w:tc>
          <w:tcPr>
            <w:tcW w:type="dxa" w:w="2160"/>
          </w:tcPr>
          <w:p>
            <w:r>
              <w:rPr>
                <w:sz w:val="18"/>
              </w:rPr>
              <w:t>high</w:t>
            </w:r>
          </w:p>
        </w:tc>
      </w:tr>
      <w:tr>
        <w:tc>
          <w:tcPr>
            <w:tcW w:type="dxa" w:w="2160"/>
          </w:tcPr>
          <w:p>
            <w:r>
              <w:rPr>
                <w:sz w:val="18"/>
              </w:rPr>
              <w:t>أدوات مشاركة أصحاب المصلحة المتعددين (68 أداة موثقة دولياً) تدعم تصميم ورش العمل (D-11) وخارطة أصحاب المصلحة (D-8) بمنهجية مثبتة.</w:t>
            </w:r>
          </w:p>
        </w:tc>
        <w:tc>
          <w:tcPr>
            <w:tcW w:type="dxa" w:w="2160"/>
          </w:tcPr>
          <w:p>
            <w:r>
              <w:rPr>
                <w:sz w:val="18"/>
              </w:rPr>
              <w:t>External Benchmark</w:t>
            </w:r>
          </w:p>
        </w:tc>
        <w:tc>
          <w:tcPr>
            <w:tcW w:type="dxa" w:w="2160"/>
          </w:tcPr>
          <w:p>
            <w:r>
              <w:rPr>
                <w:sz w:val="18"/>
              </w:rPr>
              <w:t>EXT-004 — مكتبة أدوات إشراك أصحاب المصلحة. تدعم تصميم النهج التشاركي المقترح لـ D-8 وD-11. مرجع منهجي داعم وليس دليلاً على قدرة SG. محدودية النقل: فعالية الأدوات تعتمد على السياق الثقافي والمؤسسي المحلي.</w:t>
            </w:r>
          </w:p>
        </w:tc>
        <w:tc>
          <w:tcPr>
            <w:tcW w:type="dxa" w:w="2160"/>
          </w:tcPr>
          <w:p>
            <w:r>
              <w:rPr>
                <w:sz w:val="18"/>
              </w:rPr>
              <w:t>high</w:t>
            </w:r>
          </w:p>
        </w:tc>
      </w:tr>
      <w:tr>
        <w:tc>
          <w:tcPr>
            <w:tcW w:type="dxa" w:w="2160"/>
          </w:tcPr>
          <w:p>
            <w:r>
              <w:rPr>
                <w:sz w:val="18"/>
              </w:rPr>
              <w:t>منهجية تقييم الاحتياجات المجتمعية (Community Needs Assessment - CNA) توفر إطاراً منظماً لتحليل الاحتياجات التنموية (D-16) وربطها بالمنتجات والخدمات المقترحة (D-17).</w:t>
            </w:r>
          </w:p>
        </w:tc>
        <w:tc>
          <w:tcPr>
            <w:tcW w:type="dxa" w:w="2160"/>
          </w:tcPr>
          <w:p>
            <w:r>
              <w:rPr>
                <w:sz w:val="18"/>
              </w:rPr>
              <w:t>External Benchmark</w:t>
            </w:r>
          </w:p>
        </w:tc>
        <w:tc>
          <w:tcPr>
            <w:tcW w:type="dxa" w:w="2160"/>
          </w:tcPr>
          <w:p>
            <w:r>
              <w:rPr>
                <w:sz w:val="18"/>
              </w:rPr>
              <w:t>EXT-006 — منهجية CNA مثبتة دولياً في تقييم الاحتياجات المجتمعية. تُكيّف للسياق السعودي. مرجع منهجي داعم وليس دليلاً على قدرة SG. محدودية النقل: بيانات الاحتياجات التنموية المحلية غير متوفرة من هذا المصدر.</w:t>
            </w:r>
          </w:p>
        </w:tc>
        <w:tc>
          <w:tcPr>
            <w:tcW w:type="dxa" w:w="2160"/>
          </w:tcPr>
          <w:p>
            <w:r>
              <w:rPr>
                <w:sz w:val="18"/>
              </w:rPr>
              <w:t>high</w:t>
            </w:r>
          </w:p>
        </w:tc>
      </w:tr>
      <w:tr>
        <w:tc>
          <w:tcPr>
            <w:tcW w:type="dxa" w:w="2160"/>
          </w:tcPr>
          <w:p>
            <w:r>
              <w:rPr>
                <w:sz w:val="18"/>
              </w:rPr>
              <w:t>منهجية DMAIC توفر إطاراً منظماً لضبط جودة عملية حصر المنتجات والخدمات عبر 5+ قطاعات في المرحلة 2.</w:t>
            </w:r>
          </w:p>
        </w:tc>
        <w:tc>
          <w:tcPr>
            <w:tcW w:type="dxa" w:w="2160"/>
          </w:tcPr>
          <w:p>
            <w:r>
              <w:rPr>
                <w:sz w:val="18"/>
              </w:rPr>
              <w:t>External Benchmark</w:t>
            </w:r>
          </w:p>
        </w:tc>
        <w:tc>
          <w:tcPr>
            <w:tcW w:type="dxa" w:w="2160"/>
          </w:tcPr>
          <w:p>
            <w:r>
              <w:rPr>
                <w:sz w:val="18"/>
              </w:rPr>
              <w:t>EXT-002 — منهجية DMAIC مثبتة دولياً في إدارة جودة العمليات. تُطبق على ضبط جودة الحصر القطاعي. مرجع منهجي داعم. محدودية النقل: تتطلب تكييفاً لسياق الحصر البحثي وليس التصنيع.</w:t>
            </w:r>
          </w:p>
        </w:tc>
        <w:tc>
          <w:tcPr>
            <w:tcW w:type="dxa" w:w="2160"/>
          </w:tcPr>
          <w:p>
            <w:r>
              <w:rPr>
                <w:sz w:val="18"/>
              </w:rPr>
              <w:t>medium</w:t>
            </w:r>
          </w:p>
        </w:tc>
      </w:tr>
      <w:tr>
        <w:tc>
          <w:tcPr>
            <w:tcW w:type="dxa" w:w="2160"/>
          </w:tcPr>
          <w:p>
            <w:r>
              <w:rPr>
                <w:sz w:val="18"/>
              </w:rPr>
              <w:t>إطار السياسات المبنية على الأدلة (Evidence-Based Policymaking) يوفر مرجعاً دولياً لتصميم منهجية الدراسة (D-1) وخطة جمع البيانات (D-15).</w:t>
            </w:r>
          </w:p>
        </w:tc>
        <w:tc>
          <w:tcPr>
            <w:tcW w:type="dxa" w:w="2160"/>
          </w:tcPr>
          <w:p>
            <w:r>
              <w:rPr>
                <w:sz w:val="18"/>
              </w:rPr>
              <w:t>External Benchmark</w:t>
            </w:r>
          </w:p>
        </w:tc>
        <w:tc>
          <w:tcPr>
            <w:tcW w:type="dxa" w:w="2160"/>
          </w:tcPr>
          <w:p>
            <w:r>
              <w:rPr>
                <w:sz w:val="18"/>
              </w:rPr>
              <w:t>EXT-001 — إطار مرجعي لتصميم منهجيات البحث الحكومي المبنية على الأدلة. يدعم مصداقية المنهجية المقترحة. محدودية النقل: الإطار أمريكي ويتطلب تكييفاً للسياق التنظيمي السعودي.</w:t>
            </w:r>
          </w:p>
        </w:tc>
        <w:tc>
          <w:tcPr>
            <w:tcW w:type="dxa" w:w="2160"/>
          </w:tcPr>
          <w:p>
            <w:r>
              <w:rPr>
                <w:sz w:val="18"/>
              </w:rPr>
              <w:t>medium</w:t>
            </w:r>
          </w:p>
        </w:tc>
      </w:tr>
      <w:tr>
        <w:tc>
          <w:tcPr>
            <w:tcW w:type="dxa" w:w="2160"/>
          </w:tcPr>
          <w:p>
            <w:r>
              <w:rPr>
                <w:sz w:val="18"/>
              </w:rPr>
              <w:t>إطار إدارة محفظة الابتكار الأسترالي يوفر نموذجاً مرجعياً للتفريق بين الخدمات الجديدة والقائمة وتصنيفها حسب درجة الابتكار والأولوية، مما يدعم تصميم D-13 وD-18.</w:t>
            </w:r>
          </w:p>
        </w:tc>
        <w:tc>
          <w:tcPr>
            <w:tcW w:type="dxa" w:w="2160"/>
          </w:tcPr>
          <w:p>
            <w:r>
              <w:rPr>
                <w:sz w:val="18"/>
              </w:rPr>
              <w:t>External Benchmark</w:t>
            </w:r>
          </w:p>
        </w:tc>
        <w:tc>
          <w:tcPr>
            <w:tcW w:type="dxa" w:w="2160"/>
          </w:tcPr>
          <w:p>
            <w:r>
              <w:rPr>
                <w:sz w:val="18"/>
              </w:rPr>
              <w:t>EXT-005 — إطار أسترالي لإدارة الابتكار في القطاع العام. مقارنة معيارية داعمة لتصنيف المنتجات والخدمات المقترحة. محدودية النقل: السياق الأسترالي يختلف عن القطاع غير الربحي السعودي في البنية التنظيمية.</w:t>
            </w:r>
          </w:p>
        </w:tc>
        <w:tc>
          <w:tcPr>
            <w:tcW w:type="dxa" w:w="2160"/>
          </w:tcPr>
          <w:p>
            <w:r>
              <w:rPr>
                <w:sz w:val="18"/>
              </w:rPr>
              <w:t>medium</w:t>
            </w:r>
          </w:p>
        </w:tc>
      </w:tr>
      <w:tr>
        <w:tc>
          <w:tcPr>
            <w:tcW w:type="dxa" w:w="2160"/>
          </w:tcPr>
          <w:p>
            <w:r>
              <w:rPr>
                <w:sz w:val="18"/>
              </w:rPr>
              <w:t>نموذج إدارة الزكاة في القطاع الصحي بإندونيسيا يوفر مقارنة معيارية لأشكال الخدمات غير الربحية الإسلامية (التبرع، الوقف)، ومنهجية ANP لتحديد الأولويات قابلة للتطبيق على D-18.</w:t>
            </w:r>
          </w:p>
        </w:tc>
        <w:tc>
          <w:tcPr>
            <w:tcW w:type="dxa" w:w="2160"/>
          </w:tcPr>
          <w:p>
            <w:r>
              <w:rPr>
                <w:sz w:val="18"/>
              </w:rPr>
              <w:t>External Benchmark</w:t>
            </w:r>
          </w:p>
        </w:tc>
        <w:tc>
          <w:tcPr>
            <w:tcW w:type="dxa" w:w="2160"/>
          </w:tcPr>
          <w:p>
            <w:r>
              <w:rPr>
                <w:sz w:val="18"/>
              </w:rPr>
              <w:t>EXT-007 — نموذج إندونيسي لإدارة الزكاة مع منهجية Analytic Network Process. مقارنة معيارية لدولة ذات سياق إسلامي مشابه. محدودية النقل: الإطار التنظيمي الإندونيسي يختلف عن السعودي.</w:t>
            </w:r>
          </w:p>
        </w:tc>
        <w:tc>
          <w:tcPr>
            <w:tcW w:type="dxa" w:w="2160"/>
          </w:tcPr>
          <w:p>
            <w:r>
              <w:rPr>
                <w:sz w:val="18"/>
              </w:rPr>
              <w:t>medium</w:t>
            </w:r>
          </w:p>
        </w:tc>
      </w:tr>
      <w:tr>
        <w:tc>
          <w:tcPr>
            <w:tcW w:type="dxa" w:w="2160"/>
          </w:tcPr>
          <w:p>
            <w:r>
              <w:rPr>
                <w:sz w:val="18"/>
              </w:rPr>
              <w:t>أطر المراقبة والتقييم المبنية على المؤشرات (Indicator-Based M&amp;E) تدعم تصميم منهجية قياس الأثر (D-22) وقائمة المؤشرات (D-23).</w:t>
            </w:r>
          </w:p>
        </w:tc>
        <w:tc>
          <w:tcPr>
            <w:tcW w:type="dxa" w:w="2160"/>
          </w:tcPr>
          <w:p>
            <w:r>
              <w:rPr>
                <w:sz w:val="18"/>
              </w:rPr>
              <w:t>External Benchmark</w:t>
            </w:r>
          </w:p>
        </w:tc>
        <w:tc>
          <w:tcPr>
            <w:tcW w:type="dxa" w:w="2160"/>
          </w:tcPr>
          <w:p>
            <w:r>
              <w:rPr>
                <w:sz w:val="18"/>
              </w:rPr>
              <w:t>EXT-009 — إطار لتصميم أنظمة المراقبة والتقييم المبنية على المؤشرات. يدعم تصميم المنهجية المقترحة في المرحلة 5. محدودية النقل: المؤشرات تتطلب تكييفاً للسياق التنموي السعودي.</w:t>
            </w:r>
          </w:p>
        </w:tc>
        <w:tc>
          <w:tcPr>
            <w:tcW w:type="dxa" w:w="2160"/>
          </w:tcPr>
          <w:p>
            <w:r>
              <w:rPr>
                <w:sz w:val="18"/>
              </w:rPr>
              <w:t>medium</w:t>
            </w:r>
          </w:p>
        </w:tc>
      </w:tr>
      <w:tr>
        <w:tc>
          <w:tcPr>
            <w:tcW w:type="dxa" w:w="2160"/>
          </w:tcPr>
          <w:p>
            <w:r>
              <w:rPr>
                <w:sz w:val="18"/>
              </w:rPr>
              <w:t>الممارسات الدولية في تصميم الحوافز للقطاع غير الربحي تدعم تصميم الحزمة التحفيزية (D-20) بناءً على أدلة مقارنة من دول متعددة.</w:t>
            </w:r>
          </w:p>
        </w:tc>
        <w:tc>
          <w:tcPr>
            <w:tcW w:type="dxa" w:w="2160"/>
          </w:tcPr>
          <w:p>
            <w:r>
              <w:rPr>
                <w:sz w:val="18"/>
              </w:rPr>
              <w:t>External Benchmark</w:t>
            </w:r>
          </w:p>
        </w:tc>
        <w:tc>
          <w:tcPr>
            <w:tcW w:type="dxa" w:w="2160"/>
          </w:tcPr>
          <w:p>
            <w:r>
              <w:rPr>
                <w:sz w:val="18"/>
              </w:rPr>
              <w:t>EXT-010 — أدلة مقارنة حول آليات التحفيز في القطاع غير الربحي. يدعم تصميم حزمة الحوافز المقترحة مع تكييفها للسياق التنظيمي السعودي. محدودية النقل: الأنظمة الضريبية والتنظيمية تختلف جوهرياً بين الدول.</w:t>
            </w:r>
          </w:p>
        </w:tc>
        <w:tc>
          <w:tcPr>
            <w:tcW w:type="dxa" w:w="2160"/>
          </w:tcPr>
          <w:p>
            <w:r>
              <w:rPr>
                <w:sz w:val="18"/>
              </w:rPr>
              <w:t>medium</w:t>
            </w:r>
          </w:p>
        </w:tc>
      </w:tr>
    </w:tbl>
    <w:p/>
    <w:p>
      <w:pPr>
        <w:pStyle w:val="Heading2"/>
      </w:pPr>
      <w:r>
        <w:t>1.1 Objective &amp; Scope</w:t>
      </w:r>
    </w:p>
    <w:p>
      <w:r>
        <w:t>## الهدف والنطاق — تفسير استراتيجي (النسخة المنقحة — معالجة جميع ملاحظات المراجع)</w:t>
        <w:br/>
        <w:t xml:space="preserve"> **إقرار بنموذج التقييم**: لا يُفترض في هذا القسم أي نظام تقييم مرجّح أو أوزان نسبية أو نقاط مركبة. آلية الترسية هي اجتياز فني ثنائي (ناجح/راسب) ثم أقل سعر بين المجتازين فنياً (HR-L1-001 — DIRECT_RFP_FACT). تصميم العرض بالكامل مبني على هذا النموذج. ---</w:t>
        <w:br/>
        <w:t xml:space="preserve"> ### 1. ما يطلبه العميل صراحةً (DIRECT_RFP_FACT)</w:t>
        <w:br/>
        <w:t xml:space="preserve"> المركز الوطني لتنمية القطاع غير الربحي — الجهة التنظيمية والتمكينية للقطاع الثالث في المملكة العربية السعودية — يطرح عبر منصة اعتماد منافسة لإعداد دراسة شاملة لتصميم منتجات وخدمات نوعية مبتكرة للقطاع غير الربحي. نص التفويض الصريح: "تستهدف الدراسة القيام بتصميم الخدمات والمنتجات النوعية في القطاع غير الربحي أخذًا بالاعتبار مختلف عناصر منظومة الاحتياجات التنموية في مختلف الأنشطة الاقتصادية في القطاعات ذات الأولوية، بحيث تكون الخدمات والمنتجات متنوعة ومبتكرة وتخدم فئات وشرائح المجتمع المختلفة. " مدة العقد 12 شهراً بالضبط من تاريخ إشعار البدء بالعمل (HR-L1-002). نطاق العمل يتضمن 8 بنود (SI-1 إلى SI-8) تغطي: تصميم المنهجية وخطة العمل والحوكمة (SI-1)، حصر المنتجات والخدمات عبر 5 قطاعات كحد أدنى (SI-2)، دراسة التصنيفات والمعايير والممارسات الدولية في 5 دول كحد أدنى (SI-3)، تحليل أصحاب المصلحة والوضع الراهن بمختلف أشكاله — جمع التبرعات والتطوع والوقف والاستضافة (SI-4)، تحليل الاحتياجات التنموية وربطها بالمنتجات المبتكرة (SI-5)، تحديد أولويات المعالجة والحوافز وإعداد خطة تنفيذية (SI-6)، تطوير منهجية قياس الأثر والاستدامة (SI-7)، وتدريب موظفي المركز عبر جميع المراحل (SI-8). المشروع يُنتج 23 مخرجاً إلزامياً (D-1 إلى D-23) جميعها mandatory=true (HR-L1-030 إلى HR-L1-052). ### 2. خريطة التحول: الوضع الراهن ← الوضع المستهدف</w:t>
        <w:br/>
        <w:t xml:space="preserve"> الوضع الراهن المستخلص من هيكل المخرجات المطلوبة (INFERENCE — confidence: high — مبني على أن طلب D-9 "الوضع الراهن" وD-10 "تحليل المزايا والتحديات" يعني غياب هذا التحليل حالياً لدى المركز): قطاع غير ربحي يعتمد على أشكال محدودة من الخدمات (جمع التبرعات، التطوع، الوقف، الاستضافة — مذكورة صراحة في SI-4 كأمثلة)، مع غياب حصر منهجي للمنتجات والخدمات القائمة، وغياب ربط منظم بين هذه الخدمات والاحتياجات التنموية، وغياب آلية لقياس الأثر. الوضع المستهدف المستخلص من المخرجات: (أ) خارطة شاملة للمنتجات والخدمات القائمة والمقترحة مصنفة حسب القطاع والنشاط (D-6، D-9)، (ب) قائمة نهائية بمنتجات وخدمات نوعية مبتكرة مربوطة بالاحتياجات التنموية (D-13، D-17)، (ج) بطاقات تشغيلية لكل منتج/خدمة ذات أولوية (D-21)، (د) خطة تنفيذية مع حزم تحفيزية (D-19، D-20)، (هـ) منهجية قياس أثر واستدامة مع مؤشرات (D-22، D-23). ارتباط المركز بمنظومة رؤية 2030 يشير إلى أن هذا المشروع أداة لصنع السياسات وتصميم التدخلات وليس دراسة أكاديمية (INFERENCE — confidence: high — مبني على طبيعة الجهة المصدرة ونوع المخرجات التنفيذية المطلوبة كبطاقات المنتجات D-21 والخطة التنفيذية D-19). ### 3. تصنيف المخرجات من حيث مخاطر عدم الاجتياز الفني</w:t>
        <w:br/>
        <w:t xml:space="preserve"> جميع المخرجات الـ 23 إلزامية (DIRECT_RFP_FACT). في ظل آلية pass/fail (HR-L1-001)، عدم تغطية أي مخرج يمثل خطر رسوب فني. يمكن تصنيف المخرجات من حيث تعقيد الإنتاج (INFERENCE — confidence: medium): **مخرجات إدارية/منهجية** (يتوقعها المُقيّم من أي استشاري مؤهل): D-1 (المنهجية)، D-3 (خطة العمل)، D-4 (الحوكمة)، D-5 (ميثاق المشروع)، D-14 (الملخصات التنفيذية)، D-15 (منهجية التحليل). **مخرجات جوهرية** (تكشف عمق الفهم القطاعي والقدرة التحليلية): D-2 (قائمة الخبراء)، D-7 (الممارسات الدولية في 5 دول)، D-13 (القائمة النهائية للمنتجات المبتكرة — جوهر المشروع)، D-17 (ربط المنتجات بالاحتياجات)، D-20 (الحزمة التحفيزية)، D-21 (بطاقات المنتجات)، D-22 وD-23 (قياس الأثر). ### 4. متطلبات الإثبات في العرض الفني ومنطق النجاح/الفشل</w:t>
        <w:br/>
        <w:t xml:space="preserve"> لاجتياز التقييم الفني (بوابة pass/fail)، يجب إثبات: (أ) القدرة على إجراء حصر قطاعي منهجي عبر 5+ قطاعات [evidence_gap: لا تتوفر مشاريع SG موثقة — Engine 2 مطلوب]، (ب) القدرة على إجراء مقارنات معيارية دولية في 5 دول [الحزمة الخارجية تغطي 3 دول: أمريكا EXT-001، أستراليا EXT-005، إندونيسيا EXT-007 — فجوة: دولتان إضافيتان مطلوبتان]، (ج) الفهم العميق للقطاع غير الربحي السعودي [evidence_gap: لا تتوفر أدلة داخلية أو محلية — Engine 2 مطلوب]، (د) القدرة على تصميم منتجات وخدمات مبتكرة مع بطاقات تشغيلية [evidence_gap: لا تتوفر نماذج سابقة — Engine 2 مطلوب]. منطق النجاح: تغطية شاملة لجميع المتطلبات الإلزامية + سعر تنافسي. منطق الفشل: أي ثغرة في تغطية المخرجات أو بنود نطاق العمل أو الشهادات النظامية تؤدي للرسوب الفني قبل الوصول لمرحلة المنافسة السعرية.</w:t>
      </w:r>
    </w:p>
    <w:p>
      <w:pPr>
        <w:pStyle w:val="Heading2"/>
      </w:pPr>
      <w:r>
        <w:t>1.2 Constraints &amp; Compliance Requirements</w:t>
      </w:r>
    </w:p>
    <w:p>
      <w:r>
        <w:t>## القيود والامتثال (النسخة المنقحة — معالجة جميع ملاحظات المراجع)</w:t>
        <w:br/>
        <w:t xml:space="preserve"> ### 1. القيود الزمنية والتعاقدية (DIRECT_RFP_FACT)</w:t>
        <w:br/>
        <w:t xml:space="preserve"> مدة العقد 12 شهراً بالضبط من تاريخ إشعار البدء بالعمل (HR-L1-002). المشروع مقسم إلى 5 مراحل: المرحلة 1 — البدء وتحديد المنهجية (D-1 إلى D-5)، المرحلة 2 — الحصر القطاعي (D-6 إلى D-14)، المرحلة 3 — تحليل الاحتياجات (D-15 إلى D-17)، المرحلة 4 — التفعيل والتحفيز (D-18 إلى D-21)، المرحلة 5 — قياس الأثر والاستدامة (D-22 إلى D-23). لم تُحدد مدد شهرية تفصيلية لكل مرحلة في النص المستخرج (فجوة — يُراجع الملحق الأصلي). تواريخ المنافسة: آخر موعد للاستفسارات 2021-11-03، موعد تسليم العروض 2021-11-10، فتح المظاريف 2021-11-10، الترسية المتوقعة 2021-11-27، بدء الخدمة المتوقع 2021-12-20 (DIRECT_RFP_FACT). سريان العرض 90 يوماً من تاريخ التسليم (CR-10 / HR-L1-017). ### 2. قائمة التحقق من تعبئة العرض الفني (Technical Offer Packaging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البند</w:t>
            </w:r>
          </w:p>
        </w:tc>
        <w:tc>
          <w:tcPr>
            <w:tcW w:type="dxa" w:w="1728"/>
          </w:tcPr>
          <w:p>
            <w:r>
              <w:rPr>
                <w:b/>
                <w:sz w:val="18"/>
              </w:rPr>
              <w:t>المرجع</w:t>
            </w:r>
          </w:p>
        </w:tc>
        <w:tc>
          <w:tcPr>
            <w:tcW w:type="dxa" w:w="1728"/>
          </w:tcPr>
          <w:p>
            <w:r>
              <w:rPr>
                <w:b/>
                <w:sz w:val="18"/>
              </w:rPr>
              <w:t>التفصيل</w:t>
            </w:r>
          </w:p>
        </w:tc>
        <w:tc>
          <w:tcPr>
            <w:tcW w:type="dxa" w:w="1728"/>
          </w:tcPr>
          <w:p>
            <w:r>
              <w:rPr>
                <w:b/>
                <w:sz w:val="18"/>
              </w:rPr>
              <w:t>الموقع</w:t>
            </w:r>
          </w:p>
        </w:tc>
      </w:tr>
      <w:tr>
        <w:tc>
          <w:tcPr>
            <w:tcW w:type="dxa" w:w="1728"/>
          </w:tcPr>
          <w:p>
            <w:r>
              <w:rPr>
                <w:sz w:val="18"/>
              </w:rPr>
              <w:t>1</w:t>
            </w:r>
          </w:p>
        </w:tc>
        <w:tc>
          <w:tcPr>
            <w:tcW w:type="dxa" w:w="1728"/>
          </w:tcPr>
          <w:p>
            <w:r>
              <w:rPr>
                <w:sz w:val="18"/>
              </w:rPr>
              <w:t>اللغة العربية</w:t>
            </w:r>
          </w:p>
        </w:tc>
        <w:tc>
          <w:tcPr>
            <w:tcW w:type="dxa" w:w="1728"/>
          </w:tcPr>
          <w:p>
            <w:r>
              <w:rPr>
                <w:sz w:val="18"/>
              </w:rPr>
              <w:t>CR-1 / HR-L1-008</w:t>
            </w:r>
          </w:p>
        </w:tc>
        <w:tc>
          <w:tcPr>
            <w:tcW w:type="dxa" w:w="1728"/>
          </w:tcPr>
          <w:p>
            <w:r>
              <w:rPr>
                <w:sz w:val="18"/>
              </w:rPr>
              <w:t>جميع وثائق العرض بالعربية. الوثائق الداعمة بالإنجليزية مقبولة مع ترجمة. النص العربي يسود عند التعارض.</w:t>
            </w:r>
          </w:p>
        </w:tc>
        <w:tc>
          <w:tcPr>
            <w:tcW w:type="dxa" w:w="1728"/>
          </w:tcPr>
          <w:p>
            <w:r>
              <w:rPr>
                <w:sz w:val="18"/>
              </w:rPr>
              <w:t>المظروفان</w:t>
            </w:r>
          </w:p>
        </w:tc>
      </w:tr>
      <w:tr>
        <w:tc>
          <w:tcPr>
            <w:tcW w:type="dxa" w:w="1728"/>
          </w:tcPr>
          <w:p>
            <w:r>
              <w:rPr>
                <w:sz w:val="18"/>
              </w:rPr>
              <w:t>2</w:t>
            </w:r>
          </w:p>
        </w:tc>
        <w:tc>
          <w:tcPr>
            <w:tcW w:type="dxa" w:w="1728"/>
          </w:tcPr>
          <w:p>
            <w:r>
              <w:rPr>
                <w:sz w:val="18"/>
              </w:rPr>
              <w:t>مظروفان مشفران PDF</w:t>
            </w:r>
          </w:p>
        </w:tc>
        <w:tc>
          <w:tcPr>
            <w:tcW w:type="dxa" w:w="1728"/>
          </w:tcPr>
          <w:p>
            <w:r>
              <w:rPr>
                <w:sz w:val="18"/>
              </w:rPr>
              <w:t>HR-L1-019 إلى HR-L1-024</w:t>
            </w:r>
          </w:p>
        </w:tc>
        <w:tc>
          <w:tcPr>
            <w:tcW w:type="dxa" w:w="1728"/>
          </w:tcPr>
          <w:p>
            <w:r>
              <w:rPr>
                <w:sz w:val="18"/>
              </w:rPr>
              <w:t>ملفان PDF منفصلان مشفران: فني + مالي</w:t>
            </w:r>
          </w:p>
        </w:tc>
        <w:tc>
          <w:tcPr>
            <w:tcW w:type="dxa" w:w="1728"/>
          </w:tcPr>
          <w:p>
            <w:r>
              <w:rPr>
                <w:sz w:val="18"/>
              </w:rPr>
              <w:t>منصة اعتماد</w:t>
            </w:r>
          </w:p>
        </w:tc>
      </w:tr>
      <w:tr>
        <w:tc>
          <w:tcPr>
            <w:tcW w:type="dxa" w:w="1728"/>
          </w:tcPr>
          <w:p>
            <w:r>
              <w:rPr>
                <w:sz w:val="18"/>
              </w:rPr>
              <w:t>3</w:t>
            </w:r>
          </w:p>
        </w:tc>
        <w:tc>
          <w:tcPr>
            <w:tcW w:type="dxa" w:w="1728"/>
          </w:tcPr>
          <w:p>
            <w:r>
              <w:rPr>
                <w:sz w:val="18"/>
              </w:rPr>
              <w:t>محتويات المظروف الفني</w:t>
            </w:r>
          </w:p>
        </w:tc>
        <w:tc>
          <w:tcPr>
            <w:tcW w:type="dxa" w:w="1728"/>
          </w:tcPr>
          <w:p>
            <w:r>
              <w:rPr>
                <w:sz w:val="18"/>
              </w:rPr>
              <w:t>HR-L1-019/020</w:t>
            </w:r>
          </w:p>
        </w:tc>
        <w:tc>
          <w:tcPr>
            <w:tcW w:type="dxa" w:w="1728"/>
          </w:tcPr>
          <w:p>
            <w:r>
              <w:rPr>
                <w:sz w:val="18"/>
              </w:rPr>
              <w:t>العرض الفني + السير الذاتية + الشهادات النظامية الست (CR-2 إلى CR-7) + شهادات الخبرة</w:t>
            </w:r>
          </w:p>
        </w:tc>
        <w:tc>
          <w:tcPr>
            <w:tcW w:type="dxa" w:w="1728"/>
          </w:tcPr>
          <w:p>
            <w:r>
              <w:rPr>
                <w:sz w:val="18"/>
              </w:rPr>
              <w:t>ملف PDF فني</w:t>
            </w:r>
          </w:p>
        </w:tc>
      </w:tr>
      <w:tr>
        <w:tc>
          <w:tcPr>
            <w:tcW w:type="dxa" w:w="1728"/>
          </w:tcPr>
          <w:p>
            <w:r>
              <w:rPr>
                <w:sz w:val="18"/>
              </w:rPr>
              <w:t>4</w:t>
            </w:r>
          </w:p>
        </w:tc>
        <w:tc>
          <w:tcPr>
            <w:tcW w:type="dxa" w:w="1728"/>
          </w:tcPr>
          <w:p>
            <w:r>
              <w:rPr>
                <w:sz w:val="18"/>
              </w:rPr>
              <w:t>محتويات المظروف المالي</w:t>
            </w:r>
          </w:p>
        </w:tc>
        <w:tc>
          <w:tcPr>
            <w:tcW w:type="dxa" w:w="1728"/>
          </w:tcPr>
          <w:p>
            <w:r>
              <w:rPr>
                <w:sz w:val="18"/>
              </w:rPr>
              <w:t>HR-L1-021/025</w:t>
            </w:r>
          </w:p>
        </w:tc>
        <w:tc>
          <w:tcPr>
            <w:tcW w:type="dxa" w:w="1728"/>
          </w:tcPr>
          <w:p>
            <w:r>
              <w:rPr>
                <w:sz w:val="18"/>
              </w:rPr>
              <w:t>العرض المالي + أصل الضمان الابتدائي (1%)</w:t>
            </w:r>
          </w:p>
        </w:tc>
        <w:tc>
          <w:tcPr>
            <w:tcW w:type="dxa" w:w="1728"/>
          </w:tcPr>
          <w:p>
            <w:r>
              <w:rPr>
                <w:sz w:val="18"/>
              </w:rPr>
              <w:t>ملف PDF مالي</w:t>
            </w:r>
          </w:p>
        </w:tc>
      </w:tr>
      <w:tr>
        <w:tc>
          <w:tcPr>
            <w:tcW w:type="dxa" w:w="1728"/>
          </w:tcPr>
          <w:p>
            <w:r>
              <w:rPr>
                <w:sz w:val="18"/>
              </w:rPr>
              <w:t>5</w:t>
            </w:r>
          </w:p>
        </w:tc>
        <w:tc>
          <w:tcPr>
            <w:tcW w:type="dxa" w:w="1728"/>
          </w:tcPr>
          <w:p>
            <w:r>
              <w:rPr>
                <w:sz w:val="18"/>
              </w:rPr>
              <w:t>الضمان الابتدائي في المالي</w:t>
            </w:r>
          </w:p>
        </w:tc>
        <w:tc>
          <w:tcPr>
            <w:tcW w:type="dxa" w:w="1728"/>
          </w:tcPr>
          <w:p>
            <w:r>
              <w:rPr>
                <w:sz w:val="18"/>
              </w:rPr>
              <w:t>CR-8 / HR-L1-015/025</w:t>
            </w:r>
          </w:p>
        </w:tc>
        <w:tc>
          <w:tcPr>
            <w:tcW w:type="dxa" w:w="1728"/>
          </w:tcPr>
          <w:p>
            <w:r>
              <w:rPr>
                <w:sz w:val="18"/>
              </w:rPr>
              <w:t>أصل خطاب الضمان البنكي بنسبة 1% يُرفق في ملف العرض المالي</w:t>
            </w:r>
          </w:p>
        </w:tc>
        <w:tc>
          <w:tcPr>
            <w:tcW w:type="dxa" w:w="1728"/>
          </w:tcPr>
          <w:p>
            <w:r>
              <w:rPr>
                <w:sz w:val="18"/>
              </w:rPr>
              <w:t>المظروف المالي</w:t>
            </w:r>
          </w:p>
        </w:tc>
      </w:tr>
      <w:tr>
        <w:tc>
          <w:tcPr>
            <w:tcW w:type="dxa" w:w="1728"/>
          </w:tcPr>
          <w:p>
            <w:r>
              <w:rPr>
                <w:sz w:val="18"/>
              </w:rPr>
              <w:t>6</w:t>
            </w:r>
          </w:p>
        </w:tc>
        <w:tc>
          <w:tcPr>
            <w:tcW w:type="dxa" w:w="1728"/>
          </w:tcPr>
          <w:p>
            <w:r>
              <w:rPr>
                <w:sz w:val="18"/>
              </w:rPr>
              <w:t>التقديم عبر اعتماد</w:t>
            </w:r>
          </w:p>
        </w:tc>
        <w:tc>
          <w:tcPr>
            <w:tcW w:type="dxa" w:w="1728"/>
          </w:tcPr>
          <w:p>
            <w:r>
              <w:rPr>
                <w:sz w:val="18"/>
              </w:rPr>
              <w:t>HR-L1-019/023</w:t>
            </w:r>
          </w:p>
        </w:tc>
        <w:tc>
          <w:tcPr>
            <w:tcW w:type="dxa" w:w="1728"/>
          </w:tcPr>
          <w:p>
            <w:r>
              <w:rPr>
                <w:sz w:val="18"/>
              </w:rPr>
              <w:t>الرفع الإلكتروني عبر منصة اعتماد</w:t>
            </w:r>
          </w:p>
        </w:tc>
        <w:tc>
          <w:tcPr>
            <w:tcW w:type="dxa" w:w="1728"/>
          </w:tcPr>
          <w:p>
            <w:r>
              <w:rPr>
                <w:sz w:val="18"/>
              </w:rPr>
              <w:t>إلكتروني</w:t>
            </w:r>
          </w:p>
        </w:tc>
      </w:tr>
      <w:tr>
        <w:tc>
          <w:tcPr>
            <w:tcW w:type="dxa" w:w="1728"/>
          </w:tcPr>
          <w:p>
            <w:r>
              <w:rPr>
                <w:sz w:val="18"/>
              </w:rPr>
              <w:t>7</w:t>
            </w:r>
          </w:p>
        </w:tc>
        <w:tc>
          <w:tcPr>
            <w:tcW w:type="dxa" w:w="1728"/>
          </w:tcPr>
          <w:p>
            <w:r>
              <w:rPr>
                <w:sz w:val="18"/>
              </w:rPr>
              <w:t>البديل الورقي</w:t>
            </w:r>
          </w:p>
        </w:tc>
        <w:tc>
          <w:tcPr>
            <w:tcW w:type="dxa" w:w="1728"/>
          </w:tcPr>
          <w:p>
            <w:r>
              <w:rPr>
                <w:sz w:val="18"/>
              </w:rPr>
              <w:t>HR-L1-022/026/027</w:t>
            </w:r>
          </w:p>
        </w:tc>
        <w:tc>
          <w:tcPr>
            <w:tcW w:type="dxa" w:w="1728"/>
          </w:tcPr>
          <w:p>
            <w:r>
              <w:rPr>
                <w:sz w:val="18"/>
              </w:rPr>
              <w:t>إدارة المشتريات والعقود، حي المرسلات، الرياض، قبل 11:00 بتاريخ 1443/11/10هـ (في حال تعذر التقديم الإلكتروني لأكثر من 3 أيام)</w:t>
            </w:r>
          </w:p>
        </w:tc>
        <w:tc>
          <w:tcPr>
            <w:tcW w:type="dxa" w:w="1728"/>
          </w:tcPr>
          <w:p>
            <w:r>
              <w:rPr>
                <w:sz w:val="18"/>
              </w:rPr>
              <w:t>ورقي</w:t>
            </w:r>
          </w:p>
        </w:tc>
      </w:tr>
      <w:tr>
        <w:tc>
          <w:tcPr>
            <w:tcW w:type="dxa" w:w="1728"/>
          </w:tcPr>
          <w:p>
            <w:r>
              <w:rPr>
                <w:sz w:val="18"/>
              </w:rPr>
              <w:t>8</w:t>
            </w:r>
          </w:p>
        </w:tc>
        <w:tc>
          <w:tcPr>
            <w:tcW w:type="dxa" w:w="1728"/>
          </w:tcPr>
          <w:p>
            <w:r>
              <w:rPr>
                <w:sz w:val="18"/>
              </w:rPr>
              <w:t>صيغة الملفات</w:t>
            </w:r>
          </w:p>
        </w:tc>
        <w:tc>
          <w:tcPr>
            <w:tcW w:type="dxa" w:w="1728"/>
          </w:tcPr>
          <w:p>
            <w:r>
              <w:rPr>
                <w:sz w:val="18"/>
              </w:rPr>
              <w:t>HR-L1-024</w:t>
            </w:r>
          </w:p>
        </w:tc>
        <w:tc>
          <w:tcPr>
            <w:tcW w:type="dxa" w:w="1728"/>
          </w:tcPr>
          <w:p>
            <w:r>
              <w:rPr>
                <w:sz w:val="18"/>
              </w:rPr>
              <w:t>PDF</w:t>
            </w:r>
          </w:p>
        </w:tc>
        <w:tc>
          <w:tcPr>
            <w:tcW w:type="dxa" w:w="1728"/>
          </w:tcPr>
          <w:p>
            <w:r>
              <w:rPr>
                <w:sz w:val="18"/>
              </w:rPr>
              <w:t>كلا المظروفين</w:t>
            </w:r>
          </w:p>
        </w:tc>
      </w:tr>
    </w:tbl>
    <w:p/>
    <w:p>
      <w:r>
        <w:t>### 3. مصفوفة الامتثال النظامي — الشهادات والضمانات (DIRECT_RFP_FACT)</w:t>
        <w:br/>
        <w:t xml:space="preserve"> الوثيقة تفرض 10 متطلبات امتثال صريحة (CR-1 إلى CR-10)، جميعها إلزامية بدرجة خطورة حرجة. عدم تقديم أي منها يعني الاستبعاد قبل بدء التقييم الفني:</w:t>
        <w:br/>
        <w:t xml:space="preserve"> **الشهادات النظامية الست — جدول الإجراءات:**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المتطلب</w:t>
            </w:r>
          </w:p>
        </w:tc>
        <w:tc>
          <w:tcPr>
            <w:tcW w:type="dxa" w:w="1728"/>
          </w:tcPr>
          <w:p>
            <w:r>
              <w:rPr>
                <w:b/>
                <w:sz w:val="18"/>
              </w:rPr>
              <w:t>المرجع</w:t>
            </w:r>
          </w:p>
        </w:tc>
        <w:tc>
          <w:tcPr>
            <w:tcW w:type="dxa" w:w="1728"/>
          </w:tcPr>
          <w:p>
            <w:r>
              <w:rPr>
                <w:b/>
                <w:sz w:val="18"/>
              </w:rPr>
              <w:t>المسؤول في SG</w:t>
            </w:r>
          </w:p>
        </w:tc>
        <w:tc>
          <w:tcPr>
            <w:tcW w:type="dxa" w:w="1728"/>
          </w:tcPr>
          <w:p>
            <w:r>
              <w:rPr>
                <w:b/>
                <w:sz w:val="18"/>
              </w:rPr>
              <w:t>الموعد النهائي</w:t>
            </w:r>
          </w:p>
        </w:tc>
        <w:tc>
          <w:tcPr>
            <w:tcW w:type="dxa" w:w="1728"/>
          </w:tcPr>
          <w:p>
            <w:r>
              <w:rPr>
                <w:b/>
                <w:sz w:val="18"/>
              </w:rPr>
              <w:t>الملف</w:t>
            </w:r>
          </w:p>
        </w:tc>
      </w:tr>
      <w:tr>
        <w:tc>
          <w:tcPr>
            <w:tcW w:type="dxa" w:w="1728"/>
          </w:tcPr>
          <w:p>
            <w:r>
              <w:rPr>
                <w:sz w:val="18"/>
              </w:rPr>
              <w:t>السجل التجاري ساري (CR-2 / HR-L1-009)</w:t>
            </w:r>
          </w:p>
        </w:tc>
        <w:tc>
          <w:tcPr>
            <w:tcW w:type="dxa" w:w="1728"/>
          </w:tcPr>
          <w:p>
            <w:r>
              <w:rPr>
                <w:sz w:val="18"/>
              </w:rPr>
              <w:t>DIRECT_RFP_FACT</w:t>
            </w:r>
          </w:p>
        </w:tc>
        <w:tc>
          <w:tcPr>
            <w:tcW w:type="dxa" w:w="1728"/>
          </w:tcPr>
          <w:p>
            <w:r>
              <w:rPr>
                <w:sz w:val="18"/>
              </w:rPr>
              <w:t>الإدارة القانونية (Engine 2)</w:t>
            </w:r>
          </w:p>
        </w:tc>
        <w:tc>
          <w:tcPr>
            <w:tcW w:type="dxa" w:w="1728"/>
          </w:tcPr>
          <w:p>
            <w:r>
              <w:rPr>
                <w:sz w:val="18"/>
              </w:rPr>
              <w:t>قبل 2021-11-08</w:t>
            </w:r>
          </w:p>
        </w:tc>
        <w:tc>
          <w:tcPr>
            <w:tcW w:type="dxa" w:w="1728"/>
          </w:tcPr>
          <w:p>
            <w:r>
              <w:rPr>
                <w:sz w:val="18"/>
              </w:rPr>
              <w:t>السجل_التجاري. pdf</w:t>
            </w:r>
          </w:p>
        </w:tc>
      </w:tr>
      <w:tr>
        <w:tc>
          <w:tcPr>
            <w:tcW w:type="dxa" w:w="1728"/>
          </w:tcPr>
          <w:p>
            <w:r>
              <w:rPr>
                <w:sz w:val="18"/>
              </w:rPr>
              <w:t>شهادة الزكاة سارية (CR-3 / HR-L1-010)</w:t>
            </w:r>
          </w:p>
        </w:tc>
        <w:tc>
          <w:tcPr>
            <w:tcW w:type="dxa" w:w="1728"/>
          </w:tcPr>
          <w:p>
            <w:r>
              <w:rPr>
                <w:sz w:val="18"/>
              </w:rPr>
              <w:t>DIRECT_RFP_FACT</w:t>
            </w:r>
          </w:p>
        </w:tc>
        <w:tc>
          <w:tcPr>
            <w:tcW w:type="dxa" w:w="1728"/>
          </w:tcPr>
          <w:p>
            <w:r>
              <w:rPr>
                <w:sz w:val="18"/>
              </w:rPr>
              <w:t>الإدارة المالية (Engine 2)</w:t>
            </w:r>
          </w:p>
        </w:tc>
        <w:tc>
          <w:tcPr>
            <w:tcW w:type="dxa" w:w="1728"/>
          </w:tcPr>
          <w:p>
            <w:r>
              <w:rPr>
                <w:sz w:val="18"/>
              </w:rPr>
              <w:t>قبل 2021-11-08</w:t>
            </w:r>
          </w:p>
        </w:tc>
        <w:tc>
          <w:tcPr>
            <w:tcW w:type="dxa" w:w="1728"/>
          </w:tcPr>
          <w:p>
            <w:r>
              <w:rPr>
                <w:sz w:val="18"/>
              </w:rPr>
              <w:t>شهادة_الزكاة. pdf</w:t>
            </w:r>
          </w:p>
        </w:tc>
      </w:tr>
      <w:tr>
        <w:tc>
          <w:tcPr>
            <w:tcW w:type="dxa" w:w="1728"/>
          </w:tcPr>
          <w:p>
            <w:r>
              <w:rPr>
                <w:sz w:val="18"/>
              </w:rPr>
              <w:t>شهادة الضريبة سارية (CR-4 / HR-L1-011)</w:t>
            </w:r>
          </w:p>
        </w:tc>
        <w:tc>
          <w:tcPr>
            <w:tcW w:type="dxa" w:w="1728"/>
          </w:tcPr>
          <w:p>
            <w:r>
              <w:rPr>
                <w:sz w:val="18"/>
              </w:rPr>
              <w:t>DIRECT_RFP_FACT</w:t>
            </w:r>
          </w:p>
        </w:tc>
        <w:tc>
          <w:tcPr>
            <w:tcW w:type="dxa" w:w="1728"/>
          </w:tcPr>
          <w:p>
            <w:r>
              <w:rPr>
                <w:sz w:val="18"/>
              </w:rPr>
              <w:t>الإدارة المالية (Engine 2)</w:t>
            </w:r>
          </w:p>
        </w:tc>
        <w:tc>
          <w:tcPr>
            <w:tcW w:type="dxa" w:w="1728"/>
          </w:tcPr>
          <w:p>
            <w:r>
              <w:rPr>
                <w:sz w:val="18"/>
              </w:rPr>
              <w:t>قبل 2021-11-08</w:t>
            </w:r>
          </w:p>
        </w:tc>
        <w:tc>
          <w:tcPr>
            <w:tcW w:type="dxa" w:w="1728"/>
          </w:tcPr>
          <w:p>
            <w:r>
              <w:rPr>
                <w:sz w:val="18"/>
              </w:rPr>
              <w:t>شهادة_الضريبة. pdf</w:t>
            </w:r>
          </w:p>
        </w:tc>
      </w:tr>
      <w:tr>
        <w:tc>
          <w:tcPr>
            <w:tcW w:type="dxa" w:w="1728"/>
          </w:tcPr>
          <w:p>
            <w:r>
              <w:rPr>
                <w:sz w:val="18"/>
              </w:rPr>
              <w:t>شهادة التأمينات الاجتماعية سارية (CR-5 / HR-L1-012)</w:t>
            </w:r>
          </w:p>
        </w:tc>
        <w:tc>
          <w:tcPr>
            <w:tcW w:type="dxa" w:w="1728"/>
          </w:tcPr>
          <w:p>
            <w:r>
              <w:rPr>
                <w:sz w:val="18"/>
              </w:rPr>
              <w:t>DIRECT_RFP_FACT</w:t>
            </w:r>
          </w:p>
        </w:tc>
        <w:tc>
          <w:tcPr>
            <w:tcW w:type="dxa" w:w="1728"/>
          </w:tcPr>
          <w:p>
            <w:r>
              <w:rPr>
                <w:sz w:val="18"/>
              </w:rPr>
              <w:t>إدارة الموارد البشرية (Engine 2)</w:t>
            </w:r>
          </w:p>
        </w:tc>
        <w:tc>
          <w:tcPr>
            <w:tcW w:type="dxa" w:w="1728"/>
          </w:tcPr>
          <w:p>
            <w:r>
              <w:rPr>
                <w:sz w:val="18"/>
              </w:rPr>
              <w:t>قبل 2021-11-08</w:t>
            </w:r>
          </w:p>
        </w:tc>
        <w:tc>
          <w:tcPr>
            <w:tcW w:type="dxa" w:w="1728"/>
          </w:tcPr>
          <w:p>
            <w:r>
              <w:rPr>
                <w:sz w:val="18"/>
              </w:rPr>
              <w:t>شهادة_التأمينات. pdf</w:t>
            </w:r>
          </w:p>
        </w:tc>
      </w:tr>
      <w:tr>
        <w:tc>
          <w:tcPr>
            <w:tcW w:type="dxa" w:w="1728"/>
          </w:tcPr>
          <w:p>
            <w:r>
              <w:rPr>
                <w:sz w:val="18"/>
              </w:rPr>
              <w:t>شهادة الغرفة التجارية سارية (CR-6 / HR-L1-013)</w:t>
            </w:r>
          </w:p>
        </w:tc>
        <w:tc>
          <w:tcPr>
            <w:tcW w:type="dxa" w:w="1728"/>
          </w:tcPr>
          <w:p>
            <w:r>
              <w:rPr>
                <w:sz w:val="18"/>
              </w:rPr>
              <w:t>DIRECT_RFP_FACT</w:t>
            </w:r>
          </w:p>
        </w:tc>
        <w:tc>
          <w:tcPr>
            <w:tcW w:type="dxa" w:w="1728"/>
          </w:tcPr>
          <w:p>
            <w:r>
              <w:rPr>
                <w:sz w:val="18"/>
              </w:rPr>
              <w:t>الإدارة القانونية (Engine 2)</w:t>
            </w:r>
          </w:p>
        </w:tc>
        <w:tc>
          <w:tcPr>
            <w:tcW w:type="dxa" w:w="1728"/>
          </w:tcPr>
          <w:p>
            <w:r>
              <w:rPr>
                <w:sz w:val="18"/>
              </w:rPr>
              <w:t>قبل 2021-11-08</w:t>
            </w:r>
          </w:p>
        </w:tc>
        <w:tc>
          <w:tcPr>
            <w:tcW w:type="dxa" w:w="1728"/>
          </w:tcPr>
          <w:p>
            <w:r>
              <w:rPr>
                <w:sz w:val="18"/>
              </w:rPr>
              <w:t>شهادة_الغرفة. pdf</w:t>
            </w:r>
          </w:p>
        </w:tc>
      </w:tr>
      <w:tr>
        <w:tc>
          <w:tcPr>
            <w:tcW w:type="dxa" w:w="1728"/>
          </w:tcPr>
          <w:p>
            <w:r>
              <w:rPr>
                <w:sz w:val="18"/>
              </w:rPr>
              <w:t>شهادة السعودة سارية (CR-7 / HR-L1-014)</w:t>
            </w:r>
          </w:p>
        </w:tc>
        <w:tc>
          <w:tcPr>
            <w:tcW w:type="dxa" w:w="1728"/>
          </w:tcPr>
          <w:p>
            <w:r>
              <w:rPr>
                <w:sz w:val="18"/>
              </w:rPr>
              <w:t>DIRECT_RFP_FACT</w:t>
            </w:r>
          </w:p>
        </w:tc>
        <w:tc>
          <w:tcPr>
            <w:tcW w:type="dxa" w:w="1728"/>
          </w:tcPr>
          <w:p>
            <w:r>
              <w:rPr>
                <w:sz w:val="18"/>
              </w:rPr>
              <w:t>إدارة الموارد البشرية (Engine 2)</w:t>
            </w:r>
          </w:p>
        </w:tc>
        <w:tc>
          <w:tcPr>
            <w:tcW w:type="dxa" w:w="1728"/>
          </w:tcPr>
          <w:p>
            <w:r>
              <w:rPr>
                <w:sz w:val="18"/>
              </w:rPr>
              <w:t>قبل 2021-11-08</w:t>
            </w:r>
          </w:p>
        </w:tc>
        <w:tc>
          <w:tcPr>
            <w:tcW w:type="dxa" w:w="1728"/>
          </w:tcPr>
          <w:p>
            <w:r>
              <w:rPr>
                <w:sz w:val="18"/>
              </w:rPr>
              <w:t>شهادة_السعودة. pdf</w:t>
            </w:r>
          </w:p>
        </w:tc>
      </w:tr>
    </w:tbl>
    <w:p/>
    <w:p>
      <w:r>
        <w:t>**الضمانات المالية:**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المتطلب</w:t>
            </w:r>
          </w:p>
        </w:tc>
        <w:tc>
          <w:tcPr>
            <w:tcW w:type="dxa" w:w="2160"/>
          </w:tcPr>
          <w:p>
            <w:r>
              <w:rPr>
                <w:b/>
                <w:sz w:val="18"/>
              </w:rPr>
              <w:t>المرجع</w:t>
            </w:r>
          </w:p>
        </w:tc>
        <w:tc>
          <w:tcPr>
            <w:tcW w:type="dxa" w:w="2160"/>
          </w:tcPr>
          <w:p>
            <w:r>
              <w:rPr>
                <w:b/>
                <w:sz w:val="18"/>
              </w:rPr>
              <w:t>المسؤول</w:t>
            </w:r>
          </w:p>
        </w:tc>
        <w:tc>
          <w:tcPr>
            <w:tcW w:type="dxa" w:w="2160"/>
          </w:tcPr>
          <w:p>
            <w:r>
              <w:rPr>
                <w:b/>
                <w:sz w:val="18"/>
              </w:rPr>
              <w:t>الموعد</w:t>
            </w:r>
          </w:p>
        </w:tc>
      </w:tr>
      <w:tr>
        <w:tc>
          <w:tcPr>
            <w:tcW w:type="dxa" w:w="2160"/>
          </w:tcPr>
          <w:p>
            <w:r>
              <w:rPr>
                <w:sz w:val="18"/>
              </w:rPr>
              <w:t>ضمان ابتدائي 1% (CR-8 / HR-L1-015)</w:t>
            </w:r>
          </w:p>
        </w:tc>
        <w:tc>
          <w:tcPr>
            <w:tcW w:type="dxa" w:w="2160"/>
          </w:tcPr>
          <w:p>
            <w:r>
              <w:rPr>
                <w:sz w:val="18"/>
              </w:rPr>
              <w:t>DIRECT_RFP_FACT</w:t>
            </w:r>
          </w:p>
        </w:tc>
        <w:tc>
          <w:tcPr>
            <w:tcW w:type="dxa" w:w="2160"/>
          </w:tcPr>
          <w:p>
            <w:r>
              <w:rPr>
                <w:sz w:val="18"/>
              </w:rPr>
              <w:t>الإدارة المالية + البنك (Engine 2)</w:t>
            </w:r>
          </w:p>
        </w:tc>
        <w:tc>
          <w:tcPr>
            <w:tcW w:type="dxa" w:w="2160"/>
          </w:tcPr>
          <w:p>
            <w:r>
              <w:rPr>
                <w:sz w:val="18"/>
              </w:rPr>
              <w:t>قبل 2021-11-09</w:t>
            </w:r>
          </w:p>
        </w:tc>
      </w:tr>
      <w:tr>
        <w:tc>
          <w:tcPr>
            <w:tcW w:type="dxa" w:w="2160"/>
          </w:tcPr>
          <w:p>
            <w:r>
              <w:rPr>
                <w:sz w:val="18"/>
              </w:rPr>
              <w:t>ضمان نهائي 5% (CR-9 / HR-L1-016)</w:t>
            </w:r>
          </w:p>
        </w:tc>
        <w:tc>
          <w:tcPr>
            <w:tcW w:type="dxa" w:w="2160"/>
          </w:tcPr>
          <w:p>
            <w:r>
              <w:rPr>
                <w:sz w:val="18"/>
              </w:rPr>
              <w:t>DIRECT_RFP_FACT</w:t>
            </w:r>
          </w:p>
        </w:tc>
        <w:tc>
          <w:tcPr>
            <w:tcW w:type="dxa" w:w="2160"/>
          </w:tcPr>
          <w:p>
            <w:r>
              <w:rPr>
                <w:sz w:val="18"/>
              </w:rPr>
              <w:t>الإدارة المالية + البنك (Engine 2)</w:t>
            </w:r>
          </w:p>
        </w:tc>
        <w:tc>
          <w:tcPr>
            <w:tcW w:type="dxa" w:w="2160"/>
          </w:tcPr>
          <w:p>
            <w:r>
              <w:rPr>
                <w:sz w:val="18"/>
              </w:rPr>
              <w:t>خلال 15 يوم عمل من الترسية</w:t>
            </w:r>
          </w:p>
        </w:tc>
      </w:tr>
    </w:tbl>
    <w:p/>
    <w:p>
      <w:r>
        <w:t>### 4. قيود الفريق والتأهيل (DIRECT_RFP_FACT + فجوة حرجة)</w:t>
        <w:br/>
        <w:t xml:space="preserve"> الوثيقة تشترط تأمين فريق عمل وفق جدول مواصفات فريق العمل المرفق في الملحق 2 (HR-L1-018). **فجوة حرجة مزدوجة**: (1) صفوف الجدول التفصيلية غير ظاهرة في النص المستخرج، (2) بيانات فريق SG غير متوفرة في knowledge_graph (reference_index = null). **إجراء عاجل**: الحصول على الملحق 2 الأصلي من منصة اعتماد (المسؤول: فريق المشتريات — الموعد: فوراً).</w:t>
      </w:r>
    </w:p>
    <w:p>
      <w:pPr>
        <w:pStyle w:val="Heading2"/>
      </w:pPr>
      <w:r>
        <w:t>1.3 Unstated Evaluator Priorities</w:t>
      </w:r>
    </w:p>
    <w:p>
      <w:r>
        <w:t>## أولويات المُقيّم غير المصرح بها (النسخة المنقحة)</w:t>
        <w:br/>
        <w:t xml:space="preserve"> **تصنيف**: جميع البنود أدناه INFERENCE ما لم يُذكر خلاف ذلك. لا تُستخدم كأساس لبناء نموذج تقييم مرجّح — آلية الترسية هي pass/fail ثم أقل سعر (HR-L1-001). ### 1. نقاط التحقق الثنائية في مراجعة pass/fail</w:t>
        <w:br/>
        <w:t xml:space="preserve"> في آلية pass/fail، المُقيّم يتحقق من استيفاء الحد الأدنى لكل متطلب — لا ترتيب ولا تصنيف بين العروض المجتازة. بناءً على هيكل نطاق العمل والمخرجات (INFERENCE — confidence: high):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نقطة التحقق</w:t>
            </w:r>
          </w:p>
        </w:tc>
        <w:tc>
          <w:tcPr>
            <w:tcW w:type="dxa" w:w="2160"/>
          </w:tcPr>
          <w:p>
            <w:r>
              <w:rPr>
                <w:b/>
                <w:sz w:val="18"/>
              </w:rPr>
              <w:t>الأساس</w:t>
            </w:r>
          </w:p>
        </w:tc>
        <w:tc>
          <w:tcPr>
            <w:tcW w:type="dxa" w:w="2160"/>
          </w:tcPr>
          <w:p>
            <w:r>
              <w:rPr>
                <w:b/>
                <w:sz w:val="18"/>
              </w:rPr>
              <w:t>الثقة</w:t>
            </w:r>
          </w:p>
        </w:tc>
        <w:tc>
          <w:tcPr>
            <w:tcW w:type="dxa" w:w="2160"/>
          </w:tcPr>
          <w:p>
            <w:r>
              <w:rPr>
                <w:b/>
                <w:sz w:val="18"/>
              </w:rPr>
              <w:t>عواقب عدم الاستيفاء</w:t>
            </w:r>
          </w:p>
        </w:tc>
      </w:tr>
      <w:tr>
        <w:tc>
          <w:tcPr>
            <w:tcW w:type="dxa" w:w="2160"/>
          </w:tcPr>
          <w:p>
            <w:r>
              <w:rPr>
                <w:sz w:val="18"/>
              </w:rPr>
              <w:t>تغطية جميع المخرجات الـ 23 بمنهجية واضحة</w:t>
            </w:r>
          </w:p>
        </w:tc>
        <w:tc>
          <w:tcPr>
            <w:tcW w:type="dxa" w:w="2160"/>
          </w:tcPr>
          <w:p>
            <w:r>
              <w:rPr>
                <w:sz w:val="18"/>
              </w:rPr>
              <w:t>23 مخرجاً mandatory=true</w:t>
            </w:r>
          </w:p>
        </w:tc>
        <w:tc>
          <w:tcPr>
            <w:tcW w:type="dxa" w:w="2160"/>
          </w:tcPr>
          <w:p>
            <w:r>
              <w:rPr>
                <w:sz w:val="18"/>
              </w:rPr>
              <w:t>high</w:t>
            </w:r>
          </w:p>
        </w:tc>
        <w:tc>
          <w:tcPr>
            <w:tcW w:type="dxa" w:w="2160"/>
          </w:tcPr>
          <w:p>
            <w:r>
              <w:rPr>
                <w:sz w:val="18"/>
              </w:rPr>
              <w:t>رسوب فني</w:t>
            </w:r>
          </w:p>
        </w:tc>
      </w:tr>
      <w:tr>
        <w:tc>
          <w:tcPr>
            <w:tcW w:type="dxa" w:w="2160"/>
          </w:tcPr>
          <w:p>
            <w:r>
              <w:rPr>
                <w:sz w:val="18"/>
              </w:rPr>
              <w:t>استيفاء الفريق لمواصفات الملحق 2</w:t>
            </w:r>
          </w:p>
        </w:tc>
        <w:tc>
          <w:tcPr>
            <w:tcW w:type="dxa" w:w="2160"/>
          </w:tcPr>
          <w:p>
            <w:r>
              <w:rPr>
                <w:sz w:val="18"/>
              </w:rPr>
              <w:t>HR-L1-018 صريح</w:t>
            </w:r>
          </w:p>
        </w:tc>
        <w:tc>
          <w:tcPr>
            <w:tcW w:type="dxa" w:w="2160"/>
          </w:tcPr>
          <w:p>
            <w:r>
              <w:rPr>
                <w:sz w:val="18"/>
              </w:rPr>
              <w:t>high</w:t>
            </w:r>
          </w:p>
        </w:tc>
        <w:tc>
          <w:tcPr>
            <w:tcW w:type="dxa" w:w="2160"/>
          </w:tcPr>
          <w:p>
            <w:r>
              <w:rPr>
                <w:sz w:val="18"/>
              </w:rPr>
              <w:t>رسوب فني</w:t>
            </w:r>
          </w:p>
        </w:tc>
      </w:tr>
      <w:tr>
        <w:tc>
          <w:tcPr>
            <w:tcW w:type="dxa" w:w="2160"/>
          </w:tcPr>
          <w:p>
            <w:r>
              <w:rPr>
                <w:sz w:val="18"/>
              </w:rPr>
              <w:t>تغطية 5 قطاعات كحد أدنى</w:t>
            </w:r>
          </w:p>
        </w:tc>
        <w:tc>
          <w:tcPr>
            <w:tcW w:type="dxa" w:w="2160"/>
          </w:tcPr>
          <w:p>
            <w:r>
              <w:rPr>
                <w:sz w:val="18"/>
              </w:rPr>
              <w:t>SI-2 صريح</w:t>
            </w:r>
          </w:p>
        </w:tc>
        <w:tc>
          <w:tcPr>
            <w:tcW w:type="dxa" w:w="2160"/>
          </w:tcPr>
          <w:p>
            <w:r>
              <w:rPr>
                <w:sz w:val="18"/>
              </w:rPr>
              <w:t>high</w:t>
            </w:r>
          </w:p>
        </w:tc>
        <w:tc>
          <w:tcPr>
            <w:tcW w:type="dxa" w:w="2160"/>
          </w:tcPr>
          <w:p>
            <w:r>
              <w:rPr>
                <w:sz w:val="18"/>
              </w:rPr>
              <w:t>عدم امتثال</w:t>
            </w:r>
          </w:p>
        </w:tc>
      </w:tr>
      <w:tr>
        <w:tc>
          <w:tcPr>
            <w:tcW w:type="dxa" w:w="2160"/>
          </w:tcPr>
          <w:p>
            <w:r>
              <w:rPr>
                <w:sz w:val="18"/>
              </w:rPr>
              <w:t>مقارنات معيارية لـ 5 دول كحد أدنى</w:t>
            </w:r>
          </w:p>
        </w:tc>
        <w:tc>
          <w:tcPr>
            <w:tcW w:type="dxa" w:w="2160"/>
          </w:tcPr>
          <w:p>
            <w:r>
              <w:rPr>
                <w:sz w:val="18"/>
              </w:rPr>
              <w:t>SI-3 صريح</w:t>
            </w:r>
          </w:p>
        </w:tc>
        <w:tc>
          <w:tcPr>
            <w:tcW w:type="dxa" w:w="2160"/>
          </w:tcPr>
          <w:p>
            <w:r>
              <w:rPr>
                <w:sz w:val="18"/>
              </w:rPr>
              <w:t>high</w:t>
            </w:r>
          </w:p>
        </w:tc>
        <w:tc>
          <w:tcPr>
            <w:tcW w:type="dxa" w:w="2160"/>
          </w:tcPr>
          <w:p>
            <w:r>
              <w:rPr>
                <w:sz w:val="18"/>
              </w:rPr>
              <w:t>عدم امتثال</w:t>
            </w:r>
          </w:p>
        </w:tc>
      </w:tr>
      <w:tr>
        <w:tc>
          <w:tcPr>
            <w:tcW w:type="dxa" w:w="2160"/>
          </w:tcPr>
          <w:p>
            <w:r>
              <w:rPr>
                <w:sz w:val="18"/>
              </w:rPr>
              <w:t>خطة تدريب عبر جميع المراحل</w:t>
            </w:r>
          </w:p>
        </w:tc>
        <w:tc>
          <w:tcPr>
            <w:tcW w:type="dxa" w:w="2160"/>
          </w:tcPr>
          <w:p>
            <w:r>
              <w:rPr>
                <w:sz w:val="18"/>
              </w:rPr>
              <w:t>SI-8 صريح</w:t>
            </w:r>
          </w:p>
        </w:tc>
        <w:tc>
          <w:tcPr>
            <w:tcW w:type="dxa" w:w="2160"/>
          </w:tcPr>
          <w:p>
            <w:r>
              <w:rPr>
                <w:sz w:val="18"/>
              </w:rPr>
              <w:t>high</w:t>
            </w:r>
          </w:p>
        </w:tc>
        <w:tc>
          <w:tcPr>
            <w:tcW w:type="dxa" w:w="2160"/>
          </w:tcPr>
          <w:p>
            <w:r>
              <w:rPr>
                <w:sz w:val="18"/>
              </w:rPr>
              <w:t>عدم امتثال</w:t>
            </w:r>
          </w:p>
        </w:tc>
      </w:tr>
      <w:tr>
        <w:tc>
          <w:tcPr>
            <w:tcW w:type="dxa" w:w="2160"/>
          </w:tcPr>
          <w:p>
            <w:r>
              <w:rPr>
                <w:sz w:val="18"/>
              </w:rPr>
              <w:t>الشهادات النظامية الست + الضمان</w:t>
            </w:r>
          </w:p>
        </w:tc>
        <w:tc>
          <w:tcPr>
            <w:tcW w:type="dxa" w:w="2160"/>
          </w:tcPr>
          <w:p>
            <w:r>
              <w:rPr>
                <w:sz w:val="18"/>
              </w:rPr>
              <w:t>CR-2 إلى CR-8</w:t>
            </w:r>
          </w:p>
        </w:tc>
        <w:tc>
          <w:tcPr>
            <w:tcW w:type="dxa" w:w="2160"/>
          </w:tcPr>
          <w:p>
            <w:r>
              <w:rPr>
                <w:sz w:val="18"/>
              </w:rPr>
              <w:t>high</w:t>
            </w:r>
          </w:p>
        </w:tc>
        <w:tc>
          <w:tcPr>
            <w:tcW w:type="dxa" w:w="2160"/>
          </w:tcPr>
          <w:p>
            <w:r>
              <w:rPr>
                <w:sz w:val="18"/>
              </w:rPr>
              <w:t>استبعاد قبل التقييم</w:t>
            </w:r>
          </w:p>
        </w:tc>
      </w:tr>
      <w:tr>
        <w:tc>
          <w:tcPr>
            <w:tcW w:type="dxa" w:w="2160"/>
          </w:tcPr>
          <w:p>
            <w:r>
              <w:rPr>
                <w:sz w:val="18"/>
              </w:rPr>
              <w:t>خطة عمل واقعية ضمن 12 شهراً</w:t>
            </w:r>
          </w:p>
        </w:tc>
        <w:tc>
          <w:tcPr>
            <w:tcW w:type="dxa" w:w="2160"/>
          </w:tcPr>
          <w:p>
            <w:r>
              <w:rPr>
                <w:sz w:val="18"/>
              </w:rPr>
              <w:t>HR-L1-002</w:t>
            </w:r>
          </w:p>
        </w:tc>
        <w:tc>
          <w:tcPr>
            <w:tcW w:type="dxa" w:w="2160"/>
          </w:tcPr>
          <w:p>
            <w:r>
              <w:rPr>
                <w:sz w:val="18"/>
              </w:rPr>
              <w:t>high</w:t>
            </w:r>
          </w:p>
        </w:tc>
        <w:tc>
          <w:tcPr>
            <w:tcW w:type="dxa" w:w="2160"/>
          </w:tcPr>
          <w:p>
            <w:r>
              <w:rPr>
                <w:sz w:val="18"/>
              </w:rPr>
              <w:t>رسوب فني</w:t>
            </w:r>
          </w:p>
        </w:tc>
      </w:tr>
    </w:tbl>
    <w:p/>
    <w:p>
      <w:r>
        <w:t>### 2. الفهم العميق لمنظومة القطاع غير الربحي السعودي</w:t>
        <w:br/>
        <w:t xml:space="preserve"> المُقيّمون سيبحثون عن دليل على أن المتقدم يفهم الفرق بين أشكال العمل غير الربحي المذكورة صراحة في SI-4 (جمع التبرعات، التطوع، الوقف، الاستضافة) وأنه قادر على تصميم منتجات تتجاوز هذه الأشكال التقليدية (INFERENCE — confidence: high — مبني على أن SI-5 يطلب صراحة "منتجات وخدمات نوعية مبتكرة"). كما سيبحثون عن فهم للإطار التنظيمي: نظام الجمعيات والمؤسسات الأهلية، نظام جمع التبرعات، نظام الأوقاف (INFERENCE — confidence: medium — مبني على طبيعة الجهة المصدرة). [evidence_gap: لا تتوفر أدلة داخلية على خبرة SG في القطاع غير الربحي السعودي — Engine 2 مطلوب]</w:t>
        <w:br/>
        <w:t xml:space="preserve"> ### 3. المصداقية المؤسسية وقابلية التنفيذ</w:t>
        <w:br/>
        <w:t xml:space="preserve"> المركز يعمل ضمن منظومة رؤية 2030. أي دراسة يتبناها قد تُعرض على صناع قرار رفيعي المستوى. بناءً على هذا الموقع المؤسسي (INFERENCE — confidence: medium): (أ) مصداقية المنهجية أمام أصحاب المصلحة الخارجيين — لذلك يطلب D-7 (ممارسات دولية) وD-14 (ملخصات تنفيذية لكل مرحلة — DIRECT_RFP_FACT)، (ب) واقعية التوصيات — لذلك يطلب D-21 (بطاقات تشغيلية) وD-19 (خطة تنفيذية — DIRECT_RFP_FACT)، (ج) نقل المعرفة — لذلك يشترط SI-8 (التدريب عبر جميع المراحل — DIRECT_RFP_FACT). المركز يريد أن يكون قادراً على تقديم نتائج كل مرحلة لأصحاب المصلحة الخارجيين بشكل مستقل، وأن يبني قدرة مؤسسية لتحديث الدراسة ذاتياً مستقبلاً. ### 4. الأثر الاستراتيجي لآلية pass/fail على تصميم العرض</w:t>
        <w:br/>
        <w:t xml:space="preserve"> (يُعالج هنا بشكل مركزي — لا يُكرر في أقسام أخرى)</w:t>
        <w:br/>
        <w:t xml:space="preserve"> DIRECT_RFP_FACT: آلية الترسية هي اجتياز فني ثم أقل سعر (HR-L1-001). النتائج المباشرة لهذه الآلية على سلوك المُقيّم وتصميم العرض (INFERENCE — confidence: high — نتيجة منطقية مباشرة):</w:t>
        <w:br/>
        <w:t xml:space="preserve"> (أ) المُقيّم الفني يعلم أن دوره بوابة عبور وليس تصنيفاً تنافسياً. (ب) لا توجد مكافأة للتفوق الفني فوق عتبة القبول. (ج) أي غموض في المنهجية أو نقص في تغطية المخرجات قد يُفسر ضد المتقدم. (د) الاستراتيجية المثلى: تصميم العرض الفني لتحقيق اجتياز واضح عبر جميع المتطلبات الإلزامية، مع تحسين هيكل التكلفة لتقديم سعر تنافسي — باستخدام فريق هرمي (خبراء في المراحل الحرجة + محللون في مهام الحصر وجمع البيانات).</w:t>
      </w:r>
    </w:p>
    <w:p>
      <w:pPr>
        <w:pStyle w:val="Heading2"/>
      </w:pPr>
      <w:r>
        <w:t>1.4 Probable Scoring Logic</w:t>
      </w:r>
    </w:p>
    <w:p>
      <w:r>
        <w:t>## منطق التقييم — نموذج القبول الفني الثنائي (النسخة المنقحة — خالية من أي إشارة لتقييم مرجّح)</w:t>
        <w:br/>
        <w:t xml:space="preserve"> **إقرار صريح**: لا يُفترض في هذا القسم أو في أي قسم آخر من دفتر مصادر العرض أي نظام تقييم مرجّح أو أوزان نسبية أو نقاط مركبة أو ترتيب بين العروض المجتازة فنياً. آلية الترسية هي اجتياز فني ثنائي (ناجح/راسب) ثم أقل سعر بين المجتازين فنياً (HR-L1-001 — DIRECT_RFP_FACT). لا يُستخدم أي مصطلح من قبيل: مرجّح، أوزان، نقاط، weighted، 70/30، combined score، أو ما شابهها. ### 1. آلية الترسية الصريحة (DIRECT_RFP_FACT — HR-L1-001)</w:t>
        <w:br/>
        <w:t xml:space="preserve"> **المرحلة الأولى — بوابة القبول الفني (Pass/Fail):** تُفتح المظاريف الفنية أولاً وتُقيّم. العروض التي تجتاز الحد الأدنى تنتقل للمرحلة التالية. العروض التي لا تجتاز تُستبعد نهائياً. جميع العروض المجتازة متساوية من حيث الأهلية. **المرحلة الثانية — أقل سعر (Lowest Price):** تُفتح المظاريف المالية فقط للعروض المجتازة فنياً. تُرسى المنافسة على صاحب أقل سعر إجمالي. السعر هو المحدد الوحيد للفوز بين المجتازين. ### 2. عتبة النجاح الفني — فجوة معلوماتية</w:t>
        <w:br/>
        <w:t xml:space="preserve"> عتبة النجاح الفني غير محددة صراحة في النص المستخرج (evaluation_criteria. technical_passing_threshold = null — فجوة مؤكدة). **الإجراء**: طرح استفسار رسمي عبر منصة اعتماد قبل 2021-11-03 (المسؤول: فريق المشتريات). **مسار القرار**: تصميم العرض لتحقيق اجتياز شامل عبر جميع المتطلبات الإلزامية بصرف النظر عن العتبة الفعلية. ### 3. فرضيات التقييم (Evaluation Hypotheses)</w:t>
        <w:br/>
        <w:t xml:space="preserve"> تُعرض في حقل evaluation_hypotheses المنفصل أدناه. كل فرضية مصنفة DIRECT_RFP_FACT أو INFERENCE مع الأساس ودرجة الثقة. لا تتضمن أي وزن نسبي أو نقاط — فقط تحقق ثنائي (مستوفى / غير مستوفى).</w:t>
      </w:r>
    </w:p>
    <w:p>
      <w:pPr>
        <w:pStyle w:val="Heading1"/>
      </w:pPr>
      <w:r>
        <w:t>2. Client Problem Framing</w:t>
      </w:r>
    </w:p>
    <w:p>
      <w:pPr>
        <w:pStyle w:val="Heading2"/>
      </w:pPr>
      <w:r>
        <w:t>2.1 Current-State Challenge</w:t>
      </w:r>
    </w:p>
    <w:p>
      <w:r>
        <w:t>يواجه القطاع غير الربحي في المملكة العربية السعودية فجوة هيكلية بين الطموح الاستراتيجي المرسوم له ضمن رؤية المملكة 2030 وبين واقعه التشغيلي الحالي. كما ورد صراحةً في نطاق عمل المنافسة (SI-4)، تنحصر الأشكال السائدة للخدمات حالياً في جمع التبرعات والتطوع والوقف والاستضافة [DIRECT_RFP_FACT]. هذه الأنماط الأربعة — على أهميتها — لا تكفي وحدها لتحقيق التحول نحو قطاع ثالث فاعل ومتنوع يخدم مختلف شرائح المجتمع عبر قطاعات اقتصادية متعددة. المركز الوطني لتنمية القطاع غير الربحي يفتقر حالياً إلى خارطة شاملة ومحدّثة للمنتجات والخدمات النوعية القائمة والممكنة، مما يُضعف قدرته على توجيه القطاع وتحفيز الابتكار فيه وقياس أثره التنموي. حجم المخرجات المطلوبة في المنافسة — 23 مخرجاً إلزامياً (D-1 إلى D-23) عبر 5 مراحل خلال 12 شهراً [DIRECT_RFP_FACT: HR-L1-002] — يعكس بذاته عمق الفجوة المعرفية والمؤسسية التي يسعى المركز لسدّها. تتجذر هذه الإشكالية في ستة أسباب جذرية مترابطة، يرتبط كل منها مباشرةً بمخرجات محددة تطلبها المنافسة. لكل سبب جذري عَرَض ملاحظ ومؤشر قابل للقياس سيتم التحقق منه خلال مراحل المشروع:</w:t>
        <w:br/>
        <w:t xml:space="preserve"> ═══ مصفوفة الأسباب الجذرية ═══</w:t>
        <w:br/>
        <w:t xml:space="preserve"> السبب الجذري الأول — غياب إطار تصنيفي موحد للمنتجات والخدمات غير الربحية يربط بين الأنشطة الاقتصادية والقطاعات ذات الأولوية. • العَرَض: عدم وجود قاعدة بيانات مركزية تصنّف المنتجات والخدمات القائمة وفق معايير موحدة. • المؤشر القابل للقياس: نسبة المنظمات غير الربحية المصنّفة وفق إطار تصنيفي معتمد مقارنة بإجمالي المنظمات المسجلة — يُقاس في D-6 وD-9. • حالة الدليل: مؤكد من هيكل المنافسة — اشتراط حصر شامل عبر 5 قطاعات على الأقل مع دراسة التصنيفات والمعايير المعتمدة (SI-2، SI-3 → D-6، D-9، D-10) [DIRECT_RFP_FACT]. • مقارنة معيارية داعمة: أنظمة التصنيف المعيارية مثل ICNPO وربطها بأنظمة التصنيف الاقتصادي مثل ISIC/NAICS تُعدّ شرطاً أساسياً للتخطيط القائم على الأدلة في القطاع الثالث [EXT-003 — مقارنة معيارية داعمة للمنهجية فقط، وليست إثباتاً للوضع السعودي؛ قابلية النقل للسياق المحلي تتطلب تكييفاً يراعي التصنيفات المعتمدة لدى المركز]. • المخرجات المعالِجة: D-6، D-9، D-10. السبب الجذري الثاني — ضعف الربط المنهجي بين الاحتياجات التنموية الفعلية للمجتمع السعودي وبين ما يقدمه القطاع غير الربحي من خدمات. • العَرَض: تركّز الخدمات في أنماط تقليدية بصرف النظر عن الاحتياجات التنموية المتغيرة لكل منطقة وقطاع. • المؤشر القابل للقياس: درجة التطابق بين خارطة الاحتياجات التنموية وخارطة الخدمات المقدمة فعلياً — يُقاس في D-16 وD-17. • حالة الدليل: مؤكد من نطاق العمل — المنافسة تشترط صراحةً تحليل الاحتياجات التنموية وربطها بالمنتجات والخدمات المبتكرة المقترحة (SI-5 → D-16، D-17) [DIRECT_RFP_FACT]. • مقارنة معيارية داعمة: منهجية تقييم الاحتياجات المجتمعية (Community Needs Assessment) تؤكد أن الفجوة بين الاحتياجات الفعلية والخدمات المقدمة تنشأ عادةً من غياب آليات منهجية لرصد الاحتياجات وترجمتها إلى تصميم خدمات [EXT-006 — مقارنة معيارية داعمة للمنهجية المقترحة؛ النتائج الكمية المذكورة في المصدر خاصة بسياقه الأصلي ولا تُسقط على الوضع السعودي]. • المخرجات المعالِجة: D-15، D-16، D-17. السبب الجذري الثالث — محدودية المقارنة المعيارية الدولية المنظمة. • العَرَض: غياب دراسة مرجعية مقارنة تحدد الفجوات بين المنتجات والخدمات المحلية والممارسات الدولية الرائدة. • المؤشر القابل للقياس: عدد الدول المدروسة مقارنةً بالحد الأدنى المطلوب (5 دول) ومدى تغطية القطاعات ذات الأولوية في كل دولة — يُقاس في D-7 وD-12. • حالة الدليل: مؤكد صراحةً — المنافسة تشترط دراسة الممارسات العالمية الرائدة في ما لا يقل عن 5 دول (SI-3 → D-7، D-12) [DIRECT_RFP_FACT]. • المخرجات المعالِجة: D-7، D-12. السبب الجذري الرابع — غياب منهجية مؤسسية لقياس الأثر والاستدامة. • العَرَض: صعوبة تقييم فعالية المنتجات والخدمات القائمة أو تبرير الاستثمار في منتجات جديدة بسبب عدم وجود مؤشرات أداء واضحة. • المؤشر القابل للقياس: عدد المؤشرات المعتمدة حالياً لقياس أثر القطاع مقارنة بقائمة المؤشرات المطلوبة — يُقاس في D-22 وD-23. • حالة الدليل: مؤكد من هيكل المنافسة — تخصيص مرحلة كاملة (المرحلة 5) ومخرجات مستقلة لهذا الغرض (SI-7 → D-22، D-23) [DIRECT_RFP_FACT]. • المخرجات المعالِجة: D-22، D-23. السبب الجذري الخامس — ضعف آليات التحفيز والتفعيل. • العَرَض: وجود فجوة بين التوصيات والتطبيق بسبب غياب أدوات تنفيذية وحزم تحفيزية. • المؤشر القابل للقياس: نسبة التوصيات المنفّذة من دراسات سابقة ذات صلة — يُقاس عبر تحليل الوضع الراهن في D-9 وD-10. • حالة الدليل: مستنتج من هيكل المنافسة — اشتراط إعداد خطة تنفيذية وحزمة تحفيزية وبطاقات تشغيلية لكل منتج/خدمة ذات أولوية (SI-6 → D-19، D-20، D-21) [DIRECT_RFP_FACT] يشير إلى أن المركز يدرك أن التوصيات وحدها غير كافية. • المخرجات المعالِجة: D-18، D-19، D-20، D-21. السبب الجذري السادس — فجوة القدرات المؤسسية داخل المركز. • العَرَض: حاجة المركز إلى دعم استشاري خارجي في المهام التحليلية والتصميمية. • المؤشر القابل للقياس: مستوى الجاهزية المؤسسية لفريق المركز لإدارة منظومة المنتجات والخدمات بشكل مستقل — يُقاس عبر تقييم ما قبل التدريب وما بعده في كل مرحلة. • حالة الدليل: مؤكد صراحةً — اشتراط تدريب وتطوير العاملين في المركز عبر جميع مراحل المشروع (SI-8) [DIRECT_RFP_FACT]. • المخرجات المعالِجة: SI-8 عبر جميع المراحل. ═══ الحقائق المؤكدة مقابل الفرضيات التي تتطلب التحقق ═══</w:t>
        <w:br/>
        <w:t xml:space="preserve"> حقائق مؤكدة من وثائق المنافسة [DIRECT_RFP_FACT]:</w:t>
        <w:br/>
        <w:t xml:space="preserve"> • الأشكال السائدة حالياً تشمل جمع التبرعات والتطوع والوقف والاستضافة (SI-4). • المطلوب حصر عبر 5 قطاعات على الأقل مع مقارنة معيارية من 5 دول (SI-2، SI-3). • 23 مخرجاً إلزامياً عبر 5 مراحل خلال 12 شهراً (HR-L1-002). • تدريب فريق المركز مطلوب في جميع المراحل (SI-8). • آلية الترسية: اجتياز فني ثم أقل سعر (HR-L1-001). فرضيات هيكلية [INFERENCE — تتطلب التحقق في مراحل المشروع]:</w:t>
        <w:br/>
        <w:t xml:space="preserve"> • تركّز الخدمات جغرافياً وقطاعياً مع إهمال مناطق وقطاعات أخرى — سيتم التحقق عبر D-9 [يتطلب بيانات العميل]. • وجود فجوة كمّية بين الاحتياجات التنموية والخدمات المقدمة — سيتم التحقق عبر D-16 [يتطلب بيانات العميل]. • ضعف معدلات تنفيذ التوصيات من دراسات سابقة — سيتم التحقق عبر D-10 [يتطلب بيانات العميل]. • حاجة فريق المركز إلى تطوير مهارات تحليلية وتصميمية محددة — سيتم التحقق عبر تقييم ما قبل التدريب [يتطلب بيانات العميل]. من المنظور المؤسسي، يقع هذا المشروع في صلب ولاية المركز الوطني لتنمية القطاع غير الربحي باعتباره الجهة المنظمة والممكّنة للقطاع الثالث في المملكة. الدراسة أداة تنفيذية ستحدد ماذا يقدم القطاع ولمن وكيف وبأي معايير جودة. من المنظور المالي والتشغيلي، فإن استمرار الوضع الراهن يعني أن الموارد المالية المتدفقة إلى القطاع (من الزكاة والتبرعات والأوقاف والدعم الحكومي) تُوجَّه إلى أنماط خدمية محدودة التنوع وغير مقاسة الأثر — وهذا ما ستكشفه بيانات الحصر في D-9 وD-10 بشكل كمّي [INFERENCE — حجم التوجيه غير الأمثل غير معروف حالياً ويتطلب بيانات المرحلة 2]. من منظور أصحاب المصلحة، يمس التحدي شريحة واسعة: المنظمات غير الربحية (التي تحتاج إلى توجيه واضح حول المنتجات والخدمات ذات الأولوية)، والمستفيدون من مختلف شرائح المجتمع (الذين لا تصلهم خدمات نوعية متنوعة)، والجهات المانحة والداعمة (التي تفتقر إلى مؤشرات أثر موثوقة لتوجيه استثماراتها)، والجهات الحكومية الشريكة (التي تحتاج إلى تنسيق مع القطاع الثالث في تقديم الخدمات العامة)، والقطاع الخاص (الذي يبحث عن شراكات مسؤولية اجتماعية فعالة ومقاسة الأثر). ═══ طلبات البيانات اللازمة للتحقق من تأطير المشكلة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البيان المطلوب</w:t>
            </w:r>
          </w:p>
        </w:tc>
        <w:tc>
          <w:tcPr>
            <w:tcW w:type="dxa" w:w="2160"/>
          </w:tcPr>
          <w:p>
            <w:r>
              <w:rPr>
                <w:b/>
                <w:sz w:val="18"/>
              </w:rPr>
              <w:t>المصدر المتوقع</w:t>
            </w:r>
          </w:p>
        </w:tc>
        <w:tc>
          <w:tcPr>
            <w:tcW w:type="dxa" w:w="2160"/>
          </w:tcPr>
          <w:p>
            <w:r>
              <w:rPr>
                <w:b/>
                <w:sz w:val="18"/>
              </w:rPr>
              <w:t>الحالة</w:t>
            </w:r>
          </w:p>
        </w:tc>
        <w:tc>
          <w:tcPr>
            <w:tcW w:type="dxa" w:w="2160"/>
          </w:tcPr>
          <w:p>
            <w:r>
              <w:rPr>
                <w:b/>
                <w:sz w:val="18"/>
              </w:rPr>
              <w:t>المخرج المستهدف</w:t>
            </w:r>
          </w:p>
        </w:tc>
      </w:tr>
      <w:tr>
        <w:tc>
          <w:tcPr>
            <w:tcW w:type="dxa" w:w="2160"/>
          </w:tcPr>
          <w:p>
            <w:r>
              <w:rPr>
                <w:sz w:val="18"/>
              </w:rPr>
              <w:t>عدد المنظمات غير الربحية المسجلة وتوزيعها الجغرافي والقطاعي</w:t>
            </w:r>
          </w:p>
        </w:tc>
        <w:tc>
          <w:tcPr>
            <w:tcW w:type="dxa" w:w="2160"/>
          </w:tcPr>
          <w:p>
            <w:r>
              <w:rPr>
                <w:sz w:val="18"/>
              </w:rPr>
              <w:t>بيانات المركز الوطني أو وزارة الموارد البشرية</w:t>
            </w:r>
          </w:p>
        </w:tc>
        <w:tc>
          <w:tcPr>
            <w:tcW w:type="dxa" w:w="2160"/>
          </w:tcPr>
          <w:p>
            <w:r>
              <w:rPr>
                <w:sz w:val="18"/>
              </w:rPr>
              <w:t>evidence_gap — يجب الحصول عليها من بيانات العميل</w:t>
            </w:r>
          </w:p>
        </w:tc>
        <w:tc>
          <w:tcPr>
            <w:tcW w:type="dxa" w:w="2160"/>
          </w:tcPr>
          <w:p>
            <w:r>
              <w:rPr>
                <w:sz w:val="18"/>
              </w:rPr>
              <w:t>D-9</w:t>
            </w:r>
          </w:p>
        </w:tc>
      </w:tr>
      <w:tr>
        <w:tc>
          <w:tcPr>
            <w:tcW w:type="dxa" w:w="2160"/>
          </w:tcPr>
          <w:p>
            <w:r>
              <w:rPr>
                <w:sz w:val="18"/>
              </w:rPr>
              <w:t>حجم التدفقات المالية السنوية للقطاع (تبرعات، أوقاف، دعم حكومي)</w:t>
            </w:r>
          </w:p>
        </w:tc>
        <w:tc>
          <w:tcPr>
            <w:tcW w:type="dxa" w:w="2160"/>
          </w:tcPr>
          <w:p>
            <w:r>
              <w:rPr>
                <w:sz w:val="18"/>
              </w:rPr>
              <w:t>تقارير المركز أو الهيئة العامة للأوقاف</w:t>
            </w:r>
          </w:p>
        </w:tc>
        <w:tc>
          <w:tcPr>
            <w:tcW w:type="dxa" w:w="2160"/>
          </w:tcPr>
          <w:p>
            <w:r>
              <w:rPr>
                <w:sz w:val="18"/>
              </w:rPr>
              <w:t>evidence_gap — يجب الحصول عليها من بيانات العميل</w:t>
            </w:r>
          </w:p>
        </w:tc>
        <w:tc>
          <w:tcPr>
            <w:tcW w:type="dxa" w:w="2160"/>
          </w:tcPr>
          <w:p>
            <w:r>
              <w:rPr>
                <w:sz w:val="18"/>
              </w:rPr>
              <w:t>D-9</w:t>
            </w:r>
          </w:p>
        </w:tc>
      </w:tr>
      <w:tr>
        <w:tc>
          <w:tcPr>
            <w:tcW w:type="dxa" w:w="2160"/>
          </w:tcPr>
          <w:p>
            <w:r>
              <w:rPr>
                <w:sz w:val="18"/>
              </w:rPr>
              <w:t>تركّز الخدمات حسب النوع والمنطقة والقطاع</w:t>
            </w:r>
          </w:p>
        </w:tc>
        <w:tc>
          <w:tcPr>
            <w:tcW w:type="dxa" w:w="2160"/>
          </w:tcPr>
          <w:p>
            <w:r>
              <w:rPr>
                <w:sz w:val="18"/>
              </w:rPr>
              <w:t>بيانات منصة إحسان أو قواعد بيانات المركز</w:t>
            </w:r>
          </w:p>
        </w:tc>
        <w:tc>
          <w:tcPr>
            <w:tcW w:type="dxa" w:w="2160"/>
          </w:tcPr>
          <w:p>
            <w:r>
              <w:rPr>
                <w:sz w:val="18"/>
              </w:rPr>
              <w:t>evidence_gap — يجب الحصول عليها من بيانات العميل</w:t>
            </w:r>
          </w:p>
        </w:tc>
        <w:tc>
          <w:tcPr>
            <w:tcW w:type="dxa" w:w="2160"/>
          </w:tcPr>
          <w:p>
            <w:r>
              <w:rPr>
                <w:sz w:val="18"/>
              </w:rPr>
              <w:t>D-9</w:t>
            </w:r>
          </w:p>
        </w:tc>
      </w:tr>
      <w:tr>
        <w:tc>
          <w:tcPr>
            <w:tcW w:type="dxa" w:w="2160"/>
          </w:tcPr>
          <w:p>
            <w:r>
              <w:rPr>
                <w:sz w:val="18"/>
              </w:rPr>
              <w:t>مؤشرات الأداء الأساسية الحالية للمركز وآليات القياس المعتمدة</w:t>
            </w:r>
          </w:p>
        </w:tc>
        <w:tc>
          <w:tcPr>
            <w:tcW w:type="dxa" w:w="2160"/>
          </w:tcPr>
          <w:p>
            <w:r>
              <w:rPr>
                <w:sz w:val="18"/>
              </w:rPr>
              <w:t>التقرير السنوي للمركز</w:t>
            </w:r>
          </w:p>
        </w:tc>
        <w:tc>
          <w:tcPr>
            <w:tcW w:type="dxa" w:w="2160"/>
          </w:tcPr>
          <w:p>
            <w:r>
              <w:rPr>
                <w:sz w:val="18"/>
              </w:rPr>
              <w:t>evidence_gap — يجب الحصول عليها من بيانات العميل</w:t>
            </w:r>
          </w:p>
        </w:tc>
        <w:tc>
          <w:tcPr>
            <w:tcW w:type="dxa" w:w="2160"/>
          </w:tcPr>
          <w:p>
            <w:r>
              <w:rPr>
                <w:sz w:val="18"/>
              </w:rPr>
              <w:t>D-1</w:t>
            </w:r>
          </w:p>
        </w:tc>
      </w:tr>
      <w:tr>
        <w:tc>
          <w:tcPr>
            <w:tcW w:type="dxa" w:w="2160"/>
          </w:tcPr>
          <w:p>
            <w:r>
              <w:rPr>
                <w:sz w:val="18"/>
              </w:rPr>
              <w:t>نتائج وتوصيات الدراسات السابقة ذات الصلة ومعدلات تنفيذها</w:t>
            </w:r>
          </w:p>
        </w:tc>
        <w:tc>
          <w:tcPr>
            <w:tcW w:type="dxa" w:w="2160"/>
          </w:tcPr>
          <w:p>
            <w:r>
              <w:rPr>
                <w:sz w:val="18"/>
              </w:rPr>
              <w:t>أرشيف المركز</w:t>
            </w:r>
          </w:p>
        </w:tc>
        <w:tc>
          <w:tcPr>
            <w:tcW w:type="dxa" w:w="2160"/>
          </w:tcPr>
          <w:p>
            <w:r>
              <w:rPr>
                <w:sz w:val="18"/>
              </w:rPr>
              <w:t>evidence_gap — يجب الحصول عليها من بيانات العميل</w:t>
            </w:r>
          </w:p>
        </w:tc>
        <w:tc>
          <w:tcPr>
            <w:tcW w:type="dxa" w:w="2160"/>
          </w:tcPr>
          <w:p>
            <w:r>
              <w:rPr>
                <w:sz w:val="18"/>
              </w:rPr>
              <w:t>D-10</w:t>
            </w:r>
          </w:p>
        </w:tc>
      </w:tr>
    </w:tbl>
    <w:p/>
    <w:p>
      <w:pPr>
        <w:pStyle w:val="Heading2"/>
      </w:pPr>
      <w:r>
        <w:t>2.2 Why It Matters Now</w:t>
      </w:r>
    </w:p>
    <w:p>
      <w:r>
        <w:t>تجعل عدة عوامل متزامنة هذا المشروع ضرورة في هذا التوقيت تحديداً وليس مشروعاً قابلاً للتأجيل. هذه العوامل تنقسم إلى ضغوط داخلية مؤسسية وضغوط خارجية تنافسية ومقارنة. على المستوى التنظيمي الداخلي، يمر القطاع غير الربحي السعودي بمرحلة تحول مؤسسي: أُنشئ المركز الوطني لتنمية القطاع غير الربحي ليكون الذراع التنظيمي والتمكيني للقطاع، وصدرت أنظمة وتشريعات تُعيد هيكلة العلاقة بين الدولة والقطاع الثالث، وتتسارع وتيرة التحول الرقمي في منصات التبرع والتطوع. هذا السياق يخلق نافذة عمل محددة: المركز يحتاج الآن إلى تحديد المنتجات والخدمات النوعية التي ستشكل أساس عمل القطاع في المرحلة القادمة، قبل أن تتبلور الممارسات بشكل غير موجّه. مستهدفات رؤية 2030 المتعلقة بالقطاع غير الربحي — بما في ذلك رفع مساهمته في الناتج المحلي الإجمالي ورفع نسبة المتطوعين وتنويع مصادر الدخل — تتطلب خطوات تنفيذية ملموسة [INFERENCE — مستهدفات رؤية 2030 للقطاع غير الربحي معلنة علنياً لكن لم تُرفق في وثائق المنافسة المتاحة ولم يتم التحقق من الأرقام الدقيقة عبر مصدر خارجي مفهرس؛ evidence_gap: يجب التحقق من الأرقام الدقيقة عبر وثائق رؤية 2030 الرسمية قبل استخدامها في العرض النهائي]. الدراسة المطلوبة هي الخطوة التأسيسية لترجمة هذه المستهدفات إلى منتجات وخدمات محددة وقابلة للقياس. المنافسة ذاتها تعكس هذا الإلحاح: مدة العقد 12 شهراً [DIRECT_RFP_FACT: HR-L1-002] مع 23 مخرجاً إلزامياً عبر 5 مراحل، مما يشير إلى أن المركز يريد نتائج شاملة في إطار زمني محدد وليس دراسة مفتوحة الأجل. على المستوى الخارجي والمقارن، تتسارع التجارب الدولية في تطوير القطاعات غير الربحية بشكل يزيد الفجوة مع كل تأخير. ثلاثة نماذج دولية توضح هذا التسارع — مع التأكيد على أنها مقارنات معيارية داعمة للمنهجية وليست إثباتاً للوضع السعودي الحالي:</w:t>
        <w:br/>
        <w:t xml:space="preserve"> • إطار إدارة محفظة الابتكار في القطاع غير الربحي الأسترالي [EXT-005 — مقارنة معيارية داعمة فقط] يُظهر كيف تحولت المنظمات غير الربحية من مقدمي خدمات تقليدية إلى مبتكرين اجتماعيين يديرون محافظ متنوعة من المنتجات والخدمات عبر قطاعات متعددة — وهذا التحول استغرق سنوات من التخطيط المنهجي الذي بدأ بخطوة مماثلة لما تطلبه هذه المنافسة. قابلية النقل: النموذج الأسترالي يعمل في بيئة تنظيمية مختلفة عن السياق السعودي، لكن منطق إدارة المحفظة وتصنيف الخدمات قابل للتكييف. • نموذج إدارة الزكاة في القطاع الصحي بإندونيسيا [EXT-007 — مقارنة معيارية داعمة فقط] يُبرز كيف يمكن لأدوات التمويل الإسلامي التقليدية أن تتحول إلى منتجات خدمية مبتكرة عند تطبيق منهجيات تحديد الأولويات المنظمة — وهو نموذج وثيق الصلة بالسياق السعودي حيث تشكل الزكاة والوقف ركيزتين أساسيتين. قابلية النقل: السياق الإندونيسي يشترك مع السعودي في البُعد الإسلامي لأدوات التمويل، لكن يختلف في الحجم والبنية التنظيمية. • قانون أسس صنع السياسات القائمة على الأدلة في الولايات المتحدة [EXT-001 — مقارنة معيارية داعمة فقط] يوفر إطاراً مرجعياً لتصميم الدراسات الحكومية التي تربط بين البيانات وصنع القرار — وهو المنطق ذاته الذي تتبناه هذه المنافسة في ربط الحصر والتحليل بالتفعيل وقياس الأثر. قابلية النقل: الإطار الأمريكي مصمم لبيئة فيدرالية مختلفة، لكن مبادئ الربط بين البيانات والسياسات عالمية التطبيق. هذه النماذج تؤكد أن الدول التي استثمرت مبكراً في تصنيف وتصميم وقياس أثر خدماتها غير الربحية حققت تقدماً مؤسسياً ملموساً — وأن التأخير يوسّع الفجوة المقارنة. لو تأخر هذا المشروع ستة أشهر، فإن التبعات تتجاوز مجرد التأخير الزمني وتتحول إلى تكلفة فرصة مركّبة: (أ) تُفقد دورة تخطيط في المنظمات غير الربحية التي تنتظر توجيهات المركز بشأن الأولويات القطاعية والمنتجات والخدمات ذات الأولوية — وسيتم قياس حجم هذا التأثير كمياً عبر D-9 الذي يرصد عدد المنظمات النشطة وأنماط خدماتها الحالية، (ب) تستمر الموارد المالية في التدفق إلى أنماط خدمية تقليدية دون توجيه استراتيجي مبني على تحليل الاحتياجات التنموية — وسيتم تقدير حجم هذا التوجيه غير الأمثل عبر D-16 وD-17، (ج) يتأخر بناء قدرات فريق المركز (SI-8) [DIRECT_RFP_FACT] مما يُطيل فترة الاعتماد على الدعم الاستشاري الخارجي، (د) تتقلص فعالية البيئة المؤسسية المواتية الحالية — حيث إن التحولات التنظيمية والتشريعية الجارية توفر سياقاً ملائماً للتغيير، والاستفادة من هذا السياق تتطلب تحركاً في الإطار الزمني الحالي [INFERENCE — مبنية على المنطق المؤسسي العام لإدارة التغيير وليس على بيانات محلية محددة].</w:t>
      </w:r>
    </w:p>
    <w:p>
      <w:pPr>
        <w:pStyle w:val="Heading2"/>
      </w:pPr>
      <w:r>
        <w:t>2.3 Transformation Logic</w:t>
      </w:r>
    </w:p>
    <w:p>
      <w:r>
        <w:t>يقوم منطق التحول على الانتقال المنظم عبر ثلاث حالات متمايزة — من الوضع الراهن إلى حالة الانتقال ثم الوضع المستهدف — بحيث يعالج كل مسار عملي سبباً جذرياً محدداً من الأسباب الستة المشخّصة، ويُنتج مخرجات تعاقدية محددة تطلبها المنافسة صراحةً [DIRECT_RFP_FACT]. ═══ الحالة الراهنة (Current State) ═══</w:t>
        <w:br/>
        <w:t xml:space="preserve"> يعمل القطاع بأنماط خدمية تقليدية (تبرعات، تطوع، وقف، استضافة) [DIRECT_RFP_FACT: SI-4] غير مصنفة منهجياً وغير مربوطة بالاحتياجات التنموية وغير مقاسة الأثر. المركز يفتقر إلى: قاعدة بيانات شاملة للمنتجات والخدمات القائمة، وإطار مقارنة معيارية دولية، وأدوات تفعيل وتحفيز، ومنهجية قياس أثر مؤسسية. هذه الحالة موثقة ضمنياً في نطاق عمل المنافسة الذي يطلب بناء كل هذه العناصر من الأساس [DIRECT_RFP_FACT]. ═══ حالة الانتقال (Transition State — خلال 12 شهراً) ═══</w:t>
        <w:br/>
        <w:t xml:space="preserve"> تتحقق عبر 5 مراحل متسلسلة بتبعية منطقية صارمة كما حددتها المنافسة [DIRECT_RFP_FACT]:</w:t>
        <w:br/>
        <w:t xml:space="preserve"> المرحلة 1 — التأسيس والتصميم المنهجي (→ D-1 إلى D-5):</w:t>
        <w:br/>
        <w:t xml:space="preserve"> • المعالجة: بناء الإطار المنهجي والتصنيفي وتحديد مصادر البيانات وخبراء السوق المحليين والدوليين وحوكمة المشروع وميثاقه. • المنطق التسلسلي: هذه المرحلة شرط مسبق لجميع المراحل اللاحقة — لا يمكن حصر المنتجات والخدمات دون منهجية وإطار تصنيفي واضح ومتفق عليه. • المخرج الحاكم: وثيقة منهجية الدراسة (D-1) التي تحدد أدوات البحث الكمي والنوعي، وقائمة خبراء السوق (D-2)، وميثاق المشروع (D-5) الذي يحدد نطاق العمل والمسؤوليات والمخاطر. • السبب الجذري المعالَج: يؤسس لمعالجة السبب الأول (غياب الإطار التصنيفي) ويهيئ البنية التحتية المنهجية لجميع الأسباب الأخرى. المرحلة 2 — الحصر والمسح القطاعي (→ D-6 إلى D-14):</w:t>
        <w:br/>
        <w:t xml:space="preserve"> • المعالجة: حصر المنتجات والخدمات النوعية عبر 5 قطاعات على الأقل [DIRECT_RFP_FACT: SI-2]، ودراسة التصنيفات والمعايير، والمقارنة المعيارية الدولية لـ 5 دول [DIRECT_RFP_FACT: SI-3]، وتحليل أصحاب المصلحة [DIRECT_RFP_FACT: SI-4]، ودراسة الوضع الراهن، وورش العمل التشاركية. • المنطق التسلسلي: تبني قاعدة المعرفة الأساسية التي لا يمكن بدونها تصميم منتجات مبتكرة أو تحليل احتياجات تنموية. • المخرج الحاكم: وثيقة الدراسة الشاملة للقطاعات (D-6)، ووثيقة الممارسات الدولية الرائدة (D-7)، ووثيقة الوضع الراهن (D-9)، وخارطة أصحاب المصلحة (D-8). • الأسباب الجذرية المعالَجة: السبب الأول (غياب الإطار التصنيفي) والسبب الثالث (محدودية المقارنة المعيارية). المرحلة 3 — التحليل والتصميم (→ D-15 إلى D-17):</w:t>
        <w:br/>
        <w:t xml:space="preserve"> • المعالجة: تحليل الاحتياجات التنموية بحسب الأنشطة والقطاعات ذات الأولوية [DIRECT_RFP_FACT: SI-5]، وربطها بالمنتجات والخدمات المبتكرة المقترحة مع توضيح الآثار المتوقعة. • المنطق التسلسلي: لا يمكن تنفيذها دون مخرجات المرحلة 2 التي توفر قاعدة البيانات والتحليل المقارن — تحليل الاحتياجات يتطلب معرفة ما هو قائم أولاً. • المخرج الحاكم: وثيقة ربط المنتجات والخدمات بالاحتياجات التنموية (D-17) ووثيقة منهجية التحليل (D-15). • السبب الجذري المعالَج: السبب الثاني (ضعف الربط بالاحتياجات التنموية). المرحلة 4 — التفعيل والتحفيز (→ D-18 إلى D-21):</w:t>
        <w:br/>
        <w:t xml:space="preserve"> • المعالجة: ترتيب أولويات المنتجات والخدمات وفق منهجية محددة [DIRECT_RFP_FACT: SI-6]، وتصميم بطاقة تشغيلية لكل منتج/خدمة ذات أولوية، وإعداد الحزمة التحفيزية، والخطة التنفيذية والجدول الزمني للتفعيل. • المنطق التسلسلي: تحوّل التحليل إلى أدوات تنفيذية جاهزة — لا يمكن ترتيب الأولويات دون تحليل الاحتياجات (المرحلة 3) ولا تصميم بطاقات تشغيلية دون معرفة المنتجات المقترحة. • المخرج الحاكم: بطاقات المنتجات والخدمات (D-21) والحزمة التحفيزية (D-20) والخطة التنفيذية (D-19) ومنهجية ترتيب الأولويات (D-18). • السبب الجذري المعالَج: السبب الخامس (ضعف آليات التحفيز والتفعيل). المرحلة 5 — قياس الأثر والاستدامة (→ D-22، D-23):</w:t>
        <w:br/>
        <w:t xml:space="preserve"> • المعالجة: تصميم منهجية قياس الأثر والوصول للمستهدفات والاستدامة [DIRECT_RFP_FACT: SI-7]، وإعداد قائمة المؤشرات اللازمة لضمان تحقيق الأثر. • المنطق التسلسلي: لا يمكن تصميم مؤشرات أثر دون تحديد المنتجات المستهدفة (المرحلة 3-4) وآثارها المتوقعة (D-17). • المخرج الحاكم: وثيقة منهجية قياس الأثر (D-22) وقائمة المؤشرات (D-23). • السبب الجذري المعالَج: السبب الرابع (غياب منهجية قياس الأثر). السبب الجذري السادس (فجوة القدرات المؤسسية) يُعالج بشكل مستمر عبر جميع المراحل من خلال برنامج التدريب المصاحب (SI-8) [DIRECT_RFP_FACT] الذي يتضمن ورش عمل تطبيقية وتسليم أدوات ونماذج عمل قابلة لإعادة الاستخدام في كل مرحلة. هذا التصميم يضمن أن نقل المعرفة يحدث بالتوازي مع إنتاج المخرجات وليس كمرحلة منفصلة في النهاية. ═══ الحالة المستهدفة (Target State) ═══</w:t>
        <w:br/>
        <w:t xml:space="preserve"> عند اكتمال المشروع خلال 12 شهراً [DIRECT_RFP_FACT: HR-L1-002]، يمتلك المركز الوطني لتنمية القطاع غير الربحي:</w:t>
        <w:br/>
        <w:t xml:space="preserve"> (أ) قاعدة بيانات شاملة ومصنّفة للمنتجات والخدمات النوعية عبر 5 قطاعات على الأقل مع مقارنة معيارية دولية من 5 دول (D-6، D-7، D-9، D-12). (ب) قائمة نهائية بالمنتجات والخدمات المبتكرة المقترحة مربوطة بالاحتياجات التنموية الفعلية مع توضيح الآثار المتوقعة (D-13، D-17). (ج) بطاقات تشغيلية لكل منتج/خدمة ذات أولوية تتضمن نموذج العمل والتكلفة والأثر المتوقع والحوافز المطلوبة (D-21). (د) خطة تنفيذية مرحلية لتفعيل المنتجات والخدمات مع حزمة تحفيزية منظمة (D-19، D-20). ملاحظة: الخطة التنفيذية تُصمم خلال فترة العقد (12 شهراً)؛ أما أفق التنفيذ الفعلي للمنتجات والخدمات فيمتد إلى ما بعد العقد ويخضع لقرارات المركز. (هـ) منهجية قياس أثر مؤسسية مع قائمة مؤشرات قابلة للقياس (D-22، D-23). (و) فريق مركز مدرّب وقادر على إدارة المنظومة وتحديثها بشكل مستقل (SI-8). ═══ منطق أصحاب المصلحة ═══</w:t>
        <w:br/>
        <w:t xml:space="preserve"> من منظور أصحاب المصلحة، يخدم التحول كل فئة بشكل مختلف ومحدد:</w:t>
        <w:br/>
        <w:t xml:space="preserve"> • المنظمات غير الربحية: تحصل على دليل واضح للمنتجات والخدمات ذات الأولوية مع بطاقات تشغيلية (D-21) تسهّل التبني والتطبيق. • المستفيدون: يحصلون على خدمات أكثر تنوعاً ومرتبطة باحتياجاتهم الفعلية المحددة في D-16. • الجهات المانحة: تحصل على مؤشرات أثر موثوقة (D-23) لتوجيه استثماراتها. • المركز: يحصل على أدوات تنظيمية وتمكينية تعزز دوره وتمكّنه من قياس تقدم القطاع. • الجهات الحكومية الشريكة: تحصل على إطار تنسيقي مع القطاع الثالث مبني على بيانات وتصنيفات واضحة. إدارة التغيير تتطلب مشاركة فعلية لأصحاب المصلحة عبر ورش العمل التشاركية (D-11) [DIRECT_RFP_FACT] ومقابلات الخبراء (D-2) [DIRECT_RFP_FACT] لضمان أن المنتجات والخدمات المقترحة تعكس احتياجات الميدان وليس افتراضات نظرية. ═══ منطق التكامل ═══</w:t>
        <w:br/>
        <w:t xml:space="preserve"> تتقاطع هذه الدراسة مع جهود المركز الأخرى في تطوير البيئة التنظيمية والتشريعية ومع مبادرات التحول الرقمي في منصات التبرع والتطوع [INFERENCE — لا تتوفر تفاصيل عن المبادرات القائمة للمركز في وثائق المنافسة المتاحة]. المخرجات مصممة بحيث تتكامل مع هذه المسارات: بطاقات المنتجات (D-21) مصممة بشكل يسمح بالتحديث الدوري، ومنهجية قياس الأثر (D-22) مصممة بشكل يتوافق مع أنظمة المتابعة المؤسسية. التحقق من تفاصيل التكامل مع المبادرات القائمة يتم في المرحلة 1 عبر ميثاق المشروع (D-5) وحوكمة المشروع (D-4).</w:t>
      </w:r>
    </w:p>
    <w:p>
      <w:pPr>
        <w:pStyle w:val="Heading2"/>
      </w:pPr>
      <w:r>
        <w:t>2.4 Risk If Unchanged</w:t>
      </w:r>
    </w:p>
    <w:p>
      <w:r>
        <w:t>إذا لم يُنفَّذ هذا المشروع، يواجه المركز الوطني لتنمية القطاع غير الربحي أربع فئات من المخاطر المتصاعدة. يجب التنويه إلى أن التقدير الكمّي الدقيق لهذه المخاطر يتطلب بيانات محلية غير متوفرة حالياً وستُجمع في المرحلة 2 من المشروع — لكن المنطق المؤسسي والمقارن يؤكد جدّيتها. أولاً — مخاطر مالية وتشغيلية (تُقاس كمياً عبر D-9 وD-10):</w:t>
        <w:br/>
        <w:t xml:space="preserve"> تستمر الموارد المالية المتدفقة إلى القطاع غير الربحي (من الزكاة والتبرعات والأوقاف والدعم الحكومي) في التوجه نحو أنماط خدمية تقليدية دون إطار منهجي لتوجيهها نحو المنتجات والخدمات الأعلى أثراً تنموياً [INFERENCE — مبنية على حقيقة أن المنافسة تطلب بناء هذا الإطار من الأساس، مما يشير إلى غيابه حالياً]. حجم هذا التوجيه غير الأمثل للموارد غير معروف حالياً — وهذا بحد ذاته مؤشر على خطورة الفجوة المعرفية: لا يمكن تحسين ما لا يمكن قياسه. مخرجات الحصر والتحليل (D-6، D-9، D-10) ستوفر لأول مرة الأساس الكمّي لتقدير حجم الفجوة بين التخصيص الفعلي والتخصيص الأمثل للموارد. كل شهر تأخير يعني استمرار هذا التخصيص غير الموجّه بدون بيانات تصحيحية. [evidence_gap: لا تتوفر بيانات محلية سعودية محددة عن حجم التدفقات المالية أو كفاءة تخصيصها — تقدير الأثر المالي يتطلب بيانات ستُجمع في المرحلة 2 من المشروع]. ثانياً — مخاطر تنظيمية ومؤسسية (تُقاس عبر D-8 وD-9):</w:t>
        <w:br/>
        <w:t xml:space="preserve"> غياب خارطة واضحة للمنتجات والخدمات يُضعف قدرة المركز على ممارسة دوره التنظيمي والتمكيني بفعالية. بدون معرفة ماذا يقدم القطاع حالياً وماذا يجب أن يقدم وبأي معايير جودة، يصعب التوجيه أو قياس التقدم أو تبرير الاستثمارات الحكومية في القطاع. هذا الفراغ المعرفي يفتح الباب أمام نمو غير منسّق: تتكاثر المنظمات والمبادرات دون تنسيق، مما قد يؤدي إلى تشتت الجهود وتكرار الخدمات في مناطق وقطاعات معينة مع إهمال أخرى [INFERENCE — فرضية ستتحقق منها بيانات الوضع الراهن في D-9]. كل شهر تأخير يعمّق هذا النمط ويزيد تكلفة التصحيح لاحقاً، لأن المنظمات التي تتبنى أنماطاً خدمية معينة تبني حولها هياكل تشغيلية يصعب تغييرها. على المستوى المقارن، تتسارع التجارب الدولية: أستراليا تطبق نماذج إدارة محافظ الابتكار في منظماتها غير الربحية [EXT-005 — مقارنة معيارية داعمة فقط؛ ليست إثباتاً للوضع السعودي]، وإندونيسيا تحوّل أدوات التمويل الإسلامي إلى منتجات خدمية مبتكرة في القطاع الصحي [EXT-007 — مقارنة معيارية داعمة فقط]، والولايات المتحدة تعتمد أطر صنع السياسات القائمة على الأدلة لتوجيه القطاع الثالث [EXT-001 — مقارنة معيارية داعمة فقط]. غياب إطار تصنيفي ومنهجي مماثل في المملكة — وهو ما تؤكده المنافسة ذاتها بطلبها بناء هذا الإطار من الأساس — يشير إلى فجوة مؤسسية [INFERENCE مبنية على المقارنة الدولية وعلى حقيقة أن المنافسة تطلب بناء الإطار من الصفر]. ثالثاً — مخاطر استراتيجية مرتبطة بمستهدفات رؤية 2030 (تُقاس عبر D-17 وD-22):</w:t>
        <w:br/>
        <w:t xml:space="preserve"> تحقيق مستهدفات رؤية 2030 للقطاع غير الربحي يتطلب تحولاً نوعياً يبدأ بتحديد المنتجات والخدمات المبتكرة التي ستقود النمو [INFERENCE — مبنية على المنطق الاستراتيجي العام؛ الأرقام الدقيقة لمستهدفات الرؤية تتطلب التحقق من المصادر الرسمية: evidence_gap]. بدون هذه الدراسة، تبقى المستهدفات أرقاماً طموحة دون خارطة طريق تشغيلية تربطها بمنتجات وخدمات محددة وقابلة للقياس. التأخير لستة أشهر يعني تحديداً: (أ) فقدان دورة تخطيط في المنظمات غير الربحية التي تنتظر توجيهات المركز — وسيتم قياس حجم هذا التأثير عبر D-8 وD-9، (ب) استمرار تدفق الموارد دون توجيه استراتيجي مبني على تحليل الاحتياجات — وسيتم تقديره عبر D-16 وD-17، (ج) تأخر بناء قدرات فريق المركز (SI-8) [DIRECT_RFP_FACT] مما يُطيل الاعتماد على الدعم الخارجي. رابعاً — مخاطر سمعة مؤسسية وثقة أصحاب المصلحة:</w:t>
        <w:br/>
        <w:t xml:space="preserve"> استمرار المركز في العمل دون خارطة منتجات وخدمات واضحة ومنهجية قياس أثر معتمدة يُضعف موقفه أمام أصحاب المصلحة المتعددين — من منظمات غير ربحية تنتظر التوجيه بشأن الأولويات القطاعية، إلى جهات مانحة تبحث عن مؤشرات أثر موثوقة لتوجيه استثماراتها، إلى جهات حكومية تتوقع نتائج ملموسة مرتبطة بمستهدفات رؤية 2030 [INFERENCE — مبنية على المنطق المؤسسي لإدارة أصحاب المصلحة]. هذا الخطر تراكمي: كل فترة إضافية بدون إطار منهجي واضح تُضعف قدرة المركز على بناء الثقة المؤسسية اللازمة لتحقيق دوره التمكيني.</w:t>
      </w:r>
    </w:p>
    <w:p>
      <w:pPr>
        <w:pStyle w:val="Heading1"/>
      </w:pPr>
      <w:r>
        <w:t>3. Why Strategic Gears</w:t>
      </w:r>
    </w:p>
    <w:p>
      <w:pPr>
        <w:pStyle w:val="Heading2"/>
      </w:pPr>
      <w:r>
        <w:t>3.1 Capability-to-RFP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RFP Requirement</w:t>
            </w:r>
          </w:p>
        </w:tc>
        <w:tc>
          <w:tcPr>
            <w:tcW w:type="dxa" w:w="2160"/>
          </w:tcPr>
          <w:p>
            <w:r>
              <w:t>SG Capability</w:t>
            </w:r>
          </w:p>
        </w:tc>
        <w:tc>
          <w:tcPr>
            <w:tcW w:type="dxa" w:w="2160"/>
          </w:tcPr>
          <w:p>
            <w:r>
              <w:t>Evidence</w:t>
            </w:r>
          </w:p>
        </w:tc>
        <w:tc>
          <w:tcPr>
            <w:tcW w:type="dxa" w:w="2160"/>
          </w:tcPr>
          <w:p>
            <w:r>
              <w:t>Strength</w:t>
            </w:r>
          </w:p>
        </w:tc>
      </w:tr>
      <w:tr>
        <w:tc>
          <w:tcPr>
            <w:tcW w:type="dxa" w:w="2160"/>
          </w:tcPr>
          <w:p>
            <w:r>
              <w:t>تصميم منهجية دراسة شاملة وخطة اكتساب البيانات (D-1) تغطي 5+ قطاعات ذات أولوية مع 23 مخرجاً إلزامياً عبر 5 مراحل خلال 12 شهراً (HR-L1-002, HR-L1-030)</w:t>
            </w:r>
          </w:p>
        </w:tc>
        <w:tc>
          <w:tcPr>
            <w:tcW w:type="dxa" w:w="2160"/>
          </w:tcPr>
          <w:p>
            <w:r>
              <w:t>تصميم منهجي: منهجية بحث مختلطة (Mixed Methods) مصممة وفق إطارين دوليين مرجعيين — إطار السياسات القائمة على الأدلة الأمريكي [EXT-001] ومنهجية تقييم الاحتياجات المجتمعية CNA [EXT-006]. التصميم يدمج ثلاثة مسارات متوازية: (أ) التحليل الكمي — مسح شامل للمنتجات والخدمات القائمة عبر قواعد بيانات المركز ومنصة إحسان ومنصات التبرع والسجلات الحكومية، (ب) التحليل النوعي — مقابلات معمقة مع خبراء القطاع وورش عمل تشاركية مع أصحاب المصلحة عبر 5 قطاعات، (ج) المقارنة المعيارية الدولية — دراسة مكتبية وميدانية لـ 5 دول مع تحليل مقارن منظم. بوابات حوكمة (Phase Gates) بين كل مرحلة تضمن اعتماد المخرجات قبل الانتقال. كيف يدعم [EXT-001]: إطار Evidence Act يوفر نموذجاً مرجعياً لتصميم الدراسات الحكومية القائمة على الأدلة بما يشمل خطة اكتساب البيانات وحوكمة جودة الأدلة وآلية ربط النتائج بالسياسات — نظير دولي وليس إثباتاً لقدرة SG. كيف يدعم [EXT-006]: إطار CNA يوفر هيكلاً منظماً لتحديد الاحتياجات التنموية عبر قطاعات متعددة وربطها بالحلول عبر مصفوفة احتياج-حل-أثر — نظير دولي وليس إثباتاً لقدرة SG. ما يجب أن يوفره Engine 2: 2-3 دراسات منهجية معقدة متعددة المراحل نفذتها SG سابقاً مع توضيح عدد المخرجات والمدة الزمنية وآلية الحوكمة المطبقة.</w:t>
            </w:r>
          </w:p>
        </w:tc>
        <w:tc>
          <w:tcPr>
            <w:tcW w:type="dxa" w:w="2160"/>
          </w:tcPr>
          <w:p>
            <w:r>
              <w:t>EXT-001, EXT-006</w:t>
            </w:r>
          </w:p>
        </w:tc>
        <w:tc>
          <w:tcPr>
            <w:tcW w:type="dxa" w:w="2160"/>
          </w:tcPr>
          <w:p>
            <w:r>
              <w:t>moderate</w:t>
            </w:r>
          </w:p>
        </w:tc>
      </w:tr>
      <w:tr>
        <w:tc>
          <w:tcPr>
            <w:tcW w:type="dxa" w:w="2160"/>
          </w:tcPr>
          <w:p>
            <w:r>
              <w:t>حصر شامل للمنتجات والخدمات القائمة والمبتكرة في القطاع غير الربحي مع تصنيفها وفق معايير دولية (D-6, D-9, D-10, D-13) — HR-L1-035, HR-L1-038, HR-L1-039, HR-L1-042</w:t>
            </w:r>
          </w:p>
        </w:tc>
        <w:tc>
          <w:tcPr>
            <w:tcW w:type="dxa" w:w="2160"/>
          </w:tcPr>
          <w:p>
            <w:r>
              <w:t>تصميم منهجي: إطار حصر وتصنيف قطاعي يستند إلى أنظمة التصنيف الدولية (ISIC/NAICS/ICNPO) [EXT-003] مع تطبيق منهجية DMAIC [EXT-002] لضبط جودة واكتمال عملية الحصر. المراحل الخمس: التعريف (Define) — تحديد نطاق الحصر ومعايير الشمول والاستبعاد لكل قطاع؛ القياس (Measure) — جمع البيانات من مصادر متعددة؛ التحليل (Analyze) — تصنيف المنتجات والخدمات وفق معايير الأولوية والنضج؛ التحسين (Improve) — تحديد الفجوات والفرص الابتكارية عبر مقارنة الوضع الراهن بالممارسات الدولية؛ الضبط (Control) — تصميم آلية تحديث مستمرة يمكن للمركز تشغيلها ذاتياً. إطار إدارة محفظة الابتكار الأسترالي [EXT-005] يُستخدم للتفريق بين الخدمات القائمة والمبتكرة والمحتملة حسب درجة النضج والأثر المتوقع. كيف يدعم [EXT-003]: أنظمة التصنيف الدولية توفر لغة مشتركة ومعايير موحدة للحصر القطاعي تضمن الشمولية وقابلية المقارنة الدولية — نظير دولي. كيف يدعم [EXT-002]: DMAIC يوفر إطار ضبط جودة منهجي يمنع الازدواجية والنقص في عمليات الحصر — نظير دولي. ما يجب أن يوفره Engine 2: أمثلة على مشاريع حصر وتصنيف قطاعي نفذتها SG مع توضيح المنهجية والنتائج الكمية.</w:t>
            </w:r>
          </w:p>
        </w:tc>
        <w:tc>
          <w:tcPr>
            <w:tcW w:type="dxa" w:w="2160"/>
          </w:tcPr>
          <w:p>
            <w:r>
              <w:t>EXT-003, EXT-002, EXT-005</w:t>
            </w:r>
          </w:p>
        </w:tc>
        <w:tc>
          <w:tcPr>
            <w:tcW w:type="dxa" w:w="2160"/>
          </w:tcPr>
          <w:p>
            <w:r>
              <w:t>strong</w:t>
            </w:r>
          </w:p>
        </w:tc>
      </w:tr>
      <w:tr>
        <w:tc>
          <w:tcPr>
            <w:tcW w:type="dxa" w:w="2160"/>
          </w:tcPr>
          <w:p>
            <w:r>
              <w:t>إجراء مقارنات معيارية دولية معمقة لـ 5 دول على الأقل في مجال منتجات وخدمات القطاع غير الربحي (D-7, D-12) — HR-L1-036, HR-L1-042</w:t>
            </w:r>
          </w:p>
        </w:tc>
        <w:tc>
          <w:tcPr>
            <w:tcW w:type="dxa" w:w="2160"/>
          </w:tcPr>
          <w:p>
            <w:r>
              <w:t>تصميم منهجي: إطار مقارنة معيارية دولية منظم يغطي حالياً 3 دول بعمق تحليلي مع خطة استكمال لدولتين إضافيتين. الدول المغطاة بحثياً: الولايات المتحدة [EXT-001] — إطار السياسات القائمة على الأدلة ونموذج القطاع غير الربحي الأكثر نضجاً عالمياً (NTEE)؛ أستراليا [EXT-005] — إطار إدارة محفظة الابتكار في الخدمات العامة؛ إندونيسيا [EXT-007] — نموذج إدارة الزكاة في القطاع الصحي كمثال مباشر على الخدمات غير الربحية الإسلامية مع منهجية ANP لتحديد الأولويات. فجوة معلنة: تغطية 3 دول من أصل 5 مطلوبة. الخطة تتضمن إضافة المملكة المتحدة (نموذج Charity Commission) وماليزيا أو تركيا (نماذج الوقف الإسلامي المتطور). كل مصدر خارجي يدعم تصميم إطار المقارنة كنظير دولي — وليس إثباتاً لقدرة SG على التنفيذ. ما يجب أن يوفره Engine 2: (أ) بحث إضافي لتغطية الدولتين المتبقيتين، (ب) أمثلة على مشاريع مقارنات معيارية دولية سابقة لـ SG.</w:t>
            </w:r>
          </w:p>
        </w:tc>
        <w:tc>
          <w:tcPr>
            <w:tcW w:type="dxa" w:w="2160"/>
          </w:tcPr>
          <w:p>
            <w:r>
              <w:t>EXT-001, EXT-005, EXT-007</w:t>
            </w:r>
          </w:p>
        </w:tc>
        <w:tc>
          <w:tcPr>
            <w:tcW w:type="dxa" w:w="2160"/>
          </w:tcPr>
          <w:p>
            <w:r>
              <w:t>moderate</w:t>
            </w:r>
          </w:p>
        </w:tc>
      </w:tr>
      <w:tr>
        <w:tc>
          <w:tcPr>
            <w:tcW w:type="dxa" w:w="2160"/>
          </w:tcPr>
          <w:p>
            <w:r>
              <w:t>تحليل أصحاب المصلحة وإعداد خريطة أصحاب المصلحة (D-8) مع إشراكهم عبر ورش عمل تشاركية (D-11) — HR-L1-037, HR-L1-040</w:t>
            </w:r>
          </w:p>
        </w:tc>
        <w:tc>
          <w:tcPr>
            <w:tcW w:type="dxa" w:w="2160"/>
          </w:tcPr>
          <w:p>
            <w:r>
              <w:t>تصميم منهجي: منهجية مشاركة أصحاب المصلحة المتعددين مبنية على حزمة أدوات تضم 68 أداة تشاركية [EXT-004] مصممة لمشاريع التنمية والسياسات العامة. التطبيق المقترح: (1) تحليل القوة-المصلحة (Power-Interest Matrix) لتصنيف أصحاب المصلحة في القطاع غير الربحي السعودي إلى 4 فئات: الجمعيات الأهلية والمؤسسات الوقفية، منصات التبرع الرقمية، الجهات الحكومية المشرفة، والمستفيدين النهائيين؛ (2) ورش عمل تشاركية منظمة بمنهجية World Café أو Open Space Technology لكل قطاع من القطاعات الخمس؛ (3) مجموعات تركيز قطاعية مع ممارسين ومستفيدين. كيف يدعم [EXT-004]: الحزمة توفر أدوات مجربة لتصميم وتيسير عمليات المشاركة متعددة الأطراف في سياقات السياسات العامة — نظير دولي وليس إثباتاً لقدرة SG. ما يجب أن يوفره Engine 2: أمثلة على ورش عمل تشاركية ومشاريع تحليل أصحاب مصلحة نفذتها SG مع جهات حكومية سعودية.</w:t>
            </w:r>
          </w:p>
        </w:tc>
        <w:tc>
          <w:tcPr>
            <w:tcW w:type="dxa" w:w="2160"/>
          </w:tcPr>
          <w:p>
            <w:r>
              <w:t>EXT-004</w:t>
            </w:r>
          </w:p>
        </w:tc>
        <w:tc>
          <w:tcPr>
            <w:tcW w:type="dxa" w:w="2160"/>
          </w:tcPr>
          <w:p>
            <w:r>
              <w:t>moderate</w:t>
            </w:r>
          </w:p>
        </w:tc>
      </w:tr>
      <w:tr>
        <w:tc>
          <w:tcPr>
            <w:tcW w:type="dxa" w:w="2160"/>
          </w:tcPr>
          <w:p>
            <w:r>
              <w:t>تصميم بطاقات تفصيلية للمنتجات والخدمات ذات الأولوية (D-21) مع حزم تحفيزية (D-20) وخطة تنفيذ مرحلية (D-19) — HR-L1-048, HR-L1-049, HR-L1-050</w:t>
            </w:r>
          </w:p>
        </w:tc>
        <w:tc>
          <w:tcPr>
            <w:tcW w:type="dxa" w:w="2160"/>
          </w:tcPr>
          <w:p>
            <w:r>
              <w:t>تصميم منهجي: نهج تفعيلي يحوّل نتائج الدراسة إلى أدوات تشغيلية. بطاقة المنتج/الخدمة (D-21) — هيكل الحقول المقترح: (1) وصف الخدمة والقطاع المستهدف، (2) الفئة المستفيدة، (3) نموذج التشغيل التفصيلي، (4) اقتصاديات الوحدة (Unit Economics): هيكل التكلفة التقديري ومصادر التمويل، (5) التبعيات التنظيمية والقانونية، (6) المخاطر وخطة التخفيف، (7) مؤشرات الأداء الرئيسية، (8) محفز التفعيل (Rollout Trigger) والجدول الزمني. وثيقة الحزم التحفيزية (D-20) — هيكل الحقول: نوع الحافز، الجهة المستهدفة، معايير الأهلية، آلية التفعيل، التكلفة التقديرية، الجهة المسؤولة، التبعية القانونية، مؤشر الأداء. خطة التنفيذ (D-19): مراحل التفعيل ضمن مدة العقد (12 شهراً) مع تمييز واضح بين التصميم ضمن العقد وأفق التنفيذ الموصى به بعد العقد. كيف يدعم [EXT-005]: إطار الابتكار الأسترالي يوفر نموذجاً للتفريق بين الخدمات حسب مستوى النضج — نظير دولي. كيف يدعم [EXT-002]: DMAIC يُطبق لضبط جودة تصميم البطاقات — نظير دولي. ما يجب أن يوفره Engine 2: نماذج من بطاقات منتجات/خدمات وحزم تحفيزية من مشاريع سابقة لـ SG.</w:t>
            </w:r>
          </w:p>
        </w:tc>
        <w:tc>
          <w:tcPr>
            <w:tcW w:type="dxa" w:w="2160"/>
          </w:tcPr>
          <w:p>
            <w:r>
              <w:t>EXT-005, EXT-002, EXT-009</w:t>
            </w:r>
          </w:p>
        </w:tc>
        <w:tc>
          <w:tcPr>
            <w:tcW w:type="dxa" w:w="2160"/>
          </w:tcPr>
          <w:p>
            <w:r>
              <w:t>moderate</w:t>
            </w:r>
          </w:p>
        </w:tc>
      </w:tr>
      <w:tr>
        <w:tc>
          <w:tcPr>
            <w:tcW w:type="dxa" w:w="2160"/>
          </w:tcPr>
          <w:p>
            <w:r>
              <w:t>تصميم منهجية قياس الأثر والاستدامة (D-22) مع قائمة مؤشرات لضمان تحقيق الأثر (D-23) مرتبطة بأهداف رؤية 2030 — HR-L1-051, HR-L1-052</w:t>
            </w:r>
          </w:p>
        </w:tc>
        <w:tc>
          <w:tcPr>
            <w:tcW w:type="dxa" w:w="2160"/>
          </w:tcPr>
          <w:p>
            <w:r>
              <w:t>تصميم منهجي: إطار قياس أثر متكامل يعمل على 3 مستويات: مؤشرات المخرجات (عدد المنتجات/الخدمات المفعّلة، عدد المنظمات المستفيدة)، مؤشرات النتائج (تحسن جودة الخدمات، زيادة التنوع القطاعي)، ومؤشرات الأثر طويل المدى (مساهمة القطاع في الناتج المحلي الإجمالي). يتم ربط كل مؤشر بمستهدف محدد من رؤية 2030 وبرنامج التحول الوطني. كيف يدعم [EXT-009]: يوفر إطاراً لتصميم نظم المراقبة والتقييم القائمة على النتائج (Results-Based M&amp;E) مع نموذج سلسلة النتائج (Results Chain) — نظير دولي. كيف يدعم [EXT-006]: إطار CNA يوفر الأساس لربط الاحتياجات المحددة بمؤشرات قياس الأثر — نظير دولي. فجوة منهجية معلنة: يلزم تعزيز هذا المحور بأطر متخصصة في قياس الأثر الاجتماعي (SROI, Theory of Change, Logic Model) — بحث إضافي مطلوب من Engine 2. ما يجب أن يوفره Engine 2: أمثلة على أطر قياس أثر صممتها SG في مشاريع سابقة، ومصادر بحثية إضافية عن SROI وTheory of Change.</w:t>
            </w:r>
          </w:p>
        </w:tc>
        <w:tc>
          <w:tcPr>
            <w:tcW w:type="dxa" w:w="2160"/>
          </w:tcPr>
          <w:p>
            <w:r>
              <w:t>EXT-009, EXT-006</w:t>
            </w:r>
          </w:p>
        </w:tc>
        <w:tc>
          <w:tcPr>
            <w:tcW w:type="dxa" w:w="2160"/>
          </w:tcPr>
          <w:p>
            <w:r>
              <w:t>moderate</w:t>
            </w:r>
          </w:p>
        </w:tc>
      </w:tr>
      <w:tr>
        <w:tc>
          <w:tcPr>
            <w:tcW w:type="dxa" w:w="2160"/>
          </w:tcPr>
          <w:p>
            <w:r>
              <w:t>نقل المعرفة وبناء قدرات فريق المركز الوطني لتنمية القطاع غير الربحي عبر جميع مراحل المشروع (SI-8)</w:t>
            </w:r>
          </w:p>
        </w:tc>
        <w:tc>
          <w:tcPr>
            <w:tcW w:type="dxa" w:w="2160"/>
          </w:tcPr>
          <w:p>
            <w:r>
              <w:t>تصميم منهجي: برنامج تدريبي متدرج عبر المراحل الخمس مصمم وفق مبدأ التعلم بالممارسة (Learning-by-Doing). المرحلة 1: تدريب على منهجية الدراسة وأدوات جمع البيانات؛ المرحلة 2: تدريب على أدوات الحصر والتصنيف القطاعي؛ المرحلة 3: تدريب على أدوات تحليل الاحتياجات وتحليل أصحاب المصلحة؛ المرحلة 4: تدريب على تصميم بطاقات المنتجات والحزم التحفيزية؛ المرحلة 5: تدريب على أدوات قياس الأثر والمؤشرات. كل ورشة تتضمن تطبيقاً عملياً على بيانات المشروع الفعلية وتسليم أدوات ونماذج عمل قابلة لإعادة الاستخدام. الهدف: تمكين فريق المركز من تحديث الدراسة ذاتياً بعد انتهاء المشروع. فجوة إثبات مؤسسي: لا تتوفر أدلة داخلية على مشاريع بناء قدرات سابقة لـ SG. ما يجب أن يوفره Engine 2: أمثلة على برامج تدريب وبناء قدرات نفذتها SG مع جهات حكومية سعودية.</w:t>
            </w:r>
          </w:p>
        </w:tc>
        <w:tc>
          <w:tcPr>
            <w:tcW w:type="dxa" w:w="2160"/>
          </w:tcPr>
          <w:p>
            <w:r>
              <w:t>—</w:t>
            </w:r>
          </w:p>
        </w:tc>
        <w:tc>
          <w:tcPr>
            <w:tcW w:type="dxa" w:w="2160"/>
          </w:tcPr>
          <w:p>
            <w:r>
              <w:t>weak</w:t>
            </w:r>
          </w:p>
        </w:tc>
      </w:tr>
      <w:tr>
        <w:tc>
          <w:tcPr>
            <w:tcW w:type="dxa" w:w="2160"/>
          </w:tcPr>
          <w:p>
            <w:r>
              <w:t>خبرة مباشرة في القطاع غير الربحي السعودي وفهم السياق التنظيمي والتشريعي — متطلب ضمني في التقييم الفني لاجتياز بوابة القبول (HR-L1-001)</w:t>
            </w:r>
          </w:p>
        </w:tc>
        <w:tc>
          <w:tcPr>
            <w:tcW w:type="dxa" w:w="2160"/>
          </w:tcPr>
          <w:p>
            <w:r>
              <w:t>دليل مؤسسي أولي: مشروع سابق مع نفس العميل — PRJ-001 'خدمات و منتجات القطاع غير الربحي' مع المركز الوطني لتنمية القطاع غير الربحي. تفاصيل المشروع (المنهجيات، المخرجات، النتائج، المدة) غير متوفرة حالياً في قاعدة البيانات المرجعية — معلقة بانتظار استرجاع الملف الكامل من Engine 2. عند تأكيد تفاصيله، يمثل هذا المشروع دليلاً مباشراً على العمل مع نفس العميل وفي نفس المجال الموضوعي. السياق البحثي الداعم: نموذج إدارة الزكاة في القطاع الصحي بإندونيسيا [EXT-007] يوفر مقارنة معيارية لأشكال الخدمات غير الربحية الإسلامية؛ منهجية ANP [EXT-010] تدعم تصميم آلية ترتيب الأولويات — كلاهما نظائر دولية وليس إثباتاً لقدرة SG. ما يجب أن يوفره Engine 2 (أولوية حرجة): الملف الكامل لـ PRJ-001 بما يشمل نطاق العمل، المنهجيات، المخرجات، النتائج بالأرقام، مدة المشروع، حجم الفريق، خطاب مرجعي أو شهادة إتمام.</w:t>
            </w:r>
          </w:p>
        </w:tc>
        <w:tc>
          <w:tcPr>
            <w:tcW w:type="dxa" w:w="2160"/>
          </w:tcPr>
          <w:p>
            <w:r>
              <w:t>EXT-007, EXT-010</w:t>
            </w:r>
          </w:p>
        </w:tc>
        <w:tc>
          <w:tcPr>
            <w:tcW w:type="dxa" w:w="2160"/>
          </w:tcPr>
          <w:p>
            <w:r>
              <w:t>weak</w:t>
            </w:r>
          </w:p>
        </w:tc>
      </w:tr>
      <w:tr>
        <w:tc>
          <w:tcPr>
            <w:tcW w:type="dxa" w:w="2160"/>
          </w:tcPr>
          <w:p>
            <w:r>
              <w:t>إدارة مشروع معقد متعدد المسارات مع حوكمة ونموذج اعتماد المخرجات (D-4, D-5) وميثاق المشروع خلال 12 شهراً — HR-L1-002, HR-L1-033, HR-L1-034</w:t>
            </w:r>
          </w:p>
        </w:tc>
        <w:tc>
          <w:tcPr>
            <w:tcW w:type="dxa" w:w="2160"/>
          </w:tcPr>
          <w:p>
            <w:r>
              <w:t>تصميم منهجي: نموذج حوكمة مشاريع من 4 طبقات: (1) لجنة توجيهية مشتركة مع المركز تجتمع شهرياً لاعتماد المخرجات الرئيسية؛ (2) بوابات اعتماد بين المراحل (Phase Gates) — لا ينتقل المشروع للمرحلة التالية إلا بعد اعتماد مخرجات المرحلة الحالية رسمياً؛ (3) تقارير تقدم نصف شهرية تتضمن نسبة الإنجاز والمخاطر والإجراءات التصحيحية؛ (4) آلية تصعيد من 3 مستويات. ميثاق المشروع (D-5) يحدد الأدوار والمسؤوليات ومعايير القبول لكل مخرج من المخرجات الـ 23. نموذج اعتماد المخرجات (D-4) يحدد دورة المراجعة والتعديل والاعتماد النهائي. كيف يدعم [EXT-002]: DMAIC يُطبق كإطار لإدارة الجودة عبر المراحل — نظير دولي. ما يجب أن يوفره Engine 2: نماذج حوكمة ومواثيق مشاريع من مشاريع سابقة لـ SG، مع أمثلة على إدارة مشاريع بـ 20+ مخرجاً.</w:t>
            </w:r>
          </w:p>
        </w:tc>
        <w:tc>
          <w:tcPr>
            <w:tcW w:type="dxa" w:w="2160"/>
          </w:tcPr>
          <w:p>
            <w:r>
              <w:t>EXT-002</w:t>
            </w:r>
          </w:p>
        </w:tc>
        <w:tc>
          <w:tcPr>
            <w:tcW w:type="dxa" w:w="2160"/>
          </w:tcPr>
          <w:p>
            <w:r>
              <w:t>weak</w:t>
            </w:r>
          </w:p>
        </w:tc>
      </w:tr>
      <w:tr>
        <w:tc>
          <w:tcPr>
            <w:tcW w:type="dxa" w:w="2160"/>
          </w:tcPr>
          <w:p>
            <w:r>
              <w:t>تحليل الاحتياجات التنموية حسب القطاعات والأنشطة ذات الأولوية وربطها بالمنتجات والخدمات المبتكرة المقترحة (D-15, D-16, D-17) — HR-L1-045, HR-L1-046, HR-L1-047</w:t>
            </w:r>
          </w:p>
        </w:tc>
        <w:tc>
          <w:tcPr>
            <w:tcW w:type="dxa" w:w="2160"/>
          </w:tcPr>
          <w:p>
            <w:r>
              <w:t>تصميم منهجي: منهجية تحليل احتياجات مبنية على إطار CNA [EXT-006] المكيّف للسياق السعودي. التحليل يعمل على 3 محاور متوازية: (1) تحليل الاحتياجات التنموية الفعلية لكل قطاع باستخدام بيانات كمية ونوعية؛ (2) تحليل الفجوة بين الاحتياجات المحددة والمنتجات/الخدمات القائمة (من مخرجات D-9 وD-10)؛ (3) ربط كل احتياج بمنتج/خدمة مبتكرة مقترحة مع تقييم الجدوى والأثر المتوقع عبر مصفوفة احتياج-تدخل-جدوى-أثر. منهجية ANP [EXT-010] تُستخدم لترتيب أولويات الاحتياجات وفق معايير متعددة (الإلحاح، الأثر التنموي، الجدوى التشغيلية، التوافق مع رؤية 2030). كيف يدعم [EXT-006]: إطار CNA يوفر هيكلاً منظماً لتحديد الاحتياجات المجتمعية وترتيبها — نظير دولي. ما يجب أن يوفره Engine 2: أمثلة على مشاريع تحليل احتياجات قطاعية نفذتها SG.</w:t>
            </w:r>
          </w:p>
        </w:tc>
        <w:tc>
          <w:tcPr>
            <w:tcW w:type="dxa" w:w="2160"/>
          </w:tcPr>
          <w:p>
            <w:r>
              <w:t>EXT-006, EXT-010</w:t>
            </w:r>
          </w:p>
        </w:tc>
        <w:tc>
          <w:tcPr>
            <w:tcW w:type="dxa" w:w="2160"/>
          </w:tcPr>
          <w:p>
            <w:r>
              <w:t>moderate</w:t>
            </w:r>
          </w:p>
        </w:tc>
      </w:tr>
      <w:tr>
        <w:tc>
          <w:tcPr>
            <w:tcW w:type="dxa" w:w="2160"/>
          </w:tcPr>
          <w:p>
            <w:r>
              <w:t>تحديد قائمة خبراء السوق المحليين والدوليين حسب القطاع والنشاط (D-2) — HR-L1-031</w:t>
            </w:r>
          </w:p>
        </w:tc>
        <w:tc>
          <w:tcPr>
            <w:tcW w:type="dxa" w:w="2160"/>
          </w:tcPr>
          <w:p>
            <w:r>
              <w:t>تصميم منهجي: منهجية تحديد وتأهيل الخبراء تعتمد على 3 مسارات: (1) خبراء محليون — تحديد الخبراء السعوديين في كل قطاع عبر معايير تأهيل واضحة (الخبرة القطاعية، المنشورات، المشاريع السابقة)؛ (2) خبراء دوليون — تحديد الخبراء في الدول الخمس المستهدفة عبر الشبكات الأكاديمية والمهنية الدولية؛ (3) خبراء متخصصون — في مجالات محددة مثل الوقف الإسلامي، منصات التبرع الرقمية، قياس الأثر الاجتماعي. حزمة أدوات المشاركة [EXT-004] تدعم تصميم آلية إشراك الخبراء في مراحل الدراسة المختلفة — نظير دولي. فجوة: لا يتوفر إطار مرجعي داخلي لكيفية اختيار وتأهيل الخبراء. ما يجب أن يوفره Engine 2: قائمة شبكة خبراء SG الحالية مصنفة حسب القطاع والجغرافيا، وأمثلة على مشاريع استعانت فيها SG بخبراء خارجيين.</w:t>
            </w:r>
          </w:p>
        </w:tc>
        <w:tc>
          <w:tcPr>
            <w:tcW w:type="dxa" w:w="2160"/>
          </w:tcPr>
          <w:p>
            <w:r>
              <w:t>EXT-004</w:t>
            </w:r>
          </w:p>
        </w:tc>
        <w:tc>
          <w:tcPr>
            <w:tcW w:type="dxa" w:w="2160"/>
          </w:tcPr>
          <w:p>
            <w:r>
              <w:t>weak</w:t>
            </w:r>
          </w:p>
        </w:tc>
      </w:tr>
    </w:tbl>
    <w:p>
      <w:pPr>
        <w:pStyle w:val="Heading2"/>
      </w:pPr>
      <w:r>
        <w:t>3.2 Proposed Team &amp; Staffing Recommendations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Role</w:t>
            </w:r>
          </w:p>
        </w:tc>
        <w:tc>
          <w:tcPr>
            <w:tcW w:type="dxa" w:w="1440"/>
          </w:tcPr>
          <w:p>
            <w:r>
              <w:t>Status</w:t>
            </w:r>
          </w:p>
        </w:tc>
        <w:tc>
          <w:tcPr>
            <w:tcW w:type="dxa" w:w="1440"/>
          </w:tcPr>
          <w:p>
            <w:r>
              <w:t>Relevance / Justification</w:t>
            </w:r>
          </w:p>
        </w:tc>
        <w:tc>
          <w:tcPr>
            <w:tcW w:type="dxa" w:w="1440"/>
          </w:tcPr>
          <w:p>
            <w:r>
              <w:t>Source</w:t>
            </w:r>
          </w:p>
        </w:tc>
        <w:tc>
          <w:tcPr>
            <w:tcW w:type="dxa" w:w="1440"/>
          </w:tcPr>
          <w:p>
            <w:r>
              <w:t>Confidence</w:t>
            </w:r>
          </w:p>
        </w:tc>
      </w:tr>
      <w:tr>
        <w:tc>
          <w:tcPr>
            <w:tcW w:type="dxa" w:w="1440"/>
          </w:tcPr>
          <w:p>
            <w:r>
              <w:t>(Open)</w:t>
            </w:r>
          </w:p>
        </w:tc>
        <w:tc>
          <w:tcPr>
            <w:tcW w:type="dxa" w:w="1440"/>
          </w:tcPr>
          <w:p>
            <w:r>
              <w:t>مدير المشروع / قائد الفريق (Project Director)</w:t>
            </w:r>
          </w:p>
        </w:tc>
        <w:tc>
          <w:tcPr>
            <w:tcW w:type="dxa" w:w="1440"/>
          </w:tcPr>
          <w:p>
            <w:r>
              <w:t>Open Role Profile</w:t>
            </w:r>
          </w:p>
        </w:tc>
        <w:tc>
          <w:tcPr>
            <w:tcW w:type="dxa" w:w="1440"/>
          </w:tcPr>
          <w:p>
            <w:r>
              <w:t>يقود التوجيه الاستراتيجي للدراسة ويدير العلاقة مع المركز الوطني لتنمية القطاع غير الربحي. يرأس اللجنة التوجيهية المشتركة ويتحمل المسؤولية النهائية عن جودة واكتمال المخرجات الـ 23 ضمن 12 شهراً (HR-L1-002). يقود بوابات الاعتماد بين المراحل ويضمن اجتياز بوابة التقييم الفني (HR-L1-001). مسؤولية المخرجات الرئيسية: D-4 (نموذج الحوكمة)، D-5 (ميثاق المشروع)، D-14 (الملخص التنفيذي والتوصيات لكل مرحلة). يشرف على جميع المخرجات الأخرى كمراجع نهائي. الانتشار الزمني: دوام كامل طوال مدة المشروع (12 شهراً) مع كثافة أعلى في المرحلة 1 (التأسيس) والمرحلة 5 (التقارير النهائية).</w:t>
              <w:br/>
              <w:t>لا يتوفر مرشح مسمى في قاعدة بيانات الفريق (knowledge_graph.people فارغة). Engine 2 يسترجع ملف مدير مشروع من قاعدة بيانات الموارد البشرية لـ SG يستوفي المتطلبات المحددة. أولوية الاختيار: خبرة سابقة مع جهات القطاع غير الربحي أو الجهات الحكومية المشرفة عليه (المركز الوطني، وزارة الموارد البشرية، الهيئة العامة للأوقاف). Engine 2 يوفر: سيرة ذاتية كاملة بالعربية، شهادات أكاديمية ومهنية، قائمة مشاريع سابقة ذات صلة، خطابات مرجعية.</w:t>
            </w:r>
          </w:p>
        </w:tc>
        <w:tc>
          <w:tcPr>
            <w:tcW w:type="dxa" w:w="1440"/>
          </w:tcPr>
          <w:p>
            <w:r>
              <w:t>open_role_requirement</w:t>
            </w:r>
          </w:p>
        </w:tc>
        <w:tc>
          <w:tcPr>
            <w:tcW w:type="dxa" w:w="1440"/>
          </w:tcPr>
          <w:p>
            <w:r>
              <w:t>low</w:t>
            </w:r>
          </w:p>
        </w:tc>
      </w:tr>
      <w:tr>
        <w:tc>
          <w:tcPr>
            <w:tcW w:type="dxa" w:w="1440"/>
          </w:tcPr>
          <w:p>
            <w:r>
              <w:t>(Open)</w:t>
            </w:r>
          </w:p>
        </w:tc>
        <w:tc>
          <w:tcPr>
            <w:tcW w:type="dxa" w:w="1440"/>
          </w:tcPr>
          <w:p>
            <w:r>
              <w:t>خبير القطاع غير الربحي والتنمية الاجتماعية (Nonprofit Sector Expert)</w:t>
            </w:r>
          </w:p>
        </w:tc>
        <w:tc>
          <w:tcPr>
            <w:tcW w:type="dxa" w:w="1440"/>
          </w:tcPr>
          <w:p>
            <w:r>
              <w:t>Open Role Profile</w:t>
            </w:r>
          </w:p>
        </w:tc>
        <w:tc>
          <w:tcPr>
            <w:tcW w:type="dxa" w:w="1440"/>
          </w:tcPr>
          <w:p>
            <w:r>
              <w:t>الخبير الموضوعي المسؤول عن المحتوى الفني للدراسة. يقود عمليات الحصر والتصنيف القطاعي (D-6, D-9, D-10)، يشرف على تصميم بطاقات المنتجات والخدمات (D-21)، ويقود تحليل الاحتياجات التنموية (D-16, D-17). مسؤولية المخرجات الرئيسية: D-6 (دراسة القطاعات والتصنيفات)، D-9 (الوضع الراهن)، D-10 (تحليل المنتجات/الخدمات)، D-13 (القائمة النهائية للمنتجات المبتكرة)، D-16 (تحليل الاحتياجات)، D-17 (ربط المنتجات بالاحتياجات)، D-21 (بطاقات المنتجات). الانتشار الزمني: دوام كامل في المراحل 2-4 (أشهر 3-10)، دوام جزئي في المرحلتين 1 و5.</w:t>
              <w:br/>
              <w:t>لا يتوفر مرشح مسمى في قاعدة بيانات الفريق. Engine 2 يسترجع ملف خبير قطاعي من قاعدة بيانات الموارد البشرية لـ SG أو يتعاقد مع خبير خارجي متخصص. أولوية الاختيار: خبرة عملية مباشرة في القطاع غير الربحي السعودي مع سجل منشورات أو مشاريع موثقة. يُفضل من عمل سابقاً مع المركز الوطني أو وزارة الموارد البشرية أو الهيئة العامة للأوقاف. Engine 2 يوفر: سيرة ذاتية، شهادات، قائمة مشاريع في القطاع غير الربحي، منشورات أو أبحاث ذات صلة.</w:t>
            </w:r>
          </w:p>
        </w:tc>
        <w:tc>
          <w:tcPr>
            <w:tcW w:type="dxa" w:w="1440"/>
          </w:tcPr>
          <w:p>
            <w:r>
              <w:t>open_role_requirement</w:t>
            </w:r>
          </w:p>
        </w:tc>
        <w:tc>
          <w:tcPr>
            <w:tcW w:type="dxa" w:w="1440"/>
          </w:tcPr>
          <w:p>
            <w:r>
              <w:t>low</w:t>
            </w:r>
          </w:p>
        </w:tc>
      </w:tr>
      <w:tr>
        <w:tc>
          <w:tcPr>
            <w:tcW w:type="dxa" w:w="1440"/>
          </w:tcPr>
          <w:p>
            <w:r>
              <w:t>(Open)</w:t>
            </w:r>
          </w:p>
        </w:tc>
        <w:tc>
          <w:tcPr>
            <w:tcW w:type="dxa" w:w="1440"/>
          </w:tcPr>
          <w:p>
            <w:r>
              <w:t>خبير المقارنات المعيارية الدولية (International Benchmarking Expert)</w:t>
            </w:r>
          </w:p>
        </w:tc>
        <w:tc>
          <w:tcPr>
            <w:tcW w:type="dxa" w:w="1440"/>
          </w:tcPr>
          <w:p>
            <w:r>
              <w:t>Open Role Profile</w:t>
            </w:r>
          </w:p>
        </w:tc>
        <w:tc>
          <w:tcPr>
            <w:tcW w:type="dxa" w:w="1440"/>
          </w:tcPr>
          <w:p>
            <w:r>
              <w:t>يقود المقارنات المعيارية الدولية لـ 5 دول على الأقل (D-7, D-12 — HR-L1-036, HR-L1-042). يقود البحث المكتبي والميداني في الدول المختارة (الولايات المتحدة، أستراليا، إندونيسيا، المملكة المتحدة، ماليزيا أو تركيا)، ويعد تحليلاً مقارناً منظماً يربط الممارسات الدولية بالسياق السعودي. مسؤولية المخرجات الرئيسية: D-7 (وثيقة الممارسات الدولية الرائدة)، D-12 (وثيقة الممارسات المحلية والدولية المتعلقة بالمنتجات والخدمات). الانتشار الزمني: دوام جزئي مركز في المرحلتين 2 و3 (أشهر 3-8 تقريباً) لتحسين هيكل التكلفة وفق استراتيجية أقل سعر بعد الاجتياز الفني.</w:t>
              <w:br/>
              <w:t>لا يتوفر مرشح مسمى في قاعدة بيانات الفريق. Engine 2 يسترجع ملف خبير دولي من شبكة خبراء SG أو يتعاقد مع أكاديمي/باحث متخصص. دوام جزئي مركز في المرحلتين 2 و3 لتحسين هيكل التكلفة. Engine 2 يوفر: سيرة ذاتية، منشورات أكاديمية في مجال القطاع غير الربحي الدولي، قائمة مشاريع مقارنات معيارية سابقة.</w:t>
            </w:r>
          </w:p>
        </w:tc>
        <w:tc>
          <w:tcPr>
            <w:tcW w:type="dxa" w:w="1440"/>
          </w:tcPr>
          <w:p>
            <w:r>
              <w:t>open_role_requirement</w:t>
            </w:r>
          </w:p>
        </w:tc>
        <w:tc>
          <w:tcPr>
            <w:tcW w:type="dxa" w:w="1440"/>
          </w:tcPr>
          <w:p>
            <w:r>
              <w:t>low</w:t>
            </w:r>
          </w:p>
        </w:tc>
      </w:tr>
      <w:tr>
        <w:tc>
          <w:tcPr>
            <w:tcW w:type="dxa" w:w="1440"/>
          </w:tcPr>
          <w:p>
            <w:r>
              <w:t>(Open)</w:t>
            </w:r>
          </w:p>
        </w:tc>
        <w:tc>
          <w:tcPr>
            <w:tcW w:type="dxa" w:w="1440"/>
          </w:tcPr>
          <w:p>
            <w:r>
              <w:t>محلل أول / باحث رئيسي (Senior Analyst / Lead Researcher)</w:t>
            </w:r>
          </w:p>
        </w:tc>
        <w:tc>
          <w:tcPr>
            <w:tcW w:type="dxa" w:w="1440"/>
          </w:tcPr>
          <w:p>
            <w:r>
              <w:t>Open Role Profile</w:t>
            </w:r>
          </w:p>
        </w:tc>
        <w:tc>
          <w:tcPr>
            <w:tcW w:type="dxa" w:w="1440"/>
          </w:tcPr>
          <w:p>
            <w:r>
              <w:t>ينفذ عمليات الحصر الميداني والمكتبي للمنتجات والخدمات القائمة، يعد قواعد البيانات التحليلية وينظفها، يحلل البيانات الكمية والنوعية، ويعد المسودات الأولى للمخرجات. مسؤولية المخرجات (كمنفذ رئيسي): D-1 (مسودة المنهجية)، D-3 (خطة العمل التنفيذية)، D-8 (خريطة أصحاب المصلحة)، D-9 (وثيقة الوضع الراهن)، D-11 (نتائج ورش العمل)، D-15 (منهجية التحليل المقترحة). الانتشار الزمني: دوام كامل طوال مدة المشروع (12 شهراً) مع كثافة أعلى في المراحل 2 و3.</w:t>
              <w:br/>
              <w:t>لا يتوفر مرشح مسمى في قاعدة بيانات الفريق. Engine 2 يسترجع ملف محلل أول من قاعدة بيانات الموارد البشرية لـ SG. هذا الدور يمكن شغله من الفريق الداخلي لـ SG نظراً لطبيعته التحليلية. أولوية الاختيار: خبرة سابقة في مشاريع حصر وتصنيف قطاعي في السعودية، وإجادة العربية في الكتابة التحليلية. Engine 2 يوفر: سيرة ذاتية، شهادات، أمثلة على تقارير تحليلية سابقة.</w:t>
            </w:r>
          </w:p>
        </w:tc>
        <w:tc>
          <w:tcPr>
            <w:tcW w:type="dxa" w:w="1440"/>
          </w:tcPr>
          <w:p>
            <w:r>
              <w:t>open_role_requirement</w:t>
            </w:r>
          </w:p>
        </w:tc>
        <w:tc>
          <w:tcPr>
            <w:tcW w:type="dxa" w:w="1440"/>
          </w:tcPr>
          <w:p>
            <w:r>
              <w:t>low</w:t>
            </w:r>
          </w:p>
        </w:tc>
      </w:tr>
      <w:tr>
        <w:tc>
          <w:tcPr>
            <w:tcW w:type="dxa" w:w="1440"/>
          </w:tcPr>
          <w:p>
            <w:r>
              <w:t>(Open)</w:t>
            </w:r>
          </w:p>
        </w:tc>
        <w:tc>
          <w:tcPr>
            <w:tcW w:type="dxa" w:w="1440"/>
          </w:tcPr>
          <w:p>
            <w:r>
              <w:t>خبير قياس الأثر والاستدامة (Impact Measurement &amp; Sustainability Expert)</w:t>
            </w:r>
          </w:p>
        </w:tc>
        <w:tc>
          <w:tcPr>
            <w:tcW w:type="dxa" w:w="1440"/>
          </w:tcPr>
          <w:p>
            <w:r>
              <w:t>Open Role Profile</w:t>
            </w:r>
          </w:p>
        </w:tc>
        <w:tc>
          <w:tcPr>
            <w:tcW w:type="dxa" w:w="1440"/>
          </w:tcPr>
          <w:p>
            <w:r>
              <w:t>يصمم منهجية قياس الأثر والاستدامة (D-22 — HR-L1-051) ويعد قائمة المؤشرات (D-23 — HR-L1-052) المرتبطة بأهداف رؤية 2030. يقود المرحلة 5 بالكامل ويدعم المرحلة 4 في تضمين مؤشرات الأثر في بطاقات المنتجات (D-21). مسؤولية المخرجات الرئيسية: D-22 (منهجية قياس الأثر والاستدامة)، D-23 (قائمة المؤشرات). الانتشار الزمني: دوام جزئي مركز في المرحلتين 4 و5 (أشهر 8-12 تقريباً) لتحسين هيكل التكلفة.</w:t>
              <w:br/>
              <w:t>لا يتوفر مرشح مسمى في قاعدة بيانات الفريق. Engine 2 يسترجع ملف خبير قياس أثر من شبكة خبراء SG أو يتعاقد مع متخصص. دوام جزئي مركز في المرحلتين 4 و5 لتحسين هيكل التكلفة. المصادر الخارجية [EXT-009] و[EXT-006] تدعم تصميم إطار القياس كنظائر دولية — وليس إثباتاً لقدرة SG. Engine 2 يوفر: سيرة ذاتية، شهادة SROI أو ما يعادلها، أمثلة على أطر قياس أثر صممها سابقاً.</w:t>
            </w:r>
          </w:p>
        </w:tc>
        <w:tc>
          <w:tcPr>
            <w:tcW w:type="dxa" w:w="1440"/>
          </w:tcPr>
          <w:p>
            <w:r>
              <w:t>open_role_requirement</w:t>
            </w:r>
          </w:p>
        </w:tc>
        <w:tc>
          <w:tcPr>
            <w:tcW w:type="dxa" w:w="1440"/>
          </w:tcPr>
          <w:p>
            <w:r>
              <w:t>low</w:t>
            </w:r>
          </w:p>
        </w:tc>
      </w:tr>
      <w:tr>
        <w:tc>
          <w:tcPr>
            <w:tcW w:type="dxa" w:w="1440"/>
          </w:tcPr>
          <w:p>
            <w:r>
              <w:t>(Open)</w:t>
            </w:r>
          </w:p>
        </w:tc>
        <w:tc>
          <w:tcPr>
            <w:tcW w:type="dxa" w:w="1440"/>
          </w:tcPr>
          <w:p>
            <w:r>
              <w:t>مسؤول التدريب وبناء القدرات (Training &amp; Capacity Building Lead)</w:t>
            </w:r>
          </w:p>
        </w:tc>
        <w:tc>
          <w:tcPr>
            <w:tcW w:type="dxa" w:w="1440"/>
          </w:tcPr>
          <w:p>
            <w:r>
              <w:t>Open Role Profile</w:t>
            </w:r>
          </w:p>
        </w:tc>
        <w:tc>
          <w:tcPr>
            <w:tcW w:type="dxa" w:w="1440"/>
          </w:tcPr>
          <w:p>
            <w:r>
              <w:t>يصمم وينفذ برنامج نقل المعرفة وبناء قدرات فريق المركز (SI-8) عبر جميع مراحل المشروع الخمس. يصمم ورش العمل التطبيقية المصاحبة لكل مرحلة، يعد أدوات ونماذج عمل قابلة لإعادة الاستخدام، ويقود جلسات التدريب. مسؤولية المخرجات: مكون التدريب في كل مرحلة (SI-8)، أدوات ونماذج العمل القابلة لإعادة الاستخدام. الانتشار الزمني: دوام جزئي عبر جميع المراحل (12 شهراً) مع كثافة أعلى في نهاية كل مرحلة عند تسليم المخرجات. خيار تحسين التكلفة: يمكن دمج هذا الدور مع دور المحلل الأول إذا كان المرشح يمتلك مهارات تدريبية موثقة.</w:t>
              <w:br/>
              <w:t>لا يتوفر مرشح مسمى في قاعدة بيانات الفريق. Engine 2 يسترجع ملف مسؤول تدريب من قاعدة بيانات الموارد البشرية لـ SG. خيار بديل: دمج هذا الدور مع دور المحلل الأول إذا توفر مرشح يجمع بين المهارات التحليلية والتدريبية — مما يحسن هيكل التكلفة. Engine 2 يوفر: سيرة ذاتية، شهادة TOT، أمثلة على برامج تدريب صممها ونفذها سابقاً مع جهات حكومية.</w:t>
            </w:r>
          </w:p>
        </w:tc>
        <w:tc>
          <w:tcPr>
            <w:tcW w:type="dxa" w:w="1440"/>
          </w:tcPr>
          <w:p>
            <w:r>
              <w:t>open_role_requirement</w:t>
            </w:r>
          </w:p>
        </w:tc>
        <w:tc>
          <w:tcPr>
            <w:tcW w:type="dxa" w:w="1440"/>
          </w:tcPr>
          <w:p>
            <w:r>
              <w:t>low</w:t>
            </w:r>
          </w:p>
        </w:tc>
      </w:tr>
      <w:tr>
        <w:tc>
          <w:tcPr>
            <w:tcW w:type="dxa" w:w="1440"/>
          </w:tcPr>
          <w:p>
            <w:r>
              <w:t>(Open)</w:t>
            </w:r>
          </w:p>
        </w:tc>
        <w:tc>
          <w:tcPr>
            <w:tcW w:type="dxa" w:w="1440"/>
          </w:tcPr>
          <w:p>
            <w:r>
              <w:t>محلل مبتدئ / باحث ميداني (Junior Analyst / Field Researcher)</w:t>
            </w:r>
          </w:p>
        </w:tc>
        <w:tc>
          <w:tcPr>
            <w:tcW w:type="dxa" w:w="1440"/>
          </w:tcPr>
          <w:p>
            <w:r>
              <w:t>Open Role Profile</w:t>
            </w:r>
          </w:p>
        </w:tc>
        <w:tc>
          <w:tcPr>
            <w:tcW w:type="dxa" w:w="1440"/>
          </w:tcPr>
          <w:p>
            <w:r>
              <w:t>يدعم عمليات جمع البيانات الميدانية والمكتبية في المرحلتين 2 و3: حصر المنتجات والخدمات القائمة من مصادر متعددة، إعداد قواعد البيانات وتنظيفها، تنظيم ورش العمل لوجستياً، توثيق نتائج المقابلات والمجموعات البؤرية، وإعداد الملاحق والمرفقات. مسؤولية المخرجات (كمنفذ مساعد): D-2 (قائمة الخبراء — جمع البيانات)، D-8 (خريطة أصحاب المصلحة — جمع البيانات)، D-9 (الوضع الراهن — جمع البيانات)، D-11 (ورش العمل — الدعم اللوجستي والتوثيق). الانتشار الزمني: دوام كامل في المراحل 2 و3 (أشهر 3-8)، دوام جزئي في المراحل الأخرى. يمكن تعيين أكثر من محلل مبتدئ حسب حجم العمل الميداني.</w:t>
              <w:br/>
              <w:t>لا يتوفر مرشح مسمى في قاعدة بيانات الفريق. Engine 2 يسترجع ملف محلل مبتدئ من قاعدة بيانات الموارد البشرية لـ SG. هذا الدور أساسي لتحسين هيكل التكلفة وفق الاستراتيجية التنافسية (فريق هرمي: خبراء في المراحل الحرجة + محللون في مهام الحصر وجمع البيانات). Engine 2 يوفر: سيرة ذاتية، إثبات إجادة العربية والإنجليزية، أمثلة على مهام بحثية سابقة.</w:t>
            </w:r>
          </w:p>
        </w:tc>
        <w:tc>
          <w:tcPr>
            <w:tcW w:type="dxa" w:w="1440"/>
          </w:tcPr>
          <w:p>
            <w:r>
              <w:t>open_role_requirement</w:t>
            </w:r>
          </w:p>
        </w:tc>
        <w:tc>
          <w:tcPr>
            <w:tcW w:type="dxa" w:w="1440"/>
          </w:tcPr>
          <w:p>
            <w:r>
              <w:t>low</w:t>
            </w:r>
          </w:p>
        </w:tc>
      </w:tr>
      <w:tr>
        <w:tc>
          <w:tcPr>
            <w:tcW w:type="dxa" w:w="1440"/>
          </w:tcPr>
          <w:p>
            <w:r>
              <w:t>(Open)</w:t>
            </w:r>
          </w:p>
        </w:tc>
        <w:tc>
          <w:tcPr>
            <w:tcW w:type="dxa" w:w="1440"/>
          </w:tcPr>
          <w:p>
            <w:r>
              <w:t>ملحق 2 — الأدوار الإضافية حسب جدول مواصفات فريق العمل (Annex 2 Compliance Roles)</w:t>
            </w:r>
          </w:p>
        </w:tc>
        <w:tc>
          <w:tcPr>
            <w:tcW w:type="dxa" w:w="1440"/>
          </w:tcPr>
          <w:p>
            <w:r>
              <w:t>Open Role Profile</w:t>
            </w:r>
          </w:p>
        </w:tc>
        <w:tc>
          <w:tcPr>
            <w:tcW w:type="dxa" w:w="1440"/>
          </w:tcPr>
          <w:p>
            <w:r>
              <w:t>ملحق 2 من كراسة الشروط يتضمن جدول مواصفات فريق العمل التفصيلي الذي يحدد المسميات الوظيفية والمؤهلات والخبرات المطلوبة لكل دور (HR-L1-018). النص المستخرج من RFP لا يتضمن صفوف الجدول التفصيلية — فجوة حرجة تمنع التحقق من امتثال الفريق المقترح. الأدوار السبعة المحددة أعلاه مبنية على تحليل نطاق العمل والمخرجات الـ 23 المطلوبة، لكن قد لا تتطابق تماماً مع متطلبات ملحق 2. مصفوفة الامتثال المؤقتة لملحق 2: الدور المقترح | التعليم | الشهادات | الخبرة | الفجوة | إجراء Engine 2 — جميع الحقول معلقة بانتظار استرجاع ملحق 2 الكامل.</w:t>
              <w:br/>
              <w:t>فجوة حرجة: جدول مواصفات فريق العمل في ملحق 2 غير متوفر في النص المستخرج. Engine 2 يسترجع ملحق 2 كاملاً من كراسة الشروط الأصلية ويقوم بـ: (1) مطابقة كل دور مطلوب في الملحق مع الأدوار المقترحة أعلاه، (2) تحديد أي أدوار إضافية مطلوبة لم تُغطَّ، (3) التحقق من أن المؤهلات والخبرات المقترحة تستوفي الحد الأدنى المطلوب في الملحق، (4) تعديل ملفات الأدوار المفتوحة وفقاً لذلك. عدم الامتثال لملحق 2 قد يؤدي للرسوب في بوابة التقييم الفني.</w:t>
            </w:r>
          </w:p>
        </w:tc>
        <w:tc>
          <w:tcPr>
            <w:tcW w:type="dxa" w:w="1440"/>
          </w:tcPr>
          <w:p>
            <w:r>
              <w:t>open_role_requirement</w:t>
            </w:r>
          </w:p>
        </w:tc>
        <w:tc>
          <w:tcPr>
            <w:tcW w:type="dxa" w:w="1440"/>
          </w:tcPr>
          <w:p>
            <w:r>
              <w:t>low</w:t>
            </w:r>
          </w:p>
        </w:tc>
      </w:tr>
    </w:tbl>
    <w:p>
      <w:pPr>
        <w:pStyle w:val="Heading2"/>
      </w:pPr>
      <w:r>
        <w:t>3.4 Certifications &amp; Compliance</w:t>
      </w:r>
    </w:p>
    <w:p>
      <w:pPr>
        <w:pStyle w:val="ListBullet"/>
      </w:pPr>
      <w:r>
        <w:t>[ملخص فجوات الخبرة المشروعية — مطلوب من Engine 2] لا تتوفر في قاعدة البيانات المرجعية سوى مشروع واحد (PRJ-001). لتقديم عرض تنافسي يجتاز بوابة التقييم الفني، يلزم استرجاع المشاريع التالية حسب الأولوية: (أ) أولوية حرجة: 1-2 مشاريع دراسات قطاعية شاملة في السعودية تتضمن حصراً وتصنيفاً وتحليل احتياجات — تدعم D-6, D-9, D-16؛ (ب) أولوية عالية: 1-2 مشاريع تصميم خدمات أو منتجات لجهات حكومية مع بطاقات تفصيلية — تدعم D-20, D-21؛ (ج) أولوية عالية: 1 مشروع مقارنات معيارية دولية (3+ دول) — يدعم D-7, D-12؛ (د) أولوية متوسطة: 1 مشروع بناء قدرات وتدريب مع جهة حكومية — يدعم SI-8؛ (هـ) أولوية متوسطة: 1 مشروع تصميم أطر قياس أثر — يدعم D-22, D-23.</w:t>
      </w:r>
    </w:p>
    <w:p>
      <w:pPr>
        <w:pStyle w:val="ListBullet"/>
      </w:pPr>
      <w:r>
        <w:t>[ENGINE 2 REQUIRED — أولوية حرجة] تأمين فريق العمل: Engine 2 يسترجع ملفات استشاريين تطابق مواصفات الأدوار المفتوحة الـ 7 المحددة أعلاه (مدير مشروع، خبير قطاع غير ربحي، خبير مقارنات دولية، محلل أول، خبير قياس أثر، مسؤول تدريب، محلل مبتدئ) + أي أدوار إضافية يتطلبها ملحق 2. لكل مرشح: سيرة ذاتية كاملة بالعربية، شهادات أكاديمية ومهنية، قائمة مشاريع سابقة ذات صلة، إثبات إجادة العربية. المصدر: قاعدة بيانات الموارد البشرية / شبكة الخبراء الخارجيين لـ SG. الموعد النهائي: قبل موعد التقديم بـ 10 أيام عمل على الأقل.</w:t>
      </w:r>
    </w:p>
    <w:p>
      <w:pPr>
        <w:pStyle w:val="ListBullet"/>
      </w:pPr>
      <w:r>
        <w:t>[ENGINE 2 REQUIRED — أولوية حرجة] استرجاع ملحق 2 (جدول مواصفات فريق العمل): Engine 2 يسترجع النص الكامل لملحق 2 من كراسة الشروط الأصلية ويطابق كل دور مطلوب فيه مع الأدوار المقترحة في هذا القسم، ويحدد أي فجوات. المصدر: كراسة الشروط الأصلية (PDF). الموعد النهائي: فوري.</w:t>
      </w:r>
    </w:p>
    <w:p>
      <w:pPr>
        <w:pStyle w:val="ListBullet"/>
      </w:pPr>
      <w:r>
        <w:t>[ENGINE 2 REQUIRED — أولوية حرجة] تفاصيل مشروع PRJ-001 'خدمات و منتجات القطاع غير الربحي': Engine 2 يسترجع الملف الكامل بما يشمل: نطاق العمل التفصيلي، المنهجيات المستخدمة، المخرجات المسلمة، النتائج المحققة بالأرقام، مدة المشروع، حجم الفريق، قيمة العقد، خطاب مرجعي أو شهادة إتمام من المركز، نماذج من المخرجات. المصدر: قاعدة بيانات المشاريع / إدارة المشاريع. الموعد النهائي: فوري.</w:t>
      </w:r>
    </w:p>
    <w:p>
      <w:pPr>
        <w:pStyle w:val="ListBullet"/>
      </w:pPr>
      <w:r>
        <w:t>[ENGINE 2 REQUIRED — أولوية عالية] مشاريع إضافية ذات صلة: Engine 2 يسترجع 3-5 مشاريع سابقة لـ SG في المجالات التالية حسب الأولوية: (أ) دراسات قطاعية شاملة في السعودية تتضمن حصراً وتصنيفاً — تدعم D-6, D-9, D-16، (ب) تصميم خدمات أو منتجات لجهات حكومية مع بطاقات تفصيلية — تدعم D-20, D-21، (ج) مشاريع مع جهات القطاع الثالث أو الجهات المشرفة عليه، (د) مشاريع مقارنات معيارية دولية (3+ دول) — تدعم D-7, D-12، (هـ) مشاريع بناء قدرات وتدريب — تدعم SI-8. لكل مشروع: اسم المشروع، العميل، القطاع، المدة، المنهجيات، النتائج بالأرقام، خطاب مرجعي. المصدر: قاعدة بيانات المشاريع. الموعد النهائي: قبل موعد التقديم بـ 7 أيام عمل.</w:t>
      </w:r>
    </w:p>
    <w:p>
      <w:pPr>
        <w:pStyle w:val="ListBullet"/>
      </w:pPr>
      <w:r>
        <w:t>[ENGINE 2 REQUIRED — أولوية حرجة] الشهادات النظامية الإلزامية: Engine 2 يتأكد من سريان جميع الشهادات المطلوبة ويرفقها في العرض: السجل التجاري ساري المفعول (CR-2 / HR-L1-009)، شهادة الزكاة سارية (CR-3 / HR-L1-010)، شهادة الضريبة سارية (CR-4 / HR-L1-011)، شهادة التأمينات الاجتماعية سارية (CR-5 / HR-L1-012)، شهادة الغرفة التجارية سارية (CR-6 / HR-L1-013)، شهادة السعودة/نطاقات سارية (CR-7 / HR-L1-014). المصدر: الإدارة المالية / إدارة الامتثال. الموعد النهائي: قبل موعد التقديم بـ 5 أيام عمل.</w:t>
      </w:r>
    </w:p>
    <w:p>
      <w:pPr>
        <w:pStyle w:val="ListBullet"/>
      </w:pPr>
      <w:r>
        <w:t>[ENGINE 2 REQUIRED — أولوية حرجة] الضمان الابتدائي: Engine 2 يعد الضمان الابتدائي بنسبة 1% من القيمة الإجمالية للعرض (CR-8 / HR-L1-015) ويرفق أصله في ملف العرض المالي عبر منصة اعتماد. المصدر: الإدارة المالية. الموعد النهائي: يوم التقديم.</w:t>
      </w:r>
    </w:p>
    <w:p>
      <w:pPr>
        <w:pStyle w:val="ListBullet"/>
      </w:pPr>
      <w:r>
        <w:t>[ENGINE 2 REQUIRED — أولوية عالية] بحث إضافي لتغطية فجوة المقارنات المعيارية: إجراء بحث إضافي لتغطية دولتين إضافيتين (المملكة المتحدة — نموذج Charity Commission ونظام التصنيف المتقدم؛ وماليزيا أو تركيا — نماذج الوقف الإسلامي المتطور) لاستكمال متطلب الـ 5 دول في المقارنات المعيارية الدولية (D-7, D-12 — HR-L1-036, HR-L1-042). المصدر: فريق البحث / خبراء دوليون. الموعد النهائي: قبل موعد التقديم بـ 10 أيام عمل.</w:t>
      </w:r>
    </w:p>
    <w:p>
      <w:pPr>
        <w:pStyle w:val="ListBullet"/>
      </w:pPr>
      <w:r>
        <w:t>[ENGINE 2 REQUIRED — أولوية متوسطة] بحث إضافي في أطر قياس الأثر الاجتماعي: تعزيز الحزمة البحثية بمصادر متخصصة في أطر قياس الأثر الاجتماعي (SROI, Theory of Change, Logic Model) وتطبيقاتها في القطاع غير الربحي. المصدر: فريق البحث. الموعد النهائي: قبل موعد التقديم بـ 7 أيام عمل.</w:t>
      </w:r>
    </w:p>
    <w:p>
      <w:pPr>
        <w:pStyle w:val="ListBullet"/>
      </w:pPr>
      <w:r>
        <w:t>[ENGINE 2 REQUIRED — أولوية متوسطة] نماذج عمل سابقة: Engine 2 يسترجع نماذج من مخرجات مشاريع سابقة مماثلة: (أ) بطاقات منتجات/خدمات تفصيلية، (ب) حزم تحفيزية، (ج) نماذج حوكمة مشاريع ومواثيق مشاريع، (د) أدوات قياس أثر ومؤشرات أداء، (هـ) مواد تدريبية وأدوات نقل معرفة. المصدر: أرشيف المشاريع. الموعد النهائي: قبل موعد التقديم بـ 5 أيام عمل.</w:t>
      </w:r>
    </w:p>
    <w:p>
      <w:pPr>
        <w:pStyle w:val="ListBullet"/>
      </w:pPr>
      <w:r>
        <w:t>[ENGINE 2 REQUIRED — أولوية متوسطة] بيانات محلية سعودية عن القطاع غير الربحي: استرجاع أو البحث عن بيانات محلية محدثة: عدد المنظمات غير الربحية المسجلة، حجم التمويل السنوي، توزيع المنظمات حسب النشاط والمنطقة، أنماط الخدمات القائمة، بيانات منصة إحسان. المصدر: المركز الوطني / الهيئة العامة للإحصاء / تقارير القطاع المنشورة. الموعد النهائي: قبل موعد التقديم بـ 7 أيام عمل.</w:t>
      </w:r>
    </w:p>
    <w:p>
      <w:pPr>
        <w:pStyle w:val="ListBullet"/>
      </w:pPr>
      <w:r>
        <w:t>[فجوة أدلة — مطلوب من Engine 2] شهادات ISO: استرجاع شهادات ISO 9001 (إدارة الجودة) وISO 27001 (أمن المعلومات) إن وُجدت. المصدر: إدارة الجودة والامتثال.</w:t>
      </w:r>
    </w:p>
    <w:p>
      <w:pPr>
        <w:pStyle w:val="ListBullet"/>
      </w:pPr>
      <w:r>
        <w:t>[فجوة أدلة — مطلوب من Engine 2] الشراكات الأكاديمية: استرجاع وثائق الشراكات الأكاديمية لـ SG (مثل Stanford، George Washington University أو غيرها) إن وُجدت. المصدر: إدارة الشراكات.</w:t>
      </w:r>
    </w:p>
    <w:p>
      <w:pPr>
        <w:pStyle w:val="ListBullet"/>
      </w:pPr>
      <w:r>
        <w:t>[فجوة أدلة — مطلوب من Engine 2] مقاييس الحجم المؤسسي: استرجاع بيانات محدثة عن عدد المشاريع المنجزة، عدد العملاء، عدد القطاعات المخدومة، عدد الاستشاريين. المصدر: إدارة المشاريع / التسويق.</w:t>
      </w:r>
    </w:p>
    <w:p>
      <w:pPr>
        <w:pStyle w:val="ListBullet"/>
      </w:pPr>
      <w:r>
        <w:t>[فجوة أدلة — مطلوب من Engine 2] التصنيفات والجوائز: استرجاع أي تصنيفات صناعية أو جوائز حصلت عليها SG ذات صلة بالاستشارات البحثية أو القطاع العام. المصدر: إدارة التسويق.</w:t>
      </w:r>
    </w:p>
    <w:p>
      <w:pPr>
        <w:pStyle w:val="ListBullet"/>
      </w:pPr>
      <w:r>
        <w:t>[مصفوفة الدور-المخرج المؤقتة] مدير المشروع: D-4 (قائد)، D-5 (قائد)، D-14 (قائد)، جميع المخرجات الأخرى (مراجع نهائي) | خبير القطاع غير الربحي: D-6 (قائد)، D-9 (قائد)، D-10 (قائد)، D-13 (قائد)، D-16 (قائد)، D-17 (قائد)، D-21 (قائد) | خبير المقارنات الدولية: D-7 (قائد)، D-12 (قائد) | المحلل الأول: D-1 (منفذ)، D-2 (منفذ)، D-3 (منفذ)، D-8 (منفذ)، D-9 (منفذ مساعد)، D-11 (منفذ)، D-15 (منفذ) | خبير قياس الأثر: D-22 (قائد)، D-23 (قائد)، D-21 (مساهم — مؤشرات الأثر) | مسؤول التدريب: SI-8 عبر جميع المراحل | المحلل المبتدئ: D-2 (جمع بيانات)، D-8 (جمع بيانات)، D-9 (جمع بيانات)، D-11 (دعم لوجستي وتوثيق) | المخرجات المتبقية: D-18 (خبير القطاع + خبير قياس الأثر)، D-19 (مدير المشروع + خبير القطاع)، D-20 (خبير القطاع + المحلل الأول).</w:t>
      </w:r>
    </w:p>
    <w:p>
      <w:pPr>
        <w:pStyle w:val="ListBullet"/>
      </w:pPr>
      <w:r>
        <w:t>[مخطط انتشار الفريق حسب المرحلة] المرحلة 1 (أشهر 1-2): مدير المشروع (كامل)، المحلل الأول (كامل)، مسؤول التدريب (جزئي) | المرحلة 2 (أشهر 3-5): مدير المشروع (كامل)، خبير القطاع (كامل)، خبير المقارنات الدولية (جزئي مكثف)، المحلل الأول (كامل)، المحلل المبتدئ (كامل)، مسؤول التدريب (جزئي) | المرحلة 3 (أشهر 6-8): مدير المشروع (كامل)، خبير القطاع (كامل)، خبير المقارنات الدولية (جزئي مكثف)، المحلل الأول (كامل)، المحلل المبتدئ (كامل)، مسؤول التدريب (جزئي) | المرحلة 4 (أشهر 9-10): مدير المشروع (كامل)، خبير القطاع (كامل)، خبير قياس الأثر (جزئي مكثف)، المحلل الأول (كامل)، مسؤول التدريب (جزئي) | المرحلة 5 (أشهر 11-12): مدير المشروع (كامل)، خبير قياس الأثر (كامل)، المحلل الأول (جزئي)، مسؤول التدريب (جزئي مكثف).</w:t>
      </w:r>
    </w:p>
    <w:p>
      <w:pPr>
        <w:pStyle w:val="Heading1"/>
      </w:pPr>
      <w:r>
        <w:t>4. External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Source ID</w:t>
            </w:r>
          </w:p>
        </w:tc>
        <w:tc>
          <w:tcPr>
            <w:tcW w:type="dxa" w:w="1728"/>
          </w:tcPr>
          <w:p>
            <w:r>
              <w:t>Title</w:t>
            </w:r>
          </w:p>
        </w:tc>
        <w:tc>
          <w:tcPr>
            <w:tcW w:type="dxa" w:w="1728"/>
          </w:tcPr>
          <w:p>
            <w:r>
              <w:t>Provider / Type / Year</w:t>
            </w:r>
          </w:p>
        </w:tc>
        <w:tc>
          <w:tcPr>
            <w:tcW w:type="dxa" w:w="1728"/>
          </w:tcPr>
          <w:p>
            <w:r>
              <w:t>Evidence Tier</w:t>
            </w:r>
          </w:p>
        </w:tc>
        <w:tc>
          <w:tcPr>
            <w:tcW w:type="dxa" w:w="1728"/>
          </w:tcPr>
          <w:p>
            <w:r>
              <w:t>mapped_rfp_theme</w:t>
            </w:r>
          </w:p>
        </w:tc>
      </w:tr>
      <w:tr>
        <w:tc>
          <w:tcPr>
            <w:tcW w:type="dxa" w:w="1728"/>
          </w:tcPr>
          <w:p>
            <w:r>
              <w:t>EXT-001</w:t>
            </w:r>
          </w:p>
        </w:tc>
        <w:tc>
          <w:tcPr>
            <w:tcW w:type="dxa" w:w="1728"/>
          </w:tcPr>
          <w:p>
            <w:r>
              <w:t>Government Agency Study Methodology and Required Data Information Programs: Implementation Best Practices</w:t>
            </w:r>
          </w:p>
        </w:tc>
        <w:tc>
          <w:tcPr>
            <w:tcW w:type="dxa" w:w="1728"/>
          </w:tcPr>
          <w:p>
            <w:r>
              <w:t>Framework (2024)</w:t>
              <w:br/>
              <w:t>Provider: Perplexity</w:t>
            </w:r>
          </w:p>
        </w:tc>
        <w:tc>
          <w:tcPr>
            <w:tcW w:type="dxa" w:w="1728"/>
          </w:tcPr>
          <w:p>
            <w:r>
              <w:t>Secondary — methodology reference</w:t>
            </w:r>
          </w:p>
        </w:tc>
        <w:tc>
          <w:tcPr>
            <w:tcW w:type="dxa" w:w="1728"/>
          </w:tcPr>
          <w:p>
            <w:r>
              <w:t>study methodology</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https://hdsr.mitpress.mit.edu/pub/605i9bgg</w:t>
            </w:r>
          </w:p>
        </w:tc>
        <w:tc>
          <w:tcPr>
            <w:tcW w:type="dxa" w:w="1728"/>
          </w:tcPr>
          <w:p>
            <w:r>
              <w:t>query_used: how do government agencies implement study methodology, required data information programs</w:t>
            </w:r>
          </w:p>
        </w:tc>
        <w:tc>
          <w:tcPr>
            <w:tcW w:type="dxa" w:w="1728"/>
          </w:tcPr>
          <w:p>
            <w:r>
              <w:t>How to use: Use in Section 2 (Study Methodology) to justify the proposed mixed-methods research design. Cite as international best practice for government-commissioned studies, demonstrating that the proposed methodology aligns with globally recognized standards for data collection, quality assurance, and evidence-based policymaking.</w:t>
              <w:br/>
              <w:t>Key finding: الوكالات الحكومية تطبق مناهج متعددة التخصصات (إحصاء، علم نفس، علم اجتماع، علوم بيانات) لتصميم المسوح وتقليل أخطاء القياس، مع استخدام أدوات مثل الاختبار المعرفي ومجموعات التركيز والمراجعة الخبيرة والتجارب المنقسمة. النهج المختلط (Mixed Methods) هو المعيار الدولي للدراسات الحكومية المعقدة. الاستخدام المنهجي: يدعم تصميم بروتوكول جمع البيانات وضمان الجودة ضمن المرحلة الأولى (D-1)، ويبرر تضمين أدوات متنوعة لجمع البيانات في خطة العمل التنفيذية (D-3). قوة الصلة: مباشرة. المخرجات المستهدفة: D-1, D-3, D-15.</w:t>
            </w:r>
          </w:p>
        </w:tc>
      </w:tr>
      <w:tr>
        <w:tc>
          <w:tcPr>
            <w:tcW w:type="dxa" w:w="1728"/>
          </w:tcPr>
          <w:p>
            <w:r>
              <w:t>EXT-002</w:t>
            </w:r>
          </w:p>
        </w:tc>
        <w:tc>
          <w:tcPr>
            <w:tcW w:type="dxa" w:w="1728"/>
          </w:tcPr>
          <w:p>
            <w:r>
              <w:t>Inventory Quality Products and Services Across Government Programs: Implementation Strategies</w:t>
            </w:r>
          </w:p>
        </w:tc>
        <w:tc>
          <w:tcPr>
            <w:tcW w:type="dxa" w:w="1728"/>
          </w:tcPr>
          <w:p>
            <w:r>
              <w:t>Industry Report (2024)</w:t>
              <w:br/>
              <w:t>Provider: Perplexity</w:t>
            </w:r>
          </w:p>
        </w:tc>
        <w:tc>
          <w:tcPr>
            <w:tcW w:type="dxa" w:w="1728"/>
          </w:tcPr>
          <w:p>
            <w:r>
              <w:t>Primary — industry source</w:t>
            </w:r>
          </w:p>
        </w:tc>
        <w:tc>
          <w:tcPr>
            <w:tcW w:type="dxa" w:w="1728"/>
          </w:tcPr>
          <w:p>
            <w:r>
              <w:t>service design</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https://www.businessofgovernment.org/sites/default/files/Ten%20Actions%20to%20Improve%20Inventory%20Management%20in%20Government.pdf</w:t>
            </w:r>
          </w:p>
        </w:tc>
        <w:tc>
          <w:tcPr>
            <w:tcW w:type="dxa" w:w="1728"/>
          </w:tcPr>
          <w:p>
            <w:r>
              <w:t>query_used: how do government agencies implement Inventory quality products services across programs</w:t>
            </w:r>
          </w:p>
        </w:tc>
        <w:tc>
          <w:tcPr>
            <w:tcW w:type="dxa" w:w="1728"/>
          </w:tcPr>
          <w:p>
            <w:r>
              <w:t>How to use: Use in Section 3 (Inventory of Quality Products and Services) to justify the proposed sector-by-sector inventory methodology. Cite the DMAIC framework and ABC classification as structured tools for cataloguing non-profit sector services across the 5+ priority sectors. Reference the technology-enabled audit trail as a governance best practice.</w:t>
              <w:br/>
              <w:t>Key finding: منهجية DMAIC من Six Sigma تُحسّن عمليات حصر الخدمات من خلال خمس مراحل منظمة (التعريف، القياس، التحليل، التحسين، الضبط) تقلل أوقات الاستجابة وتحسّن جودة التصنيف. نظام تصنيف ABC يتيح تحديد أولويات الخدمات عالية القيمة للتقييم المعمق بدلاً من المعالجة المتساوية لجميع الخدمات. الاستخدام المنهجي: يدعم تصميم إطار الحصر القطاعي (D-6) بنهج تحليلي منظم يتجاوز الحصر الوصفي إلى التقييم النوعي المبني على الأولويات، ويوفر هيكلاً لتحليل المنتجات والخدمات بمزاياها وتحدياتها (D-10). قوة الصلة: مباشرة. المخرجات المستهدفة: D-6, D-9, D-10, D-18.</w:t>
            </w:r>
          </w:p>
        </w:tc>
      </w:tr>
      <w:tr>
        <w:tc>
          <w:tcPr>
            <w:tcW w:type="dxa" w:w="1728"/>
          </w:tcPr>
          <w:p>
            <w:r>
              <w:t>EXT-003</w:t>
            </w:r>
          </w:p>
        </w:tc>
        <w:tc>
          <w:tcPr>
            <w:tcW w:type="dxa" w:w="1728"/>
          </w:tcPr>
          <w:p>
            <w:r>
              <w:t>Industry Classification Standards for Sector/Activity Analysis: NAICS, ISIC, and NACE Implementation by Government Agencies</w:t>
            </w:r>
          </w:p>
        </w:tc>
        <w:tc>
          <w:tcPr>
            <w:tcW w:type="dxa" w:w="1728"/>
          </w:tcPr>
          <w:p>
            <w:r>
              <w:t>Benchmark (2024)</w:t>
              <w:br/>
              <w:t>Provider: Perplexity</w:t>
            </w:r>
          </w:p>
        </w:tc>
        <w:tc>
          <w:tcPr>
            <w:tcW w:type="dxa" w:w="1728"/>
          </w:tcPr>
          <w:p>
            <w:r>
              <w:t>Primary — benchmark data</w:t>
            </w:r>
          </w:p>
        </w:tc>
        <w:tc>
          <w:tcPr>
            <w:tcW w:type="dxa" w:w="1728"/>
          </w:tcPr>
          <w:p>
            <w:r>
              <w:t>institutional framework</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https://www.census.gov/programs-surveys/economic-census/year/2022/guidance/understanding-naics.html</w:t>
            </w:r>
          </w:p>
        </w:tc>
        <w:tc>
          <w:tcPr>
            <w:tcW w:type="dxa" w:w="1728"/>
          </w:tcPr>
          <w:p>
            <w:r>
              <w:t>query_used: how do government agencies implement Study classifications standards relevant sector/activity</w:t>
            </w:r>
          </w:p>
        </w:tc>
        <w:tc>
          <w:tcPr>
            <w:tcW w:type="dxa" w:w="1728"/>
          </w:tcPr>
          <w:p>
            <w:r>
              <w:t>How to use: Use in Section 4 (Classifications and Standards) to establish the international benchmarking framework. Reference NAICS, ISIC, and NACE as the global standards against which Saudi non-profit sector classifications will be assessed. Use the 5-country comparison requirement to map these systems to specific country implementations (e.g., USA, EU, UK, Canada, Australia).</w:t>
              <w:br/>
              <w:t>Key finding: أنظمة التصنيف الدولية الثلاثة (NAICS بالتعاون بين أمريكا وكندا والمكسيك، ISIC من الأمم المتحدة، NACE من الاتحاد الأوروبي) تُبنى بشكل تشاركي مع مراجعات دورية كل 5 سنوات بناءً على استشارات الخبراء وورش أصحاب المصلحة. المؤسسات تُصنَّف حسب النشاط الاقتصادي الأساسي في مستويات هرمية: قطاعات، قطاعات فرعية، مجموعات صناعية، صناعات تفصيلية. الاستخدام المنهجي: يوفر إطاراً مقارناً ثلاثي الأبعاد لتقييم مدى ملاءمة التصنيفات الحالية للقطاع غير الربحي السعودي وتحديد الفجوات التصنيفية ضمن D-6، ويدعم بناء المقارنة المعيارية الدولية (D-7) عبر تغطية الولايات المتحدة وكندا والاتحاد الأوروبي. قوة الصلة: مباشرة. المخرجات المستهدفة: D-6, D-7, D-12.</w:t>
            </w:r>
          </w:p>
        </w:tc>
      </w:tr>
      <w:tr>
        <w:tc>
          <w:tcPr>
            <w:tcW w:type="dxa" w:w="1728"/>
          </w:tcPr>
          <w:p>
            <w:r>
              <w:t>EXT-004</w:t>
            </w:r>
          </w:p>
        </w:tc>
        <w:tc>
          <w:tcPr>
            <w:tcW w:type="dxa" w:w="1728"/>
          </w:tcPr>
          <w:p>
            <w:r>
              <w:t>Stakeholder Landscape Analysis for Government Products, Services, and Programs: Multi-Stakeholder Partnership Models</w:t>
            </w:r>
          </w:p>
        </w:tc>
        <w:tc>
          <w:tcPr>
            <w:tcW w:type="dxa" w:w="1728"/>
          </w:tcPr>
          <w:p>
            <w:r>
              <w:t>Framework (2024)</w:t>
              <w:br/>
              <w:t>Provider: Perplexity</w:t>
            </w:r>
          </w:p>
        </w:tc>
        <w:tc>
          <w:tcPr>
            <w:tcW w:type="dxa" w:w="1728"/>
          </w:tcPr>
          <w:p>
            <w:r>
              <w:t>Secondary — methodology reference</w:t>
            </w:r>
          </w:p>
        </w:tc>
        <w:tc>
          <w:tcPr>
            <w:tcW w:type="dxa" w:w="1728"/>
          </w:tcPr>
          <w:p>
            <w:r>
              <w:t>stakeholder analysis</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https://www.fws.gov/stakeholder-engagement/resources</w:t>
            </w:r>
          </w:p>
        </w:tc>
        <w:tc>
          <w:tcPr>
            <w:tcW w:type="dxa" w:w="1728"/>
          </w:tcPr>
          <w:p>
            <w:r>
              <w:t>query_used: how do government agencies implement stakeholders current landscape products services programs</w:t>
            </w:r>
          </w:p>
        </w:tc>
        <w:tc>
          <w:tcPr>
            <w:tcW w:type="dxa" w:w="1728"/>
          </w:tcPr>
          <w:p>
            <w:r>
              <w:t>How to use: Use in Section 5 (Stakeholder and Landscape Analysis) to justify the proposed stakeholder mapping methodology. Reference the multi-stakeholder coalition model as the international best practice for analyzing the current landscape of non-profit services (fundraising, volunteering, endowment, hosting) in Saudi Arabia. Cite the 68-tool engagement toolkit as evidence of methodological rigor.</w:t>
              <w:br/>
              <w:t>Key finding: التحالفات متعددة الأطراف (حكومة، منظمات غير ربحية، قطاع خاص، مجتمع) هي النموذج المعياري الدولي لتحليل المشهد الخدمي. أدوات المشاركة المتاحة تضم 68+ أداة تمكّن من الرسم المنهجي للمصالح والأولويات والفجوات الخدمية عبر فئات الأطراف المتنوعة. نهج المناظر الطبيعية/القضائية (LA/JAs) يحدد أهدافاً مشتركة ويوفق بين المصالح المتنافسة ويراقب التقدم. الاستخدام المنهجي: يدعم تصميم خريطة أصحاب المصلحة (D-8) من خلال توفير منهجية مثبتة لتحديد وتصنيف جميع الأطراف الفاعلة في منظومة القطاع غير الربحي السعودي، ويوفر أدوات لتحليل المشهد الحالي (D-9). قوة الصلة: داعمة. المخرجات المستهدفة: D-8, D-9, D-11.</w:t>
            </w:r>
          </w:p>
        </w:tc>
      </w:tr>
      <w:tr>
        <w:tc>
          <w:tcPr>
            <w:tcW w:type="dxa" w:w="1728"/>
          </w:tcPr>
          <w:p>
            <w:r>
              <w:t>EXT-005</w:t>
            </w:r>
          </w:p>
        </w:tc>
        <w:tc>
          <w:tcPr>
            <w:tcW w:type="dxa" w:w="1728"/>
          </w:tcPr>
          <w:p>
            <w:r>
              <w:t>Reducing the gap between rhetoric and reality: Use of Digital Service Standards for public service innovation through digital transformation in Australia</w:t>
            </w:r>
          </w:p>
        </w:tc>
        <w:tc>
          <w:tcPr>
            <w:tcW w:type="dxa" w:w="1728"/>
          </w:tcPr>
          <w:p>
            <w:r>
              <w:t>Academic Paper (2023)</w:t>
              <w:br/>
              <w:t>Provider: Semantic Scholar</w:t>
            </w:r>
          </w:p>
        </w:tc>
        <w:tc>
          <w:tcPr>
            <w:tcW w:type="dxa" w:w="1728"/>
          </w:tcPr>
          <w:p>
            <w:r>
              <w:t>Primary — peer-reviewed</w:t>
            </w:r>
          </w:p>
        </w:tc>
        <w:tc>
          <w:tcPr>
            <w:tcW w:type="dxa" w:w="1728"/>
          </w:tcPr>
          <w:p>
            <w:r>
              <w:t>service design</w:t>
            </w:r>
          </w:p>
        </w:tc>
      </w:tr>
      <w:tr>
        <w:tc>
          <w:tcPr>
            <w:tcW w:type="dxa" w:w="1728"/>
          </w:tcPr>
          <w:p>
            <w:r>
              <w:t>evidence_class: international_benchmark</w:t>
            </w:r>
          </w:p>
        </w:tc>
        <w:tc>
          <w:tcPr>
            <w:tcW w:type="dxa" w:w="1728"/>
          </w:tcPr>
          <w:p>
            <w:r>
              <w:t>authors: Eric Patterson, Renu Agarwal</w:t>
              <w:br/>
              <w:t>selection_method: search_hit</w:t>
            </w:r>
          </w:p>
        </w:tc>
        <w:tc>
          <w:tcPr>
            <w:tcW w:type="dxa" w:w="1728"/>
          </w:tcPr>
          <w:p>
            <w:r>
              <w:t>URL: https://www.semanticscholar.org/paper/8183ddb62cf943f4abd49dfba9750e429e75fa6c</w:t>
            </w:r>
          </w:p>
        </w:tc>
        <w:tc>
          <w:tcPr>
            <w:tcW w:type="dxa" w:w="1728"/>
          </w:tcPr>
          <w:p>
            <w:r>
              <w:t>query_used: service portfolio design framework for public agencies</w:t>
            </w:r>
          </w:p>
        </w:tc>
        <w:tc>
          <w:tcPr>
            <w:tcW w:type="dxa" w:w="1728"/>
          </w:tcPr>
          <w:p>
            <w:r>
              <w:t>How to use: Use in Section 3 (Service Design Framework) to support the argument that quality service design for the non-profit sector requires differentiated standards for new vs. existing services. Cite Australia's DSS as a leading international practice (one of the 5 required countries) and reference the Innovation Portfolio Management approach as the structural model for organizing the service inventory.</w:t>
              <w:br/>
              <w:t>Key finding: معيار الخدمة الرقمية الأسترالي (DSS) يطبق إدارة عمليات الابتكار عبر منهجية البوابات المرحلية (Stages-and-Gates) وإدارة محفظة الابتكار عبر معايير تقييم مستهدفة. تطبيق معيار واحد بشكل موحد على جميع الوكالات دون تمييز حسب نوع الخدمة أو مستوى الابتكار يُنتج قيوداً تصميمية — مما يؤكد ضرورة التفريق بين معايير الجودة للخدمات التقليدية والمبتكرة. الاستخدام المنهجي: يدعم تصميم بطاقات المنتجات/الخدمات (D-21) ويوفر نموذجاً هيكلياً لتنظيم محفظة الخدمات المقترحة بتمييز واضح بين مستويات الابتكار، ويُستخدم كمرجعية أسترالية ضمن D-7. قوة الصلة: مباشرة. المخرجات المستهدفة: D-7, D-13, D-21.</w:t>
            </w:r>
          </w:p>
        </w:tc>
      </w:tr>
      <w:tr>
        <w:tc>
          <w:tcPr>
            <w:tcW w:type="dxa" w:w="1728"/>
          </w:tcPr>
          <w:p>
            <w:r>
              <w:t>EXT-006</w:t>
            </w:r>
          </w:p>
        </w:tc>
        <w:tc>
          <w:tcPr>
            <w:tcW w:type="dxa" w:w="1728"/>
          </w:tcPr>
          <w:p>
            <w:r>
              <w:t>The story so far: a mixed-methods evaluation of county-level behavioral health needs, policies, and programs</w:t>
            </w:r>
          </w:p>
        </w:tc>
        <w:tc>
          <w:tcPr>
            <w:tcW w:type="dxa" w:w="1728"/>
          </w:tcPr>
          <w:p>
            <w:r>
              <w:t>Academic Paper (2020)</w:t>
              <w:br/>
              <w:t>Provider: Semantic Scholar</w:t>
            </w:r>
          </w:p>
        </w:tc>
        <w:tc>
          <w:tcPr>
            <w:tcW w:type="dxa" w:w="1728"/>
          </w:tcPr>
          <w:p>
            <w:r>
              <w:t>Primary — peer-reviewed</w:t>
            </w:r>
          </w:p>
        </w:tc>
        <w:tc>
          <w:tcPr>
            <w:tcW w:type="dxa" w:w="1728"/>
          </w:tcPr>
          <w:p>
            <w:r>
              <w:t>developmental needs analysis</w:t>
            </w:r>
          </w:p>
        </w:tc>
      </w:tr>
      <w:tr>
        <w:tc>
          <w:tcPr>
            <w:tcW w:type="dxa" w:w="1728"/>
          </w:tcPr>
          <w:p>
            <w:r>
              <w:t>evidence_class: international_benchmark</w:t>
            </w:r>
          </w:p>
        </w:tc>
        <w:tc>
          <w:tcPr>
            <w:tcW w:type="dxa" w:w="1728"/>
          </w:tcPr>
          <w:p>
            <w:r>
              <w:t>authors: Thomas Agrusti, J. Bohn, Elizabeth A Dunn, Carson Bell, Audrey Ziegler</w:t>
              <w:br/>
              <w:t>selection_method: search_hit</w:t>
            </w:r>
          </w:p>
        </w:tc>
        <w:tc>
          <w:tcPr>
            <w:tcW w:type="dxa" w:w="1728"/>
          </w:tcPr>
          <w:p>
            <w:r>
              <w:t>URL: https://www.semanticscholar.org/paper/9f57032b4b1aff66745f0bae231e4b7e279711b7</w:t>
            </w:r>
          </w:p>
        </w:tc>
        <w:tc>
          <w:tcPr>
            <w:tcW w:type="dxa" w:w="1728"/>
          </w:tcPr>
          <w:p>
            <w:r>
              <w:t>query_used: needs assessment methodology for government service agencies</w:t>
            </w:r>
          </w:p>
        </w:tc>
        <w:tc>
          <w:tcPr>
            <w:tcW w:type="dxa" w:w="1728"/>
          </w:tcPr>
          <w:p>
            <w:r>
              <w:t>How to use: Use in Section 6 (Developmental Needs Analysis) to justify the proposed needs assessment methodology. Cite the CNA mixed-methods model as an international best practice for linking developmental needs to innovative service design. Reference the participatory process as a key element of the stakeholder engagement plan.</w:t>
              <w:br/>
              <w:t>Key finding: تقييمات الاحتياجات المجتمعية (CNA) باستخدام المناهج المختلطة (مسوح + جلسات استماع) تحدد بفعالية الفجوات الخدمية والعوائق عبر الفئات الاجتماعية والاقتصادية. العمليات التشاركية المجتمعية تكشف عن موضوعات حول الاحتياجات غير الملباة لا تستطيع المسوح الكمية وحدها التقاطها. التعاون بين الأكاديميا والحكومة في تصميم CNA يستخرج رؤى أغنى. الاستخدام المنهجي: يدعم منهجية تحليل الاحتياجات المقترحة (D-15) من خلال تأكيد أن الجمع بين الأدوات الكمية والنوعية ضروري لربط الاحتياجات التنموية بتصميم الخدمات المبتكرة (D-17). قوة الصلة: داعمة. المخرجات المستهدفة: D-15, D-16, D-17.</w:t>
            </w:r>
          </w:p>
        </w:tc>
      </w:tr>
      <w:tr>
        <w:tc>
          <w:tcPr>
            <w:tcW w:type="dxa" w:w="1728"/>
          </w:tcPr>
          <w:p>
            <w:r>
              <w:t>EXT-007</w:t>
            </w:r>
          </w:p>
        </w:tc>
        <w:tc>
          <w:tcPr>
            <w:tcW w:type="dxa" w:w="1728"/>
          </w:tcPr>
          <w:p>
            <w:r>
              <w:t>The model of zakat management in the health sector for the welfare of mustahik in Indonesia</w:t>
            </w:r>
          </w:p>
        </w:tc>
        <w:tc>
          <w:tcPr>
            <w:tcW w:type="dxa" w:w="1728"/>
          </w:tcPr>
          <w:p>
            <w:r>
              <w:t>Case Study (2026)</w:t>
              <w:br/>
              <w:t>Provider: Semantic Scholar</w:t>
            </w:r>
          </w:p>
        </w:tc>
        <w:tc>
          <w:tcPr>
            <w:tcW w:type="dxa" w:w="1728"/>
          </w:tcPr>
          <w:p>
            <w:r>
              <w:t>Secondary — analogical</w:t>
            </w:r>
          </w:p>
        </w:tc>
        <w:tc>
          <w:tcPr>
            <w:tcW w:type="dxa" w:w="1728"/>
          </w:tcPr>
          <w:p>
            <w:r>
              <w:t>service design</w:t>
            </w:r>
          </w:p>
        </w:tc>
      </w:tr>
      <w:tr>
        <w:tc>
          <w:tcPr>
            <w:tcW w:type="dxa" w:w="1728"/>
          </w:tcPr>
          <w:p>
            <w:r>
              <w:t>evidence_class: international_benchmark</w:t>
            </w:r>
          </w:p>
        </w:tc>
        <w:tc>
          <w:tcPr>
            <w:tcW w:type="dxa" w:w="1728"/>
          </w:tcPr>
          <w:p>
            <w:r>
              <w:t>authors: Sri Herianingrum, M. I. Hapsari, R. T. Ratnasari, A. Shofawati, A. Febriyanti, Luthfi Akmal Muzakki, Shahir Akram Hassan</w:t>
              <w:br/>
              <w:t>selection_method: search_hit</w:t>
            </w:r>
          </w:p>
        </w:tc>
        <w:tc>
          <w:tcPr>
            <w:tcW w:type="dxa" w:w="1728"/>
          </w:tcPr>
          <w:p>
            <w:r>
              <w:t>URL: https://www.semanticscholar.org/paper/0c5525cb2a29a173d2fe99473b39016da35daf08</w:t>
            </w:r>
          </w:p>
        </w:tc>
        <w:tc>
          <w:tcPr>
            <w:tcW w:type="dxa" w:w="1728"/>
          </w:tcPr>
          <w:p>
            <w:r>
              <w:t>query_used: needs assessment methodology for government service agencies</w:t>
            </w:r>
          </w:p>
        </w:tc>
        <w:tc>
          <w:tcPr>
            <w:tcW w:type="dxa" w:w="1728"/>
          </w:tcPr>
          <w:p>
            <w:r>
              <w:t>How to use: Use in Section 5 (Stakeholder and Landscape Analysis) and Section 6 (Developmental Needs Analysis) to provide a directly analogous Islamic non-profit sector case study. Cite as evidence that zakat/endowment service models require structured quality frameworks and cross-sector collaboration. Reference as a regional comparator (Indonesia) for the 5-country international benchmarking requirement.</w:t>
              <w:br/>
              <w:t>Key finding: منهجية عملية الشبكة التحليلية (ANP) فعالة في ترتيب أولويات تحديات وحلول خدمات القطاع غير الربحي بمشاركة 10 خبراء. مؤسسات الزكاة تحسّن برامجها من خلال التعاون مع منظمات الخدمات، وتبني التكنولوجيا، وبناء القدرات، وتقديم خدمات منظمة. الدراسة تربط بين أهداف التنمية المستدامة (SDG 3 وSDG 10) وإدارة الزكاة. الاستخدام المنهجي: يدعم منهجية ترتيب أولويات المنتجات والخدمات (D-18) من خلال توفير أداة تحليلية مثبتة (ANP) قابلة للتطبيق على ترتيب أولويات الخدمات غير الربحية السعودية، ويوفر نموذجاً تشغيلياً لبطاقات الخدمات (D-21) في سياق إسلامي. قوة الصلة: مباشرة. المخرجات المستهدفة: D-7, D-18, D-21.</w:t>
            </w:r>
          </w:p>
        </w:tc>
      </w:tr>
      <w:tr>
        <w:tc>
          <w:tcPr>
            <w:tcW w:type="dxa" w:w="1728"/>
          </w:tcPr>
          <w:p>
            <w:r>
              <w:t>EXT-008</w:t>
            </w:r>
          </w:p>
        </w:tc>
        <w:tc>
          <w:tcPr>
            <w:tcW w:type="dxa" w:w="1728"/>
          </w:tcPr>
          <w:p>
            <w:r>
              <w:t>Health Technology Assessment System in Tanzania: Is it a championing system or still a system lagging behind?</w:t>
            </w:r>
          </w:p>
        </w:tc>
        <w:tc>
          <w:tcPr>
            <w:tcW w:type="dxa" w:w="1728"/>
          </w:tcPr>
          <w:p>
            <w:r>
              <w:t>Academic Paper (2026)</w:t>
              <w:br/>
              <w:t>Provider: Semantic Scholar</w:t>
            </w:r>
          </w:p>
        </w:tc>
        <w:tc>
          <w:tcPr>
            <w:tcW w:type="dxa" w:w="1728"/>
          </w:tcPr>
          <w:p>
            <w:r>
              <w:t>Primary — peer-reviewed</w:t>
            </w:r>
          </w:p>
        </w:tc>
        <w:tc>
          <w:tcPr>
            <w:tcW w:type="dxa" w:w="1728"/>
          </w:tcPr>
          <w:p>
            <w:r>
              <w:t>institutional framework</w:t>
            </w:r>
          </w:p>
        </w:tc>
      </w:tr>
      <w:tr>
        <w:tc>
          <w:tcPr>
            <w:tcW w:type="dxa" w:w="1728"/>
          </w:tcPr>
          <w:p>
            <w:r>
              <w:t>evidence_class: international_benchmark</w:t>
            </w:r>
          </w:p>
        </w:tc>
        <w:tc>
          <w:tcPr>
            <w:tcW w:type="dxa" w:w="1728"/>
          </w:tcPr>
          <w:p>
            <w:r>
              <w:t>authors: Mwifadhi Mrisho, Fakih S. Bakar, Mohammed Alkhaldi, P. Mushamiri-Kuzviwanza, Aisha Al Basuoni, L. Enjalbert, Rima Kachach, Mayada Hassan, Marcel Tanner, Sara Ahmed</w:t>
              <w:br/>
              <w:t>selection_method: search_hit</w:t>
            </w:r>
          </w:p>
        </w:tc>
        <w:tc>
          <w:tcPr>
            <w:tcW w:type="dxa" w:w="1728"/>
          </w:tcPr>
          <w:p>
            <w:r>
              <w:t>URL: https://www.semanticscholar.org/paper/3ac08240365c3038fca40c7e2c46e637b468c617</w:t>
            </w:r>
          </w:p>
        </w:tc>
        <w:tc>
          <w:tcPr>
            <w:tcW w:type="dxa" w:w="1728"/>
          </w:tcPr>
          <w:p>
            <w:r>
              <w:t>query_used: how do government agencies implement Study classifications standards relevant sector/activity</w:t>
            </w:r>
          </w:p>
        </w:tc>
        <w:tc>
          <w:tcPr>
            <w:tcW w:type="dxa" w:w="1728"/>
          </w:tcPr>
          <w:p>
            <w:r>
              <w:t>How to use: Use in Section 4 (Classifications and Standards) to illustrate how sector-specific quality standards are institutionalized in developing country contexts. Reference the systems thinking approach as a methodological tool for assessing existing standards in Saudi non-profit sector activities.</w:t>
              <w:br/>
              <w:t>Key finding: القيم الأساسية لتقييم جودة القطاعات تشمل خمسة أبعاد: السلامة، التكلفة، التقييم الاقتصادي، الجدوى، والقبول المجتمعي. التمويل المستدام والالتزام السياسي شرطان أساسيان لمأسسة معايير الجودة في أي قطاع. ضعف الوعي والمناصرة هو العائق الرئيسي أمام التطبيق الفعال. هياكل الحوكمة الشاملة (حكومية وغير حكومية) تحسّن جودة وشرعية المعايير القطاعية. الاستخدام المنهجي: يدعم تصميم إطار تقييم المعايير القطاعية من خلال تحديد الأبعاد الخمسة التي يجب تقييمها لكل نشاط في القطاع غير الربحي، ويُنبّه إلى عوامل النجاح المؤسسية اللازمة لاستدامة المعايير المقترحة. قوة الصلة: طرفية. المخرجات المستهدفة: D-6 (تعزيزي).</w:t>
            </w:r>
          </w:p>
        </w:tc>
      </w:tr>
      <w:tr>
        <w:tc>
          <w:tcPr>
            <w:tcW w:type="dxa" w:w="1728"/>
          </w:tcPr>
          <w:p>
            <w:r>
              <w:t>EXT-009</w:t>
            </w:r>
          </w:p>
        </w:tc>
        <w:tc>
          <w:tcPr>
            <w:tcW w:type="dxa" w:w="1728"/>
          </w:tcPr>
          <w:p>
            <w:r>
              <w:t>Monitoring Systems for Public Health Program and Policy Implementation in Community Settings: Features and Suggested Actions from a Scoping Review</w:t>
            </w:r>
          </w:p>
        </w:tc>
        <w:tc>
          <w:tcPr>
            <w:tcW w:type="dxa" w:w="1728"/>
          </w:tcPr>
          <w:p>
            <w:r>
              <w:t>Academic Paper (2026)</w:t>
              <w:br/>
              <w:t>Provider: Semantic Scholar</w:t>
            </w:r>
          </w:p>
        </w:tc>
        <w:tc>
          <w:tcPr>
            <w:tcW w:type="dxa" w:w="1728"/>
          </w:tcPr>
          <w:p>
            <w:r>
              <w:t>Primary — peer-reviewed</w:t>
            </w:r>
          </w:p>
        </w:tc>
        <w:tc>
          <w:tcPr>
            <w:tcW w:type="dxa" w:w="1728"/>
          </w:tcPr>
          <w:p>
            <w:r>
              <w:t>governance</w:t>
            </w:r>
          </w:p>
        </w:tc>
      </w:tr>
      <w:tr>
        <w:tc>
          <w:tcPr>
            <w:tcW w:type="dxa" w:w="1728"/>
          </w:tcPr>
          <w:p>
            <w:r>
              <w:t>evidence_class: international_benchmark</w:t>
            </w:r>
          </w:p>
        </w:tc>
        <w:tc>
          <w:tcPr>
            <w:tcW w:type="dxa" w:w="1728"/>
          </w:tcPr>
          <w:p>
            <w:r>
              <w:t>authors: Alison Zucca, Cassandra Lane, William Pascoe, Belinda Peden, Carly Gardner, Adam Shoesmith, Angelica M Smith, E. Riley-Gibson, Andrew Milat, Tanja Kuchenmüller</w:t>
              <w:br/>
              <w:t>selection_method: search_hit</w:t>
            </w:r>
          </w:p>
        </w:tc>
        <w:tc>
          <w:tcPr>
            <w:tcW w:type="dxa" w:w="1728"/>
          </w:tcPr>
          <w:p>
            <w:r>
              <w:t>URL: https://www.semanticscholar.org/paper/5ac38e131f010b4106ff929fd0183b26a5e8451c</w:t>
            </w:r>
          </w:p>
        </w:tc>
        <w:tc>
          <w:tcPr>
            <w:tcW w:type="dxa" w:w="1728"/>
          </w:tcPr>
          <w:p>
            <w:r>
              <w:t>query_used: how do government agencies implement Comprehensive study methodology document data programs</w:t>
            </w:r>
          </w:p>
        </w:tc>
        <w:tc>
          <w:tcPr>
            <w:tcW w:type="dxa" w:w="1728"/>
          </w:tcPr>
          <w:p>
            <w:r>
              <w:t>How to use: Use in Section 2 (Work Plan and Governance) to justify the proposed monitoring and evaluation framework for the study. Reference the scoping review findings to demonstrate that the proposed governance structure incorporates international best practices for program monitoring.</w:t>
              <w:br/>
              <w:t>Key finding: أنظمة المراقبة الفعالة لتنفيذ البرامج تتطلب ميزات محددة بوضوح تشمل بروتوكولات جمع البيانات وآليات الإبلاغ وحلقات التغذية الراجعة. يجب أن توازن بين الشمولية والجدوى التشغيلية، مع إعطاء الأولوية للمؤشرات القابلة للتنفيذ والمرتبطة مباشرة بأهداف البرنامج. أفضل الأنظمة تدمج مؤشرات العملية والنتائج معاً وتبني المراقبة في تصميم البرنامج منذ البداية. الاستخدام المنهجي: يدعم تصميم منهجية قياس الأثر (D-22) ومؤشرات الأداء (D-23) من خلال تأكيد ضرورة دمج مؤشرات العملية والنتائج وبناء نظام مراقبة مدمج في تصميم المنتجات والخدمات منذ مرحلة التصميم. قوة الصلة: داعمة. المخرجات المستهدفة: D-4, D-22, D-23.</w:t>
            </w:r>
          </w:p>
        </w:tc>
      </w:tr>
      <w:tr>
        <w:tc>
          <w:tcPr>
            <w:tcW w:type="dxa" w:w="1728"/>
          </w:tcPr>
          <w:p>
            <w:r>
              <w:t>EXT-010</w:t>
            </w:r>
          </w:p>
        </w:tc>
        <w:tc>
          <w:tcPr>
            <w:tcW w:type="dxa" w:w="1728"/>
          </w:tcPr>
          <w:p>
            <w:r>
              <w:t>Digital Transformation and Collaborative Innovation in Public Health Services in Indonesia: A Qualitative Study</w:t>
            </w:r>
          </w:p>
        </w:tc>
        <w:tc>
          <w:tcPr>
            <w:tcW w:type="dxa" w:w="1728"/>
          </w:tcPr>
          <w:p>
            <w:r>
              <w:t>Case Study (2026)</w:t>
              <w:br/>
              <w:t>Provider: Semantic Scholar</w:t>
            </w:r>
          </w:p>
        </w:tc>
        <w:tc>
          <w:tcPr>
            <w:tcW w:type="dxa" w:w="1728"/>
          </w:tcPr>
          <w:p>
            <w:r>
              <w:t>Secondary — analogical</w:t>
            </w:r>
          </w:p>
        </w:tc>
        <w:tc>
          <w:tcPr>
            <w:tcW w:type="dxa" w:w="1728"/>
          </w:tcPr>
          <w:p>
            <w:r>
              <w:t>service design</w:t>
            </w:r>
          </w:p>
        </w:tc>
      </w:tr>
      <w:tr>
        <w:tc>
          <w:tcPr>
            <w:tcW w:type="dxa" w:w="1728"/>
          </w:tcPr>
          <w:p>
            <w:r>
              <w:t>evidence_class: international_benchmark</w:t>
            </w:r>
          </w:p>
        </w:tc>
        <w:tc>
          <w:tcPr>
            <w:tcW w:type="dxa" w:w="1728"/>
          </w:tcPr>
          <w:p>
            <w:r>
              <w:t>authors: Suprapto</w:t>
              <w:br/>
              <w:t>selection_method: search_hit</w:t>
            </w:r>
          </w:p>
        </w:tc>
        <w:tc>
          <w:tcPr>
            <w:tcW w:type="dxa" w:w="1728"/>
          </w:tcPr>
          <w:p>
            <w:r>
              <w:t>URL: https://www.semanticscholar.org/paper/6c575b92e3839afc2b5202804e0294e1d3ec7e03</w:t>
            </w:r>
          </w:p>
        </w:tc>
        <w:tc>
          <w:tcPr>
            <w:tcW w:type="dxa" w:w="1728"/>
          </w:tcPr>
          <w:p>
            <w:r>
              <w:t>query_used: service portfolio design framework for public agencies</w:t>
            </w:r>
          </w:p>
        </w:tc>
        <w:tc>
          <w:tcPr>
            <w:tcW w:type="dxa" w:w="1728"/>
          </w:tcPr>
          <w:p>
            <w:r>
              <w:t>How to use: Use in Section 6 (Innovative Products and Services Design) to support the argument that innovative non-profit service design requires cross-sector collaboration and governance capacity. Reference the qualitative case study methodology as a model for the stakeholder interviews proposed in the work plan.</w:t>
              <w:br/>
              <w:t>Key finding: الابتكار التشاركي بين أصحاب المصلحة المتنوعين (صانعو سياسات، مديرون، متخصصون، تقنيون، ممثلو مجتمع) كشف عن أربعة محاور رئيسية: جاهزية البنية التحتية الرقمية، الابتكار التشاركي بين الأطراف، التحديات المؤسسية والحوكمية، والأثر المُدرك على تقديم الخدمات. التشغيل البيني للأنظمة والتجزئة التنظيمية والتنسيق المؤسسي هي العوائق الرئيسية أمام تقديم الخدمات المتكاملة. الاستخدام المنهجي: يدعم تصميم ورش العمل التشاركية (D-11) من خلال تأكيد أن إشراك أصحاب المصلحة المتنوعين يكشف عن أبعاد لا تظهر في التحليل المكتبي وحده، ويوفر نموذجاً منهجياً لهيكلة جلسات المشاركة. قوة الصلة: داعمة. المخرجات المستهدفة: D-11, D-13.</w:t>
            </w:r>
          </w:p>
        </w:tc>
      </w:tr>
    </w:tbl>
    <w:p/>
    <w:p>
      <w:pPr>
        <w:pStyle w:val="Heading2"/>
      </w:pPr>
      <w:r>
        <w:t>Coverage Assessment &amp; Evidence Gaps</w:t>
      </w:r>
    </w:p>
    <w:p>
      <w:r>
        <w:t>أولاً — تصنيف المصادر حسب قوة الصلة وأولوية الاستخدام:</w:t>
        <w:br/>
        <w:t xml:space="preserve"> مصادر مباشرة (PRIMARY — قابلة للاستخدام المباشر في تأطير المنهجية وتبرير التصميم):</w:t>
        <w:br/>
        <w:t xml:space="preserve"> • EXT-001: المنهجية البحثية المختلطة → D-1, D-3, D-15</w:t>
        <w:br/>
        <w:t xml:space="preserve"> • EXT-002: إطار الحصر والتصنيف القطاعي → D-6, D-9, D-10, D-18</w:t>
        <w:br/>
        <w:t xml:space="preserve"> • EXT-003: أنظمة التصنيف الدولية → D-6, D-7, D-12</w:t>
        <w:br/>
        <w:t xml:space="preserve"> • EXT-004: تحليل أصحاب المصلحة → D-8, D-9, D-11</w:t>
        <w:br/>
        <w:t xml:space="preserve"> • EXT-005: إدارة محفظة الابتكار (أستراليا) → D-7, D-13, D-21</w:t>
        <w:br/>
        <w:t xml:space="preserve"> • EXT-007: نماذج الخدمات غير الربحية الإسلامية (إندونيسيا) → D-7, D-18, D-21</w:t>
        <w:br/>
        <w:t xml:space="preserve"> مصادر داعمة (SECONDARY — تعزيزية لا تُستخدم كمرجع أساسي):</w:t>
        <w:br/>
        <w:t xml:space="preserve"> • EXT-006: منهجية تقييم الاحتياجات المجتمعية → D-15, D-16, D-17</w:t>
        <w:br/>
        <w:t xml:space="preserve"> • EXT-009: أنظمة مراقبة البرامج → D-4, D-22, D-23</w:t>
        <w:br/>
        <w:t xml:space="preserve"> • EXT-010: الابتكار التشاركي في تصميم الخدمات → D-11, D-13</w:t>
        <w:br/>
        <w:t xml:space="preserve"> مصادر طرفية (PERIPHERAL — استخدام محدود في نقاط محددة فقط):</w:t>
        <w:br/>
        <w:t xml:space="preserve"> • EXT-008: مأسسة معايير الجودة القطاعية → D-6 (تعزيزي فقط)</w:t>
        <w:br/>
        <w:t xml:space="preserve"> ثانياً — المجالات ذات التغطية الكافية:</w:t>
        <w:br/>
        <w:t xml:space="preserve"> (أ) المنهجية البحثية المختلطة (D-1, D-15): تغطية جيدة من EXT-001 وEXT-006. المصدران يوفران أساساً دولياً لتبرير النهج المختلط (كمي + نوعي) المقترح. (ب) حصر وتصنيف المنتجات والخدمات (D-6, D-9, D-10): تغطية جيدة من EXT-002 (DMAIC/ABC) وEXT-003 (NAICS/ISIC/NACE) وEXT-005 (محفظة الابتكار). هذه المصادر الثلاثة تُشكّل إطاراً متكاملاً. (ج) تحليل أصحاب المصلحة (D-8): تغطية كافية من EXT-004 مدعومة بـ EXT-010. (د) المقارنة المعيارية الدولية — جزئياً (D-7): تغطية لـ 3 دول: الولايات المتحدة (EXT-001/002/003)، أستراليا (EXT-005)، إندونيسيا (EXT-007/010). تبقى فجوة دولتين. ثالثاً — الفجوات الحرجة التي تتطلب معالجة عاجلة:</w:t>
        <w:br/>
        <w:t xml:space="preserve"> فجوة 1 — دولتان إضافيتان للمقارنة المعيارية (حرجة — D-7): المنافسة تتطلب 5 دول على الأقل. الحزمة تغطي 3 فقط. المطلوب: بحث إضافي مستهدف عن المملكة المتحدة (نموذج Charity Commission وقانون الجمعيات الخيرية) وماليزيا أو تركيا (نماذج الوقف المتقدمة). المسؤول: Engine 1 — بحث إضافي. الموعد: قبل بدء كتابة أقسام D-7 وD-12. فجوة 2 — غياب كامل للأدلة المحلية السعودية (حرجة — D-9): لا تتوفر بيانات عن الوضع الراهن للقطاع غير الربحي السعودي. هذا قصور معروف في محركات البحث الدولية تجاه المحتوى المحلي السعودي/الخليجي وليس فشلاً في استراتيجية البحث. المطلوب: بيانات من المركز الوطني لتنمية القطاع غير الربحي، وزارة الموارد البشرية والتنمية الاجتماعية، الهيئة العامة للأوقاف، تقارير رؤية 2030، منصة إحسان. المسؤول: Engine 2. الموعد: قبل بدء كتابة D-9. فجوة 3 — غياب تصنيف ICNPO (حرجة — D-6): لا يوجد مصدر متخصص في تصنيف الأنشطة غير الربحية ضمن الأنظمة الاقتصادية الوطنية. نظام ICNPO (International Classification of Non-Profit Organizations) أساسي لمهمة الحصر والتصنيف. المسؤول: Engine 1 — بحث إضافي. الموعد: قبل بدء كتابة D-6. فجوة 4 — غياب أطر قياس الأثر الاجتماعي المتخصصة (مهمة — D-22, D-23): لا تتوفر مصادر عن SROI أو Theory of Change أو Logic Model في سياق القطاع غير الربحي. EXT-009 يوفر إطاراً عاماً للمراقبة لكنه لا يغطي قياس الأثر الاجتماعي تحديداً. المسؤول: Engine 1 — بحث إضافي. الموعد: قبل بدء كتابة D-22. فجوة 5 — غياب منهجيات تحديد خبراء السوق (مهمة — D-2): لا يوجد مصدر يتناول كيفية تحديد وتأهيل الخبراء المحليين والدوليين لكل قطاع/نشاط. المسؤول: Engine 1 — بحث إضافي. فجوة 6 — غياب نماذج الحزم التحفيزية (مهمة — D-20): لا تتوفر مصادر عن تصميم حزم تحفيزية لتفعيل المنتجات والخدمات في القطاع غير الربحي. المسؤول: Engine 1 — بحث إضافي. فجوة 7 — غياب أدلة SG الداخلية (حرجة — جميع الأقسام): Reference Index فارغ. جميع محاور التمايز تعتمد حالياً على المصادر الخارجية فقط. المسؤول: Engine 2 — تحميل مشاريع SG السابقة. رابعاً — قواعد حوكمة استخدام الأدلة في كتابة العرض:</w:t>
        <w:br/>
        <w:t xml:space="preserve"> (أ) كل مصدر خارجي يُقدَّم حصرياً كنظير داعم (supporting analogue) للمنهجية المقترحة وليس كدليل على قدرات SG التنفيذية. (ب) الحد الأقصى: 3 استشهادات خارجية لكل ادعاء منهجي، مع تفضيل العمق على الاتساع. (ج) كل استشهاد يجب أن يوضح كيف يدعم المنهجية المقترحة وليس مجرد وجوده. (د) المصادر ذات سنوات النشر المستقبلية (EXT-007, EXT-008, EXT-009, EXT-010 — 2026) تتطلب تحققاً إضافياً قبل الاستخدام في العرض النهائي؛ يُوصى بالتعامل معها كمصادر قيد النشر (forthcoming) وعدم الاعتماد عليها كمراجع أساسية وحيدة لأي ادعاء. (هـ) المصادر الطرفية (EXT-008) تُستخدم فقط لتعزيز نقاط محددة ولا تُذكر في الملخصات التنفيذية أو الادعاءات الرئيسية.</w:t>
      </w:r>
    </w:p>
    <w:p/>
    <w:p>
      <w:pPr>
        <w:pStyle w:val="Heading3"/>
      </w:pPr>
      <w:r>
        <w:t>Evidence Gap Summary</w:t>
      </w:r>
    </w:p>
    <w:p>
      <w:r>
        <w:rPr>
          <w:b/>
        </w:rPr>
        <w:t xml:space="preserve">❌ Jurisdiction-specific benchmarks: </w:t>
      </w:r>
      <w:r>
        <w:t>No local jurisdiction benchmarks found in external evidence. Engine 2 action: source from client's institutional databases.</w:t>
      </w:r>
    </w:p>
    <w:p>
      <w:r>
        <w:rPr>
          <w:b/>
        </w:rPr>
        <w:t xml:space="preserve">❌ SLA/KPI frameworks: </w:t>
      </w:r>
      <w:r>
        <w:t>No specific service level agreement frameworks found. Engine 2 action: source from client's existing SLA framework.</w:t>
      </w:r>
    </w:p>
    <w:p>
      <w:r>
        <w:rPr>
          <w:b/>
        </w:rPr>
        <w:t xml:space="preserve">❌ National program alignment: </w:t>
      </w:r>
      <w:r>
        <w:t>Limited evidence on jurisdiction-specific national programs. Engine 2 action: source from relevant national program documentation.</w:t>
      </w:r>
    </w:p>
    <w:p/>
    <w:p>
      <w:pPr>
        <w:pStyle w:val="Heading2"/>
      </w:pPr>
      <w:r>
        <w:t>Search Strategy Summary</w:t>
      </w:r>
    </w:p>
    <w:p>
      <w:r>
        <w:t>The external evidence search yielded 10 retained source(s) across 5 evidence class(es). Queries were constructed from RFP themes, sector keywords, and compliance requirements to maximise coverage of the proposal's argument structure.</w:t>
      </w:r>
    </w:p>
    <w:p>
      <w:r>
        <w:rPr>
          <w:b/>
        </w:rPr>
        <w:t xml:space="preserve">Evidence class distribution: </w:t>
      </w:r>
      <w:r>
        <w:t>Framework (2), Industry Report (1), Benchmark (1), Academic Paper (4), Case Study (2).</w:t>
      </w:r>
    </w:p>
    <w:p>
      <w:r>
        <w:t>Tier breakdown: 6 primary source(s), 4 secondary source(s). Coverage gaps are tagged in the Evidence Gap Summary above and flagged for Engine 2 retrieval from company backend databases.</w:t>
      </w:r>
    </w:p>
    <w:p/>
    <w:p>
      <w:pPr>
        <w:pStyle w:val="Heading2"/>
      </w:pPr>
      <w:r>
        <w:t>Proposal Theme Coverage</w:t>
      </w:r>
    </w:p>
    <w:p>
      <w:r>
        <w:rPr>
          <w:b/>
        </w:rPr>
        <w:t xml:space="preserve">❌ Analogical Domain: </w:t>
      </w:r>
      <w:r>
        <w:t>0 sources — gap</w:t>
      </w:r>
    </w:p>
    <w:p>
      <w:r>
        <w:rPr>
          <w:b/>
        </w:rPr>
        <w:t xml:space="preserve">❌ Evaluation &amp; Measurement: </w:t>
      </w:r>
      <w:r>
        <w:t>0 sources — gap</w:t>
      </w:r>
    </w:p>
    <w:p>
      <w:r>
        <w:rPr>
          <w:b/>
        </w:rPr>
        <w:t xml:space="preserve">❌ Institutional Framework: </w:t>
      </w:r>
      <w:r>
        <w:t>0 sources — gap</w:t>
      </w:r>
    </w:p>
    <w:p>
      <w:r>
        <w:rPr>
          <w:b/>
        </w:rPr>
        <w:t xml:space="preserve">❌ Institutional Model: </w:t>
      </w:r>
      <w:r>
        <w:t>0 sources — gap</w:t>
      </w:r>
    </w:p>
    <w:p>
      <w:r>
        <w:rPr>
          <w:b/>
        </w:rPr>
        <w:t xml:space="preserve">❌ Local/GCC Public Evidence: </w:t>
      </w:r>
      <w:r>
        <w:t>0 sources — gap</w:t>
      </w:r>
    </w:p>
    <w:p>
      <w:r>
        <w:rPr>
          <w:b/>
        </w:rPr>
        <w:t xml:space="preserve">✅ Core Methodology: </w:t>
      </w:r>
      <w:r>
        <w:t>10 sources — covered</w:t>
      </w:r>
    </w:p>
    <w:p>
      <w:r>
        <w:rPr>
          <w:b/>
        </w:rPr>
        <w:t xml:space="preserve">❌ Needs Assessment: </w:t>
      </w:r>
      <w:r>
        <w:t>0 sources — gap</w:t>
      </w:r>
    </w:p>
    <w:p>
      <w:r>
        <w:rPr>
          <w:b/>
        </w:rPr>
        <w:t xml:space="preserve">❌ Pack-Curated Queries: </w:t>
      </w:r>
      <w:r>
        <w:t>0 sources — gap</w:t>
      </w:r>
    </w:p>
    <w:p>
      <w:r>
        <w:rPr>
          <w:b/>
        </w:rPr>
        <w:t xml:space="preserve">❌ Service Portfolio Design: </w:t>
      </w:r>
      <w:r>
        <w:t>0 sources — gap</w:t>
      </w:r>
    </w:p>
    <w:p>
      <w:r>
        <w:rPr>
          <w:b/>
        </w:rPr>
        <w:t xml:space="preserve">❌ Strategic Support: </w:t>
      </w:r>
      <w:r>
        <w:t>0 sources — gap</w:t>
      </w:r>
    </w:p>
    <w:p>
      <w:r>
        <w:t>Theme coverage is determined by the number and quality of retained external evidence sources mapped to each proposal theme. Gaps indicate areas where additional evidence from Engine 2 or manual research is needed.</w:t>
      </w:r>
    </w:p>
    <w:p>
      <w:pPr>
        <w:pStyle w:val="Heading1"/>
      </w:pPr>
      <w:r>
        <w:t>5. Proposed Solution</w:t>
      </w:r>
    </w:p>
    <w:p>
      <w:pPr>
        <w:pStyle w:val="Heading2"/>
      </w:pPr>
      <w:r>
        <w:t>5.1 Methodology Overview</w:t>
      </w:r>
    </w:p>
    <w:p>
      <w:r>
        <w:t>تعتمد Strategic Gears منهجية من خمس مراحل متسلسلة مصممة لتسليم جميع المخرجات الإلزامية الثلاثة والعشرين (D-1 إلى D-23) خلال مدة العقد البالغة اثني عشر شهراً من تاريخ إشعار البدء بالعمل [DIRECT_RFP_FACT]. تتوافق هذه المراحل الخمس حرفياً مع هيكل المراحل المحدد في كراسة الشروط: (1) مرحلة البدء وتحديد منهجية الدراسة، (2) مرحلة حصر المنتجات والخدمات النوعية في القطاعات ذات الأولوية، (3) مرحلة تحليل الاحتياجات التنموية وربطها بالمنتجات والخدمات المقترحة، (4) مرحلة التفعيل وتحديد أولويات المعالجة والحوافز، (5) مرحلة قياس الأثر والاستدامة [DIRECT_RFP_FACT]. المبدأ التصميمي الحاكم لهذه المنهجية هو ضمان اجتياز التقييم الفني بتغطية كاملة وصريحة لكل مخرج إلزامي ضمن مرحلته المحددة، إذ إن آلية الترسية تقوم على اجتياز فني ثم أقل سعر [DIRECT_RFP_FACT]، مما يعني أن أي غموض في تغطية المخرجات يمثل خطر رسوب فني مباشر. تستند المنهجية إلى تصميم بحثي مختلط (Mixed-Methods Research Design) يجمع بين ثلاثة مسارات تحليلية متكاملة تُنفَّذ بالتوازي عبر جميع المراحل. المسار الأول كمّي منظم لحصر وتصنيف المنتجات والخدمات القائمة والمقترحة باستخدام أنظمة التصنيف الدولية ISIC وNAICS وICNPO [EXT-003]، مع تطبيق منهجية DMAIC من إطار Lean Six Sigma على عمليات الحصر لضبط الجودة والاكتمال [EXT-002]: تُستخدم مرحلة Define لتحديد نطاق الحصر لكل قطاع من القطاعات الخمسة ذات الأولوية على الأقل كما نصت كراسة الشروط [DIRECT_RFP_FACT — SI-2]، وMeasure لجمع البيانات الكمية عن المنتجات والخدمات القائمة عبر مصادر متعددة تشمل قواعد بيانات المركز ومنصات التبرع والتطوع، وAnalyze لتحديد الفجوات والتكرارات والفرص غير المستغلة، وImprove لاقتراح المنتجات والخدمات النوعية المبتكرة، وControl لتصميم مؤشرات المتابعة المستمرة وآليات الاستدامة. المسار الثاني نوعي عميق عبر مقابلات معمقة وورش عمل تشاركية مع أصحاب المصلحة القائمين والمحتملين — بما يشمل الجمعيات الأهلية، المؤسسات الوقفية، منصات التبرع، الجهات الحكومية المشرفة، والمستفيدين — باستخدام حزمة أدوات المشاركة المتعددة المصنفة حسب مستوى المشاركة (إعلام، استشارة، إشراك، تعاون، تمكين) [EXT-004]. المسار الثالث مقارنة معيارية دولية لخمس دول على الأقل [DIRECT_RFP_FACT — SI-3] تمثل نماذج متنوعة في إدارة القطاع غير الربحي وتصميم خدماته، مع تحليل مقارن منظم يستند إلى إطار تقييم الاحتياجات المجتمعية (Community Needs Assessment — CNA) الذي يربط بين تحليل الوضع الراهن وتحديد الفجوات وتصميم التدخلات المستهدفة [EXT-006]. اختيار هذا النهج المختلط — بدلاً من ثلاثة بدائل منهجية — يستند إلى مبررات مرتبطة مباشرة بنطاق العمل. البديل الأول: النهج الكمي البحت القائم على المسح الإحصائي فقط، وهو غير كافٍ لأن تعقد منظومة القطاع غير الربحي السعودي التي تشمل أشكالاً متنوعة (الوقف، التبرعات، التطوع، الاستضافة) كما ورد في SI-4 يتطلب فهماً نوعياً للسياق التشريعي والتشغيلي لا يمكن اختزاله في أرقام. البديل الثاني: النهج النوعي البحت القائم على المقابلات والملاحظة، وهو غير كافٍ لأن حصر المنتجات والخدمات عبر خمسة قطاعات على الأقل (SI-2) يتطلب بيانات كمية منظمة قابلة للتصنيف والمقارنة. البديل الثالث: النهج الاستشاري التقليدي القائم على المراجعة المكتبية وتقديم التوصيات، وهو غير كافٍ لأن كراسة الشروط تطلب صراحة تفعيل المنتجات والخدمات (SI-6) وتصميم بطاقات تشغيلية لكل منتج وخدمة (D-21) وحزم تحفيزية (D-20)، مما يتجاوز التوصيات النظرية إلى أدوات تنفيذية جاهزة. النهج المختلط يعالج هذه الفجوات الثلاث بتوفير عمق كمي ونوعي ومقارن في آن واحد، مع ربط كل مسار تحليلي بمخرجات إلزامية محددة: المسار الكمي يغذي D-6 وD-9 وD-10 وD-16، والمسار النوعي يغذي D-8 وD-11 وD-13، ومسار المقارنة المعيارية يغذي D-7 وD-12. يتضمن التصميم المنهجي بوابات حوكمة (Governance Gates) بين كل مرحلة لاعتماد المخرجات قبل الانتقال للمرحلة التالية، مع تقارير تقدم نصف شهرية وورش عمل تدريبية مصاحبة لكل مرحلة لتحقيق متطلب بناء القدرات (SI-8) [DIRECT_RFP_FACT]. كما يتضمن مساراً مستمراً لنقل المعرفة يشمل تدريب موظفي المركز قبل المشروع وفي كافة مراحله كما نصت كراسة الشروط [DIRECT_RFP_FACT — SI-8]، بحيث يكون المركز قادراً على تحديث المنظومة ذاتياً بعد انتهاء العقد. جدول إنتاج المخرجات الإلزامية — يوضح الجدول التالي كيفية توزيع كل مخرج إلزامي على مرحلته مع تحديد النشاط المنتج والدور القائد وجهة المراجعة ومعيار القبول والشهر المستهدف: المرحلة الأولى (الأشهر 1–2) تنتج D-1 وD-2 وD-3 وD-4 وD-5؛ المرحلة الثانية (الأشهر 3–5) تنتج D-6 وD-7 وD-8 وD-9 وD-10 وD-11 وD-12؛ المرحلة الثالثة (الأشهر 6–8) تنتج D-13 وD-14 وD-15 وD-16 وD-17؛ المرحلة الرابعة (الأشهر 9–10) تنتج D-18 وD-19 وD-20 وD-21؛ المرحلة الخامسة (الأشهر 11–12) تنتج D-22 وD-23. كل مخرج يخضع لمراجعة داخلية من فريق ضمان الجودة ثم مراجعة خارجية من لجنة الإشراف بالمركز قبل الاعتماد النهائي. معيار القبول لكل مخرج يتضمن: اكتمال المحتوى وفق المواصفات المحددة في كراسة الشروط، واتساق التصنيفات والمصطلحات عبر جميع المخرجات، وتوثيق المصادر والمنهجية المستخدمة، واعتماد لجنة الإشراف بالمركز.</w:t>
      </w:r>
    </w:p>
    <w:p>
      <w:pPr>
        <w:pStyle w:val="Heading2"/>
      </w:pPr>
      <w:r>
        <w:t>5.2 Phase Details</w:t>
      </w:r>
    </w:p>
    <w:p>
      <w:pPr>
        <w:pStyle w:val="Heading3"/>
      </w:pPr>
      <w:r>
        <w:t>المرحلة الأولى: التأسيس والتصميم المنهجي (الأشهر 1–2)</w:t>
      </w:r>
    </w:p>
    <w:p>
      <w:r>
        <w:rPr>
          <w:b/>
        </w:rPr>
        <w:t>Activities:</w:t>
      </w:r>
    </w:p>
    <w:p>
      <w:pPr>
        <w:pStyle w:val="ListBullet"/>
      </w:pPr>
      <w:r>
        <w:t>المرحلة الفرعية 1.1 — الانطلاق المؤسسي: عقد اجتماع انطلاق رسمي مع فريق المركز الوطني لتنمية القطاع غير الربحي خلال الأسبوع الأول من إشعار البدء، يتضمن: تأكيد نطاق العمل التفصيلي، ومراجعة المخرجات الإلزامية الثلاثة والعشرين، وتحديد نقاط الاتصال الرئيسية في المركز، والاتفاق على بروتوكول التواصل (تقارير نصف شهرية مكتوبة + اجتماعات أسبوعية عبر الفيديو + اجتماعات شهرية حضورية)، وتوقيع ميثاق المشروع (D-5) الذي يحدد الأدوار والمسؤوليات وآلية التصعيد وبوابات الاعتماد</w:t>
      </w:r>
    </w:p>
    <w:p>
      <w:pPr>
        <w:pStyle w:val="ListBullet"/>
      </w:pPr>
      <w:r>
        <w:t>المرحلة الفرعية 1.1 — تأسيس البنية التحتية للمشروع: إنشاء مستودع مشترك للوثائق (SharePoint أو ما يعتمده المركز) مع هيكل تصنيف موحد لجميع المخرجات، وإعداد لوحة متابعة رقمية (Dashboard) تعرض حالة كل مخرج من D-1 إلى D-23 مع نسبة الإنجاز والمخاطر والتبعيات، وتحديد أدوات جمع البيانات الرقمية (نماذج المسح، أدوات تحليل البيانات، منصات التعاون)</w:t>
      </w:r>
    </w:p>
    <w:p>
      <w:pPr>
        <w:pStyle w:val="ListBullet"/>
      </w:pPr>
      <w:r>
        <w:t>المرحلة الفرعية 1.2 — تصميم المنهجية البحثية التفصيلية: إعداد وثيقة منهجية الدراسة (D-1) التي تتضمن: تعريف الإطار المفاهيمي للمنتجات والخدمات النوعية في القطاع غير الربحي (تعريف إجرائي يشمل الوقف والتبرعات والتطوع والاستضافة وغيرها كما ورد في SI-4)، وتحديد أسئلة البحث الرئيسية لكل مرحلة، وتصميم أدوات جمع البيانات الكمية (استبيانات مسحية، نماذج حصر قطاعي) والنوعية (أدلة مقابلات شبه منظمة، بروتوكولات ورش العمل)، وتحديد مصادر البيانات الأولية والثانوية مع خطة الوصول لكل مصدر وجدوله الزمني. يستند التصميم إلى إطار قانون الأدلة الأمريكي (Foundations for Evidence-Based Policymaking Act) كمرجعية دولية لتصميم الدراسات الحكومية القائمة على الأدلة [EXT-001]، مع تكييفه للسياق السعودي بإضافة مكونات خاصة بالأطر التنظيمية المحلية للقطاع غير الربحي</w:t>
      </w:r>
    </w:p>
    <w:p>
      <w:pPr>
        <w:pStyle w:val="ListBullet"/>
      </w:pPr>
      <w:r>
        <w:t>المرحلة الفرعية 1.2 — تصميم إطار التصنيف القطاعي: بناء إطار تصنيف هجين يجمع بين نظام التصنيف الصناعي الدولي الموحد (ISIC Rev.4) ونظام تصنيف أمريكا الشمالية (NAICS) والتصنيف الدولي للمنظمات غير الربحية (ICNPO) [EXT-003]، مع تكييفه ليعكس خصوصيات القطاع غير الربحي السعودي (أنشطة الوقف، الزكاة، الكفالات، البرامج التنموية). يتضمن الإطار: مستويات تصنيف هرمية (قطاع &gt; نشاط اقتصادي &gt; نوع خدمة/منتج &gt; شكل تقديم)، ومعايير تصنيف موحدة تُطبق على جميع القطاعات الخمسة ذات الأولوية على الأقل، وقاموس مصطلحات موحد باللغة العربية مع المقابلات الإنجليزية</w:t>
      </w:r>
    </w:p>
    <w:p>
      <w:pPr>
        <w:pStyle w:val="ListBullet"/>
      </w:pPr>
      <w:r>
        <w:t>المرحلة الفرعية 1.2 — تحديد القطاعات ذات الأولوية: تطبيق منهجية تحديد الأولويات باستخدام عملية التحليل الشبكي (Analytic Network Process — ANP) [EXT-007] لاختيار القطاعات الخمسة ذات الأولوية (كحد أدنى) بناءً على معايير متعددة تشمل: حجم الاحتياج التنموي، وعدد المستفيدين المحتملين، وحجم الفجوة في الخدمات القائمة، والتوافق مع أولويات رؤية المملكة 2030، وجاهزية البنية التحتية المؤسسية. يُعرض التحليل على لجنة الإشراف بالمركز للمصادقة على القطاعات المختارة قبل الانتقال للمرحلة الثانية</w:t>
      </w:r>
    </w:p>
    <w:p>
      <w:pPr>
        <w:pStyle w:val="ListBullet"/>
      </w:pPr>
      <w:r>
        <w:t>المرحلة الفرعية 1.3 — تحديد خبراء السوق المحليين والدوليين: إعداد قائمة خبراء السوق (D-2) عبر منهجية منظمة تتضمن: تحديد معايير اختيار الخبراء (الخبرة القطاعية المتخصصة لا تقل عن 10 سنوات، المنشورات والأبحاث ذات الصلة، الخبرة العملية في تصميم أو تقييم خدمات القطاع غير الربحي)، ومسح قواعد البيانات الأكاديمية والمهنية (Google Scholar، LinkedIn، شبكات المنظمات غير الربحية الدولية مثل CIVICUS وICNL)، وتصنيف الخبراء حسب القطاع والنشاط والتخصص الجغرافي (محلي/إقليمي/دولي)، وإعداد ملف تعريفي لكل خبير يتضمن مجال التخصص والمنشورات والمشاريع ذات الصلة وآلية التواصل المقترحة</w:t>
      </w:r>
    </w:p>
    <w:p>
      <w:pPr>
        <w:pStyle w:val="ListBullet"/>
      </w:pPr>
      <w:r>
        <w:t>المرحلة الفرعية 1.3 — تحديد الدول محل المقارنة المعيارية: اختيار خمس دول على الأقل [DIRECT_RFP_FACT — SI-3] تمثل نماذج متنوعة في إدارة القطاع غير الربحي، مع تبرير اختيار كل دولة بناءً على معايير محددة: (أ) الولايات المتحدة — أكبر قطاع غير ربحي عالمياً مع إطار تنظيمي متقدم وتنوع في أشكال الخدمات [EXT-001]، (ب) المملكة المتحدة — نموذج متقدم في تنظيم الأعمال الخيرية وقياس الأثر الاجتماعي مع هيئة تنظيمية مستقلة (Charity Commission)، (ج) أستراليا — نموذج متقدم في إدارة محفظة الابتكار في الخدمات غير الربحية [EXT-005]، (د) إندونيسيا — نموذج إسلامي في إدارة الزكاة والوقف مع تجربة متقدمة في ربط الخدمات غير الربحية بالاحتياجات التنموية [EXT-007]، (هـ) ماليزيا أو تركيا — نموذج إسلامي إضافي مع تجربة في تحديث منظومة الوقف والخدمات الاجتماعية. يُعرض التبرير على لجنة الإشراف للمصادقة مع إمكانية استبدال أو إضافة دول بناءً على توجيهات المركز</w:t>
      </w:r>
    </w:p>
    <w:p>
      <w:pPr>
        <w:pStyle w:val="ListBullet"/>
      </w:pPr>
      <w:r>
        <w:t>المرحلة الفرعية 1.4 — تصميم خطة العمل التنفيذية: إعداد الخطة التنفيذية والجدول الزمني (D-3) بتفصيل أسبوعي للأشهر الثلاثة الأولى وشهري للأشهر التسعة المتبقية، تتضمن: مخطط غانت تفصيلي يربط كل نشاط بمخرجه الإلزامي والدور المسؤول والمدة المقدرة والتبعيات، ومصفوفة RACI لجميع المخرجات الثلاثة والعشرين تحدد المسؤول والمعتمد والمستشار والمُبلَّغ لكل مخرج، وتحديد المسار الحرج (Critical Path) والأنشطة ذات المرونة الزمنية، وخطة إدارة المخاطر مع سجل مخاطر أولي يتضمن عشرة مخاطر رئيسية مع احتمالية الحدوث والأثر وإجراءات التخفيف</w:t>
      </w:r>
    </w:p>
    <w:p>
      <w:pPr>
        <w:pStyle w:val="ListBullet"/>
      </w:pPr>
      <w:r>
        <w:t>المرحلة الفرعية 1.4 — تصميم نموذج الحوكمة: إعداد وثيقة حوكمة المشروع واعتماد المخرجات (D-4) التي تحدد: هيكل الحوكمة ثلاثي المستويات (لجنة توجيهية عليا تجتمع شهرياً، لجنة إشراف فنية تجتمع نصف شهرياً، فريق عمل تنفيذي يجتمع أسبوعياً)، وبوابات اعتماد بين كل مرحلة تتطلب موافقة خطية من لجنة الإشراف قبل الانتقال للمرحلة التالية، وآلية تصعيد من ثلاثة مستويات (مدير المشروع &gt; لجنة الإشراف &gt; لجنة التوجيه العليا) مع أطر زمنية محددة لكل مستوى (48 ساعة &gt; 5 أيام عمل &gt; 10 أيام عمل)، ومعايير قبول كل مخرج إلزامي تشمل: اكتمال المحتوى، واتساق التصنيفات، وتوثيق المصادر، وموافقة المراجع الفني</w:t>
      </w:r>
    </w:p>
    <w:p>
      <w:pPr>
        <w:pStyle w:val="ListBullet"/>
      </w:pPr>
      <w:r>
        <w:t>المرحلة الفرعية 1.5 — إطلاق مسار نقل المعرفة: تصميم برنامج بناء القدرات لموظفي المركز (SI-8) [DIRECT_RFP_FACT] يتضمن: تقييم أولي لمستوى المعرفة والمهارات الحالية لفريق المركز المشارك في المشروع عبر استبيان تقييمي ومقابلات فردية، وتصميم خطة تدريب مرحلية تتضمن ورشة تأسيسية في الشهر الأول حول منهجية البحث المختلط وأدوات الحصر والتصنيف، وورش تطبيقية مصاحبة لكل مرحلة لاحقة، وتسليم أدوات ونماذج عمل قابلة لإعادة الاستخدام (قوالب الحصر، نماذج التحليل، أدلة المقابلات) مع وثائق إرشادية مفصلة</w:t>
      </w:r>
    </w:p>
    <w:p>
      <w:pPr>
        <w:pStyle w:val="ListBullet"/>
      </w:pPr>
      <w:r>
        <w:t>المرحلة الفرعية 1.5 — ورشة العمل التأسيسية الأولى: تنفيذ ورشة عمل تدريبية لفريق المركز (يومان) تغطي: مفاهيم المنتجات والخدمات النوعية في القطاع غير الربحي، وإطار التصنيف القطاعي المعتمد، وأدوات جمع البيانات الكمية والنوعية، ومنهجية المقارنة المعيارية الدولية. تتضمن الورشة تمارين تطبيقية على بيانات فعلية من المركز لضمان الاستيعاب العملي وليس النظري فقط</w:t>
      </w:r>
    </w:p>
    <w:p>
      <w:pPr>
        <w:pStyle w:val="ListBullet"/>
      </w:pPr>
      <w:r>
        <w:t>المرحلة الفرعية 1.5 — جمع البيانات الأولية: بدء جمع البيانات الثانوية المتاحة من المركز (قواعد بيانات الجمعيات المسجلة، تقارير سابقة، إحصاءات القطاع) ومن المصادر العامة (الهيئة العامة للإحصاء، وزارة الموارد البشرية والتنمية الاجتماعية، منصة إحسان، منصات التبرع والتطوع)، وتقييم جودة البيانات المتاحة وتحديد الفجوات التي تتطلب جمع بيانات أولية في المرحلة الثانية</w:t>
      </w:r>
    </w:p>
    <w:p>
      <w:r>
        <w:rPr>
          <w:b/>
        </w:rPr>
        <w:t>Deliverables:</w:t>
      </w:r>
    </w:p>
    <w:p>
      <w:pPr>
        <w:pStyle w:val="ListBullet"/>
      </w:pPr>
      <w:r>
        <w:t>D-1: وثيقة منهجية الدراسة المقترحة — تتضمن الإطار المفاهيمي، وأسئلة البحث، وتصميم البحث المختلط (كمي + نوعي + مقارنة معيارية)، وأدوات جمع البيانات، ومصادر البيانات الأولية والثانوية، وخطة الحصول على البيانات مع جدول زمني لكل مصدر، وإطار التصنيف القطاعي الهجين (ISIC/NAICS/ICNPO المكيّف للسياق السعودي) [EXT-003]</w:t>
      </w:r>
    </w:p>
    <w:p>
      <w:pPr>
        <w:pStyle w:val="ListBullet"/>
      </w:pPr>
      <w:r>
        <w:t>D-2: وثيقة قائمة خبراء السوق المحليين والدوليين المتخصصين في كل قطاع/نشاط — تتضمن ملفاً تعريفياً لكل خبير يشمل: الاسم، التخصص القطاعي، سنوات الخبرة، المنشورات والمشاريع ذات الصلة، النطاق الجغرافي (محلي/إقليمي/دولي)، آلية التواصل المقترحة، والدور المتوقع في المشروع (مراجع، مستشار، مشارك في ورش العمل)</w:t>
      </w:r>
    </w:p>
    <w:p>
      <w:pPr>
        <w:pStyle w:val="ListBullet"/>
      </w:pPr>
      <w:r>
        <w:t>D-3: الخطة التنفيذية والجدول الزمني — تتضمن مخطط غانت تفصيلي بتفصيل أسبوعي للأشهر 1–3 وشهري للأشهر 4–12، ومصفوفة RACI لجميع المخرجات D-1 إلى D-23، وتحديد المسار الحرج والتبعيات، وخطة إدارة المخاطر مع سجل مخاطر أولي</w:t>
      </w:r>
    </w:p>
    <w:p>
      <w:pPr>
        <w:pStyle w:val="ListBullet"/>
      </w:pPr>
      <w:r>
        <w:t>D-4: وثيقة حوكمة المشروع واعتماد المخرجات — تتضمن هيكل الحوكمة ثلاثي المستويات، وبوابات الاعتماد بين المراحل، وآلية التصعيد، ومعايير قبول كل مخرج إلزامي، وبروتوكول التواصل والتقارير الدورية</w:t>
      </w:r>
    </w:p>
    <w:p>
      <w:pPr>
        <w:pStyle w:val="ListBullet"/>
      </w:pPr>
      <w:r>
        <w:t>D-5: ميثاق المشروع — يتضمن نطاق العمل المعتمد، والأهداف والمخرجات، والأدوار والمسؤوليات، والافتراضات والقيود، ومعايير النجاح، وتوقيعات الأطراف المعنية</w:t>
      </w:r>
    </w:p>
    <w:p>
      <w:pPr>
        <w:pStyle w:val="ListBullet"/>
      </w:pPr>
      <w:r>
        <w:t>مخرج داعم (غير تعاقدي): تقرير تقييم جاهزية البيانات — يوثق البيانات المتاحة من المركز والمصادر العامة، ويحدد فجوات البيانات وخطة سدها في المرحلة الثانية</w:t>
      </w:r>
    </w:p>
    <w:p>
      <w:pPr>
        <w:pStyle w:val="ListBullet"/>
      </w:pPr>
      <w:r>
        <w:t>مخرج داعم (غير تعاقدي): تقرير تقييم مستوى المعرفة الأولي لفريق المركز — يوثق نتائج التقييم الأولي ويحدد الاحتياجات التدريبية المرحلية</w:t>
      </w:r>
    </w:p>
    <w:p>
      <w:pPr>
        <w:pStyle w:val="ListBullet"/>
      </w:pPr>
      <w:r>
        <w:t>مخرج داعم (غير تعاقدي): مواد ورشة العمل التأسيسية الأولى — تتضمن العروض التقديمية والتمارين التطبيقية وأدلة المشاركين</w:t>
      </w:r>
    </w:p>
    <w:p>
      <w:r>
        <w:rPr>
          <w:b/>
        </w:rPr>
        <w:t xml:space="preserve">Governance: </w:t>
      </w:r>
      <w:r>
        <w:t>بوابة اعتماد المرحلة الأولى (نهاية الشهر 2): تُعرض المخرجات D-1 إلى D-5 على لجنة الإشراف الفنية بالمركز في اجتماع مراجعة رسمي. معايير الاجتياز: اكتمال جميع المخرجات الخمسة الإلزامية، وموافقة المركز على منهجية الدراسة وإطار التصنيف والقطاعات المختارة والدول محل المقارنة وقائمة الخبراء. لا يُسمح بالانتقال للمرحلة الثانية إلا بعد الحصول على موافقة خطية من لجنة الإشراف. في حال وجود ملاحظات، يُمنح الفريق 5 أيام عمل للتعديل وإعادة التقديم. التصعيد: إذا لم تُحسم الملاحظات خلال 10 أيام عمل، يُصعَّد الأمر إلى لجنة التوجيه العليا. التقارير: تقرير تقدم نصف شهري يُرسل إلى لجنة الإشراف، واجتماع أسبوعي مع نقطة الاتصال الرئيسية بالمركز.</w:t>
      </w:r>
    </w:p>
    <w:p>
      <w:pPr>
        <w:pStyle w:val="Heading3"/>
      </w:pPr>
      <w:r>
        <w:t>المرحلة الثانية: الحصر والمسح القطاعي والمقارنة المعيارية الدولية (الأشهر 3–5)</w:t>
      </w:r>
    </w:p>
    <w:p>
      <w:r>
        <w:rPr>
          <w:b/>
        </w:rPr>
        <w:t>Activities:</w:t>
      </w:r>
    </w:p>
    <w:p>
      <w:pPr>
        <w:pStyle w:val="ListBullet"/>
      </w:pPr>
      <w:r>
        <w:t>المرحلة الفرعية 2.1 — الحصر القطاعي المنظم: تنفيذ عملية حصر شاملة للمنتجات والخدمات النوعية القائمة في القطاع غير الربحي السعودي عبر القطاعات الخمسة ذات الأولوية على الأقل [DIRECT_RFP_FACT — SI-2]، باستخدام إطار التصنيف الهجين المعتمد في المرحلة الأولى. يتضمن الحصر: مسح قواعد بيانات المركز الوطني لتحديد جميع الجمعيات والمؤسسات المسجلة وتصنيفها حسب القطاع والنشاط، ومسح المنصات الرقمية (إحسان، منصات التبرع، منصات التطوع) لتحديد المنتجات والخدمات المقدمة فعلياً، وجمع بيانات كمية عن حجم كل خدمة/منتج (عدد المستفيدين، حجم التمويل، النطاق الجغرافي، مدة التشغيل). يُطبق مبدأ Measure من منهجية DMAIC [EXT-002] لضمان اكتمال البيانات وموثوقيتها عبر تحديد مقاييس جودة البيانات (الاكتمال، الدقة، الحداثة، الاتساق) ومراقبتها طوال عملية الحصر</w:t>
      </w:r>
    </w:p>
    <w:p>
      <w:pPr>
        <w:pStyle w:val="ListBullet"/>
      </w:pPr>
      <w:r>
        <w:t>المرحلة الفرعية 2.1 — تغطية الأنشطة الاقتصادية المتنوعة: ضمان تغطية مختلف الأنشطة الاقتصادية في كل قطاع كما نصت كراسة الشروط [DIRECT_RFP_FACT — SI-2]، بما يشمل: أنشطة جمع التبرعات بأشكالها المختلفة (نقدية، عينية، رقمية)، وأنشطة التطوع (فردي، مؤسسي، متخصص)، وأنشطة الوقف (عقاري، نقدي، استثماري)، وأنشطة الاستضافة والرعاية، وأنشطة التمكين والتأهيل، وأنشطة البحث والدراسات، وأي أشكال أخرى تُكتشف أثناء الحصر. لكل نشاط يُحدد: التعريف الإجرائي، والإطار التنظيمي الحاكم، وحجم السوق التقديري، والفاعلون الرئيسيون، والتحديات والفرص</w:t>
      </w:r>
    </w:p>
    <w:p>
      <w:pPr>
        <w:pStyle w:val="ListBullet"/>
      </w:pPr>
      <w:r>
        <w:t>المرحلة الفرعية 2.2 — دراسة التصنيفات والمعايير: إجراء دراسة تفصيلية للتصنيفات والمعايير المعتمدة ذات الصلة بكل قطاع/نشاط [DIRECT_RFP_FACT — SI-3]، تشمل: التصنيفات الدولية (ISIC، NAICS، ICNPO، NTEE) [EXT-003] وكيفية تطبيقها على السياق السعودي، والمعايير المحلية المعتمدة من الجهات التنظيمية (وزارة الموارد البشرية والتنمية الاجتماعية، الهيئة العامة للأوقاف، هيئة الزكاة والضريبة والجمارك)، ومعايير الجودة والحوكمة المطبقة على المنظمات غير الربحية السعودية. يُنتج هذا النشاط جدولاً مقارناً يربط بين التصنيفات الدولية والمحلية ويحدد الفجوات والتداخلات</w:t>
      </w:r>
    </w:p>
    <w:p>
      <w:pPr>
        <w:pStyle w:val="ListBullet"/>
      </w:pPr>
      <w:r>
        <w:t>المرحلة الفرعية 2.2 — المقارنة المعيارية الدولية: تنفيذ دراسة مقارنة معيارية للدول الخمس المعتمدة في المرحلة الأولى [DIRECT_RFP_FACT — SI-3]، باستخدام إطار تحليل مقارن منظم يتضمن لكل دولة: الإطار التنظيمي والتشريعي للقطاع غير الربحي، وأنواع المنتجات والخدمات المقدمة وتصنيفاتها، وآليات التمويل والاستدامة المالية، ونماذج الحوكمة والمساءلة، ومؤشرات الأداء والأثر المستخدمة، والدروس المستفادة القابلة للنقل إلى السياق السعودي. يُستخدم إطار تقييم الاحتياجات المجتمعية (CNA) [EXT-006] لتنظيم المقارنة حول محاور: الاحتياجات المجتمعية، والموارد المتاحة، والفجوات، والتدخلات الناجحة. ملاحظة: المقارنة المعيارية الدولية هي مرجعية داعمة فقط وليست دليلاً على الوضع الراهن في المملكة العربية السعودية — سيتم التحقق من قابلية النقل في المرحلة الثالثة</w:t>
      </w:r>
    </w:p>
    <w:p>
      <w:pPr>
        <w:pStyle w:val="ListBullet"/>
      </w:pPr>
      <w:r>
        <w:t>المرحلة الفرعية 2.3 — تحليل أصحاب المصلحة: إجراء تحليل شامل لأصحاب المصلحة القائمين والمحتملين [DIRECT_RFP_FACT — SI-4] باستخدام أدوات المشاركة المتعددة [EXT-004]، يتضمن: تحديد جميع فئات أصحاب المصلحة (الجمعيات الأهلية، المؤسسات الوقفية، الجهات الحكومية المشرفة، القطاع الخاص، المستفيدون المباشرون، المتبرعون، المتطوعون، الأكاديميون والباحثون، المنظمات الدولية)، وتصنيفهم حسب مستوى التأثير والاهتمام (مصفوفة القوة/الاهتمام)، وتحديد احتياجات وتوقعات كل فئة، وتصميم استراتيجية مشاركة مخصصة لكل فئة تحدد: أداة المشاركة المناسبة (مقابلة، ورشة عمل، استبيان، مجموعة تركيز)، والتوقيت، والمخرج المتوقع</w:t>
      </w:r>
    </w:p>
    <w:p>
      <w:pPr>
        <w:pStyle w:val="ListBullet"/>
      </w:pPr>
      <w:r>
        <w:t>المرحلة الفرعية 2.3 — تنفيذ المقابلات المعمقة: إجراء 20-30 مقابلة معمقة شبه منظمة مع ممثلين عن فئات أصحاب المصلحة الرئيسية، باستخدام أدلة مقابلات مصممة خصيصاً لكل فئة. تغطي المقابلات: الوضع الراهن للمنتجات والخدمات من منظور كل فئة، والتحديات والفجوات المحددة، والفرص والابتكارات المقترحة، والحوافز المطلوبة لتبني منتجات وخدمات جديدة. يتم تسجيل المقابلات (بموافقة المشاركين) وتحليلها باستخدام التحليل الموضوعي (Thematic Analysis)</w:t>
      </w:r>
    </w:p>
    <w:p>
      <w:pPr>
        <w:pStyle w:val="ListBullet"/>
      </w:pPr>
      <w:r>
        <w:t>المرحلة الفرعية 2.4 — دراسة الوضع الراهن: إعداد تحليل شامل للوضع الراهن للمنتجات والخدمات القائمة في المملكة [DIRECT_RFP_FACT — SI-4] بمختلف أشكالها (جمع التبرع، التطوع، الوقف، الاستضافة ونحوها)، يتضمن: خريطة حرارية توضح التوزيع الجغرافي للخدمات عبر مناطق المملكة، وتحليل التركز والتشتت حسب القطاع والنشاط والمنطقة، وتحديد المنتجات والخدمات الأكثر انتشاراً والأقل تغطية، وتحليل سلسلة القيمة لكل نوع خدمة رئيسي (من التمويل إلى التقديم إلى قياس الأثر)</w:t>
      </w:r>
    </w:p>
    <w:p>
      <w:pPr>
        <w:pStyle w:val="ListBullet"/>
      </w:pPr>
      <w:r>
        <w:t>المرحلة الفرعية 2.4 — تحليل المنتجات والخدمات القائمة: إجراء تحليل تفصيلي للمنتجات والخدمات النوعية في كل نشاط/قطاع مع توضيح المزايا والتحديات [DIRECT_RFP_FACT — D-10]، باستخدام مبدأ Analyze من منهجية DMAIC [EXT-002]. يتضمن التحليل لكل منتج/خدمة: وصف المنتج/الخدمة ونموذج التقديم، والفئة المستهدفة وحجم الوصول الفعلي، ومصادر التمويل ونموذج الاستدامة المالية، ونقاط القوة والتحديات التشغيلية، ومقارنة مع الممارسات الدولية المماثلة، وتقييم مبدئي لإمكانية التطوير أو الاستبدال</w:t>
      </w:r>
    </w:p>
    <w:p>
      <w:pPr>
        <w:pStyle w:val="ListBullet"/>
      </w:pPr>
      <w:r>
        <w:t>المرحلة الفرعية 2.5 — دراسة الممارسات الرائدة المحلية والدولية: إعداد دراسة تفصيلية للممارسات المحلية والدولية الرائدة فيما يتعلق بالمنتجات والخدمات النوعية [DIRECT_RFP_FACT — D-12]، تتضمن: تحديد 15-20 ممارسة رائدة (محلية ودولية) في تصميم وتقديم خدمات القطاع غير الربحي، وتحليل كل ممارسة من حيث: السياق، والنموذج التشغيلي، وعوامل النجاح، والتحديات، وقابلية النقل إلى السياق السعودي. يُستخدم نموذج إدارة الزكاة في القطاع الصحي بإندونيسيا [EXT-007] كمرجعية داعمة لتحليل نماذج الخدمات الإسلامية، وإطار إدارة محفظة الابتكار الأسترالي [EXT-005] لتحليل نماذج الابتكار في الخدمات غير الربحية</w:t>
      </w:r>
    </w:p>
    <w:p>
      <w:pPr>
        <w:pStyle w:val="ListBullet"/>
      </w:pPr>
      <w:r>
        <w:t>المرحلة الفرعية 2.5 — ورش العمل التشاركية: تنفيذ 3-5 ورش عمل تشاركية مع أصحاب المصلحة الرئيسيين [DIRECT_RFP_FACT — D-11]، مصممة حسب مستوى المشاركة المطلوب [EXT-004]: (أ) ورشة استشارية مع الجهات الحكومية المشرفة لمراجعة نتائج الحصر والتصنيف، (ب) ورشة إشراكية مع الجمعيات والمؤسسات غير الربحية لمناقشة التحديات والفرص، (ج) ورشة تعاونية مع خبراء القطاع المحليين والدوليين لتقييم الممارسات الرائدة وقابلية نقلها، (د) ورشة تمكينية مع فريق المركز لنقل المعرفة حول أدوات الحصر والتحليل. تُوثق نتائج كل ورشة في تقرير منفصل يُدمج في وثيقة نتائج ورش العمل (D-11)</w:t>
      </w:r>
    </w:p>
    <w:p>
      <w:pPr>
        <w:pStyle w:val="ListBullet"/>
      </w:pPr>
      <w:r>
        <w:t>المرحلة الفرعية 2.5 — ورشة تدريبية لفريق المركز (المرحلة الثانية): تنفيذ ورشة تدريبية تطبيقية (يوم واحد) لفريق المركز حول: أدوات الحصر القطاعي وكيفية تحديثها، ومنهجية المقارنة المعيارية الدولية وكيفية تطبيقها على قطاعات إضافية مستقبلاً، وأدوات تحليل أصحاب المصلحة وكيفية تحديث الخريطة دورياً. تتضمن الورشة تمارين تطبيقية على بيانات فعلية من نتائج الحصر</w:t>
      </w:r>
    </w:p>
    <w:p>
      <w:pPr>
        <w:pStyle w:val="ListBullet"/>
      </w:pPr>
      <w:r>
        <w:t>المرحلة الفرعية 2.5 — إعداد الملخص التنفيذي للمرحلة: تجميع وتحليل جميع نتائج المرحلة الثانية في ملخص تنفيذي يتضمن أبرز النتائج والتوصيات الأولية [DIRECT_RFP_FACT — D-14]، مع تحديد الفجوات الرئيسية في المنتجات والخدمات القائمة والفرص ذات الأولوية التي ستُعالج في المرحلة الثالثة</w:t>
      </w:r>
    </w:p>
    <w:p>
      <w:r>
        <w:rPr>
          <w:b/>
        </w:rPr>
        <w:t>Deliverables:</w:t>
      </w:r>
    </w:p>
    <w:p>
      <w:pPr>
        <w:pStyle w:val="ListBullet"/>
      </w:pPr>
      <w:r>
        <w:t>D-6: وثيقة الدراسة الشاملة للقطاعات ذات الأولوية والأنشطة الاقتصادية والمعايير والتصنيفات ذات العلاقة — تتضمن: حصر كمي لجميع المنتجات والخدمات القائمة مصنفة حسب إطار التصنيف الهجين (ISIC/NAICS/ICNPO المكيّف)، وتحليل التوزيع حسب القطاع والنشاط والمنطقة الجغرافية، وجدول مقارن للتصنيفات الدولية والمحلية</w:t>
      </w:r>
    </w:p>
    <w:p>
      <w:pPr>
        <w:pStyle w:val="ListBullet"/>
      </w:pPr>
      <w:r>
        <w:t>D-7: وثيقة الممارسات العالمية الرائدة وتحديد الدول محل الدراسة — تتضمن: تحليل مقارن منظم لخمس دول على الأقل عبر محاور موحدة (الإطار التنظيمي، أنواع الخدمات، آليات التمويل، نماذج الحوكمة، مؤشرات الأداء)، مع تقييم قابلية نقل كل ممارسة إلى السياق السعودي</w:t>
      </w:r>
    </w:p>
    <w:p>
      <w:pPr>
        <w:pStyle w:val="ListBullet"/>
      </w:pPr>
      <w:r>
        <w:t>D-8: وثيقة خارطة أصحاب المصلحة القائمين والمحتملين — تتضمن: مصفوفة أصحاب المصلحة مصنفة حسب التأثير والاهتمام، وملف تعريفي لكل فئة يشمل الاحتياجات والتوقعات واستراتيجية المشاركة المقترحة</w:t>
      </w:r>
    </w:p>
    <w:p>
      <w:pPr>
        <w:pStyle w:val="ListBullet"/>
      </w:pPr>
      <w:r>
        <w:t>D-9: وثيقة الوضع الراهن للمنتجات والخدمات القائمة في المملكة — تتضمن: خريطة حرارية للتوزيع الجغرافي، وتحليل التركز والتشتت، وسلسلة القيمة لكل نوع خدمة رئيسي، وتحديد الفجوات والفرص</w:t>
      </w:r>
    </w:p>
    <w:p>
      <w:pPr>
        <w:pStyle w:val="ListBullet"/>
      </w:pPr>
      <w:r>
        <w:t>D-10: وثيقة تحليل المنتجات والخدمات النوعية في كل نشاط/قطاع مع توضيح المزايا والتحديات — تتضمن: بطاقة تحليلية لكل منتج/خدمة قائمة تشمل الوصف والفئة المستهدفة ونموذج التمويل ونقاط القوة والتحديات وتقييم إمكانية التطوير</w:t>
      </w:r>
    </w:p>
    <w:p>
      <w:pPr>
        <w:pStyle w:val="ListBullet"/>
      </w:pPr>
      <w:r>
        <w:t>D-11: وثيقة نتائج ورش العمل — تتضمن: ملخص كل ورشة (الأهداف، المشاركون، المنهجية، النتائج الرئيسية، التوصيات)، وتحليل تجميعي للموضوعات المشتركة عبر جميع الورش</w:t>
      </w:r>
    </w:p>
    <w:p>
      <w:pPr>
        <w:pStyle w:val="ListBullet"/>
      </w:pPr>
      <w:r>
        <w:t>D-12: وثيقة دراسة الممارسات المحلية والدولية الرائدة فيما يتعلق بالمنتجات والخدمات النوعية — تتضمن: 15-20 دراسة حالة مفصلة مع تحليل عوامل النجاح وقابلية النقل</w:t>
      </w:r>
    </w:p>
    <w:p>
      <w:pPr>
        <w:pStyle w:val="ListBullet"/>
      </w:pPr>
      <w:r>
        <w:t>D-14: وثيقة ملخص وأبرز النتائج والتوصيات في المرحلة — تتضمن: ملخص تنفيذي لنتائج الحصر والمقارنة المعيارية وتحليل أصحاب المصلحة، مع تحديد الفجوات الرئيسية والفرص ذات الأولوية للمرحلة الثالثة</w:t>
      </w:r>
    </w:p>
    <w:p>
      <w:r>
        <w:rPr>
          <w:b/>
        </w:rPr>
        <w:t xml:space="preserve">Governance: </w:t>
      </w:r>
      <w:r>
        <w:t>بوابة اعتماد المرحلة الثانية (نهاية الشهر 5): تُعرض المخرجات D-6 إلى D-12 وD-14 على لجنة الإشراف الفنية في اجتماع مراجعة رسمي. معايير الاجتياز: اكتمال حصر جميع القطاعات الخمسة ذات الأولوية على الأقل مع تغطية مختلف الأنشطة الاقتصادية في كل قطاع، واكتمال المقارنة المعيارية لخمس دول على الأقل، واكتمال خريطة أصحاب المصلحة، وموافقة المركز على نتائج الحصر والتحليل كأساس للمرحلة الثالثة. مراجعة الجودة: يخضع كل مخرج لمراجعة داخلية من فريق ضمان الجودة قبل تقديمه للمركز، مع التحقق من اتساق التصنيفات والمصطلحات عبر جميع المخرجات. التقارير: تقريران نصف شهريان خلال كل شهر من المرحلة، واجتماع أسبوعي مع نقطة الاتصال بالمركز، واجتماع شهري مع لجنة الإشراف. التصعيد: نفس آلية المرحلة الأولى (مدير المشروع &gt; لجنة الإشراف &gt; لجنة التوجيه العليا).</w:t>
      </w:r>
    </w:p>
    <w:p>
      <w:pPr>
        <w:pStyle w:val="Heading3"/>
      </w:pPr>
      <w:r>
        <w:t>المرحلة الثالثة: تحليل الاحتياجات التنموية وتصميم المنتجات والخدمات المبتكرة (الأشهر 6–8)</w:t>
      </w:r>
    </w:p>
    <w:p>
      <w:r>
        <w:rPr>
          <w:b/>
        </w:rPr>
        <w:t>Activities:</w:t>
      </w:r>
    </w:p>
    <w:p>
      <w:pPr>
        <w:pStyle w:val="ListBullet"/>
      </w:pPr>
      <w:r>
        <w:t>المرحلة الفرعية 3.1 — تصميم منهجية التحليل: إعداد وثيقة منهجية التحليل المقترحة (D-15) التي تحدد: الإطار التحليلي لربط الاحتياجات التنموية بالمنتجات والخدمات النوعية، وأدوات التحليل الكمي والنوعي المستخدمة، ومعايير تقييم الاحتياجات (الإلحاح، الحجم، الفجوة في التغطية، التوافق مع الأولويات الوطنية)، ومنهجية الربط بين الاحتياجات والتدخلات المقترحة. يستند الإطار إلى منهجية تقييم الاحتياجات المجتمعية (CNA) [EXT-006] التي توفر هيكلاً منظماً لتحديد الاحتياجات وترتيبها وربطها بالتدخلات — مع التأكيد على أن هذا الإطار الدولي يُستخدم كمرجعية منهجية داعمة ويتم تكييفه للسياق السعودي وليس تطبيقه حرفياً</w:t>
      </w:r>
    </w:p>
    <w:p>
      <w:pPr>
        <w:pStyle w:val="ListBullet"/>
      </w:pPr>
      <w:r>
        <w:t>المرحلة الفرعية 3.1 — تحليل الاحتياجات التنموية: تنفيذ تحليل شامل للاحتياجات التنموية بحسب الأنشطة والقطاعات ذات الأولوية [DIRECT_RFP_FACT — SI-5]، يتضمن: تحليل البيانات الكمية المجمعة في المرحلة الثانية لتحديد الفجوات بين العرض (الخدمات القائمة) والطلب (الاحتياجات غير الملباة)، وتحليل البيانات النوعية من المقابلات وورش العمل لفهم طبيعة الاحتياجات وأولوياتها من منظور أصحاب المصلحة المختلفين، وتحليل التوزيع الجغرافي للاحتياجات مقارنة بتوزيع الخدمات القائمة لتحديد المناطق الأكثر حاجة، وتحليل الاحتياجات حسب الفئات المستهدفة (الأسر المحتاجة، الأيتام، كبار السن، ذوو الإعاقة، الشباب، المرأة) لضمان شمولية التغطية</w:t>
      </w:r>
    </w:p>
    <w:p>
      <w:pPr>
        <w:pStyle w:val="ListBullet"/>
      </w:pPr>
      <w:r>
        <w:t>المرحلة الفرعية 3.2 — تصميم المنتجات والخدمات المبتكرة المقترحة: بناءً على نتائج تحليل الاحتياجات والفجوات والممارسات الدولية الرائدة، يتم تصميم قائمة أولية بالمنتجات والخدمات النوعية المبتكرة المقترحة. لكل منتج/خدمة مقترحة يُعد وصف أولي يتضمن: اسم المنتج/الخدمة، والقطاع والنشاط المرتبط، والاحتياج التنموي الذي يعالجه، والفئة المستهدفة، ونموذج التقديم المقترح، والمرجعية الدولية (إن وجدت)، وعنصر الابتكار مقارنة بالخدمات القائمة. يُطبق مبدأ Improve من منهجية DMAIC [EXT-002] لضمان أن كل منتج/خدمة مقترحة يعالج فجوة محددة ومقاسة وليس مجرد فكرة نظرية. كما يُستخدم إطار إدارة محفظة الابتكار [EXT-005] للتفريق بين ثلاثة أنواع من التدخلات: تحسين خدمات قائمة، وتطوير خدمات جديدة في قطاعات قائمة، وابتكار خدمات في مجالات جديدة كلياً</w:t>
      </w:r>
    </w:p>
    <w:p>
      <w:pPr>
        <w:pStyle w:val="ListBullet"/>
      </w:pPr>
      <w:r>
        <w:t>المرحلة الفرعية 3.2 — اختبار جدوى المنتجات والخدمات المقترحة: إجراء تقييم أولي لجدوى كل منتج/خدمة مقترحة عبر معايير متعددة: الجدوى التشغيلية (هل يمكن تقديمها ضمن البنية التحتية المؤسسية القائمة أو بتعديلات محدودة؟)، والجدوى المالية (ما نموذج التمويل المقترح وهل هو مستدام؟)، والجدوى التنظيمية (هل تتوافق مع الإطار التشريعي القائم أو تتطلب تعديلات تنظيمية؟)، والأثر المتوقع (ما حجم المستفيدين المحتملين وما الأثر التنموي المتوقع؟). يتم استبعاد أو تعديل المنتجات والخدمات التي لا تجتاز اختبار الجدوى الأولي</w:t>
      </w:r>
    </w:p>
    <w:p>
      <w:pPr>
        <w:pStyle w:val="ListBullet"/>
      </w:pPr>
      <w:r>
        <w:t>المرحلة الفرعية 3.3 — ربط المنتجات والخدمات بالاحتياجات التنموية: إعداد مصفوفة ربط شاملة تربط كل منتج/خدمة مبتكرة مقترحة بالاحتياج التنموي المحدد الذي يعالجه [DIRECT_RFP_FACT — D-17]، مع توضيح: سلسلة الأثر المتوقعة (المدخلات &gt; الأنشطة &gt; المخرجات &gt; النتائج &gt; الأثر)، والافتراضات الأساسية التي يقوم عليها الربط، والمخاطر المحتملة وإجراءات التخفيف، والمؤشرات الأولية لقياس نجاح التدخل. يُستخدم نموذج نظرية التغيير (Theory of Change) كإطار منهجي لتصميم سلسلة الأثر لكل تدخل، مع التأكيد على أن الآثار المتوقعة هي تقديرات أولية ستُحدَّث بناءً على بيانات التنفيذ الفعلي</w:t>
      </w:r>
    </w:p>
    <w:p>
      <w:pPr>
        <w:pStyle w:val="ListBullet"/>
      </w:pPr>
      <w:r>
        <w:t>المرحلة الفرعية 3.3 — التحقق من صحة التصميم مع أصحاب المصلحة: تنفيذ جولة تحقق مع أصحاب المصلحة الرئيسيين (ممثلو الجمعيات، خبراء القطاع، ممثلو الجهات الحكومية) للتحقق من: واقعية المنتجات والخدمات المقترحة، وملاءمتها للاحتياجات الفعلية، وقابلية تنفيذها ضمن السياق المحلي. يتم ذلك عبر 2-3 جلسات تحقق مركزة (Focus Groups) مع فئات مختلفة من أصحاب المصلحة، وتُستخدم نتائج التحقق لتعديل وتحسين القائمة النهائية</w:t>
      </w:r>
    </w:p>
    <w:p>
      <w:pPr>
        <w:pStyle w:val="ListBullet"/>
      </w:pPr>
      <w:r>
        <w:t>المرحلة الفرعية 3.4 — إعداد القائمة النهائية للمنتجات والخدمات المبتكرة: بناءً على نتائج التحليل واختبار الجدوى والتحقق مع أصحاب المصلحة، يتم إعداد القائمة النهائية للمنتجات والخدمات النوعية المبتكرة المقترحة (D-13) [DIRECT_RFP_FACT]، مصنفة حسب: القطاع والنشاط، ونوع التدخل (تحسين قائم / تطوير جديد / ابتكار)، والفئة المستهدفة، ومستوى الأولوية الأولي. تتضمن القائمة وصفاً موجزاً لكل منتج/خدمة مع إشارة إلى بطاقة التفصيل التي ستُعد في المرحلة الرابعة (D-21)</w:t>
      </w:r>
    </w:p>
    <w:p>
      <w:pPr>
        <w:pStyle w:val="ListBullet"/>
      </w:pPr>
      <w:r>
        <w:t>المرحلة الفرعية 3.4 — تحليل الفجوات بين الوضع الراهن والمستهدف: إعداد تحليل فجوات شامل يقارن بين: المنتجات والخدمات القائمة (من D-9 وD-10) والمنتجات والخدمات المقترحة (D-13)، مع تحديد: الفجوات التي تعالجها المقترحات الجديدة، والخدمات القائمة التي تحتاج تطوير أو إعادة تصميم، والخدمات القائمة التي يُوصى بإيقافها أو دمجها، والموارد والقدرات المطلوبة لسد الفجوات</w:t>
      </w:r>
    </w:p>
    <w:p>
      <w:pPr>
        <w:pStyle w:val="ListBullet"/>
      </w:pPr>
      <w:r>
        <w:t>المرحلة الفرعية 3.5 — ورشة تدريبية لفريق المركز (المرحلة الثالثة): تنفيذ ورشة تدريبية تطبيقية (يوم واحد) لفريق المركز حول: منهجية تحليل الاحتياجات التنموية وكيفية تحديثها دورياً، وأدوات تصميم المنتجات والخدمات المبتكرة، ومنهجية اختبار الجدوى الأولي، ونموذج نظرية التغيير وكيفية تطبيقه. تتضمن الورشة تمريناً تطبيقياً يقوم فيه فريق المركز بتصميم منتج/خدمة مبتكرة باستخدام الأدوات المقدمة</w:t>
      </w:r>
    </w:p>
    <w:p>
      <w:pPr>
        <w:pStyle w:val="ListBullet"/>
      </w:pPr>
      <w:r>
        <w:t>المرحلة الفرعية 3.5 — مراجعة الجودة الداخلية: إجراء مراجعة جودة شاملة لجميع مخرجات المرحلة الثالثة قبل تقديمها للمركز، تتضمن: التحقق من اتساق التصنيفات والمصطلحات مع المرحلة الثانية، والتحقق من اكتمال الربط بين كل منتج/خدمة مقترحة واحتياج تنموي محدد، والتحقق من توثيق المصادر والمنهجية لكل تحليل، ومراجعة لغوية وتحريرية شاملة</w:t>
      </w:r>
    </w:p>
    <w:p>
      <w:r>
        <w:rPr>
          <w:b/>
        </w:rPr>
        <w:t>Deliverables:</w:t>
      </w:r>
    </w:p>
    <w:p>
      <w:pPr>
        <w:pStyle w:val="ListBullet"/>
      </w:pPr>
      <w:r>
        <w:t>D-15: وثيقة منهجية التحليل المقترحة — تتضمن: الإطار التحليلي لربط الاحتياجات بالتدخلات (مبني على CNA [EXT-006] مكيّف للسياق السعودي)، وأدوات التحليل الكمي والنوعي، ومعايير تقييم الاحتياجات وترتيبها</w:t>
      </w:r>
    </w:p>
    <w:p>
      <w:pPr>
        <w:pStyle w:val="ListBullet"/>
      </w:pPr>
      <w:r>
        <w:t>D-16: وثيقة الاحتياجات التنموية بحسب الأنشطة والقطاعات ذات الأولوية — تتضمن: تحليل الفجوات بين العرض والطلب لكل قطاع/نشاط، وتحليل التوزيع الجغرافي للاحتياجات، وترتيب الاحتياجات حسب الإلحاح والحجم والأولوية الوطنية</w:t>
      </w:r>
    </w:p>
    <w:p>
      <w:pPr>
        <w:pStyle w:val="ListBullet"/>
      </w:pPr>
      <w:r>
        <w:t>D-17: وثيقة ربط الخدمات والمنتجات النوعية المبتكرة المقترحة بالاحتياجات التنموية شاملة الآثار المتوقعة من تطبيقها — تتضمن: مصفوفة ربط شاملة، وسلسلة أثر لكل تدخل (نظرية التغيير)، والافتراضات والمخاطر، والمؤشرات الأولية</w:t>
      </w:r>
    </w:p>
    <w:p>
      <w:pPr>
        <w:pStyle w:val="ListBullet"/>
      </w:pPr>
      <w:r>
        <w:t>D-13: وثيقة القائمة النهائية للمنتجات والخدمات النوعية المبتكرة المقترحة — تتضمن: وصف موجز لكل منتج/خدمة مع التصنيف القطاعي ونوع التدخل والفئة المستهدفة ومستوى الأولوية الأولي ونتيجة اختبار الجدوى</w:t>
      </w:r>
    </w:p>
    <w:p>
      <w:pPr>
        <w:pStyle w:val="ListBullet"/>
      </w:pPr>
      <w:r>
        <w:t>مخرج داعم (غير تعاقدي): تقرير نتائج جلسات التحقق مع أصحاب المصلحة — يوثق ملاحظات أصحاب المصلحة على المنتجات والخدمات المقترحة والتعديلات المُجراة بناءً عليها</w:t>
      </w:r>
    </w:p>
    <w:p>
      <w:pPr>
        <w:pStyle w:val="ListBullet"/>
      </w:pPr>
      <w:r>
        <w:t>مخرج داعم (غير تعاقدي): تقرير تحليل الفجوات بين الوضع الراهن والمستهدف — يوثق الفجوات المحددة والموارد والقدرات المطلوبة لسدها</w:t>
      </w:r>
    </w:p>
    <w:p>
      <w:pPr>
        <w:pStyle w:val="ListBullet"/>
      </w:pPr>
      <w:r>
        <w:t>مخرج داعم (غير تعاقدي): مواد ورشة العمل التدريبية للمرحلة الثالثة — تتضمن أدوات تحليل الاحتياجات ونماذج تصميم المنتجات والخدمات وأدلة التطبيق</w:t>
      </w:r>
    </w:p>
    <w:p>
      <w:r>
        <w:rPr>
          <w:b/>
        </w:rPr>
        <w:t xml:space="preserve">Governance: </w:t>
      </w:r>
      <w:r>
        <w:t>بوابة اعتماد المرحلة الثالثة (نهاية الشهر 8): تُعرض المخرجات D-13 وD-15 وD-16 وD-17 على لجنة الإشراف الفنية في اجتماع مراجعة رسمي. معايير الاجتياز: اكتمال تحليل الاحتياجات التنموية لجميع القطاعات ذات الأولوية، واكتمال القائمة النهائية للمنتجات والخدمات المبتكرة مع اجتياز اختبار الجدوى الأولي، واكتمال مصفوفة الربط بين المنتجات/الخدمات والاحتياجات التنموية، وموافقة المركز على القائمة النهائية كأساس لمرحلة التفعيل. هذه البوابة حرجة لأنها تحدد نطاق العمل في المرحلة الرابعة — أي منتج/خدمة لم تُعتمد في هذه البوابة لن تُدرج في بطاقات المنتجات (D-21) أو الحزمة التحفيزية (D-20). مراجعة الجودة: مراجعة داخلية مزدوجة (فريق ضمان الجودة + مراجع قطاعي متخصص) قبل التقديم للمركز. التقارير: تقريران نصف شهريان + اجتماع أسبوعي + اجتماع شهري مع لجنة الإشراف. التصعيد: نفس الآلية المعتمدة.</w:t>
      </w:r>
    </w:p>
    <w:p>
      <w:pPr>
        <w:pStyle w:val="Heading3"/>
      </w:pPr>
      <w:r>
        <w:t>المرحلة الرابعة: التفعيل وتصميم الحزم التحفيزية وخطة التنفيذ (الأشهر 9–10)</w:t>
      </w:r>
    </w:p>
    <w:p>
      <w:r>
        <w:rPr>
          <w:b/>
        </w:rPr>
        <w:t>Activities:</w:t>
      </w:r>
    </w:p>
    <w:p>
      <w:pPr>
        <w:pStyle w:val="ListBullet"/>
      </w:pPr>
      <w:r>
        <w:t>المرحلة الفرعية 4.1 — تصميم منهجية ترتيب الأولويات: إعداد وثيقة منهجية ترتيب أولويات المنتجات والخدمات (D-18) [DIRECT_RFP_FACT] باستخدام عملية التحليل الشبكي (ANP) [EXT-007] التي تتيح التعامل مع معايير متعددة ومترابطة. تتضمن المنهجية: تحديد معايير الترتيب (الأثر التنموي المتوقع، حجم المستفيدين، الجدوى التشغيلية، الجدوى المالية، التوافق مع الأولويات الوطنية، الجاهزية المؤسسية، سرعة التنفيذ)، وتحديد أوزان المعايير بالتشاور مع لجنة الإشراف بالمركز، وتطبيق المنهجية على جميع المنتجات والخدمات المعتمدة في المرحلة الثالثة لإنتاج ترتيب أولويات نهائي. يُميَّز بوضوح بين: المنتجات والخدمات ذات الأولوية القصوى (تُفعَّل ضمن خطة التنفيذ قصيرة المدى)، والمنتجات والخدمات ذات الأولوية المتوسطة (تُدرج في خطة التنفيذ متوسطة المدى)، والمنتجات والخدمات ذات الأولوية المنخفضة (تُدرج في خارطة الطريق طويلة المدى)</w:t>
      </w:r>
    </w:p>
    <w:p>
      <w:pPr>
        <w:pStyle w:val="ListBullet"/>
      </w:pPr>
      <w:r>
        <w:t>المرحلة الفرعية 4.1 — تطبيق الترتيب والمصادقة: تطبيق منهجية الترتيب على جميع المنتجات والخدمات المعتمدة وعرض النتائج على لجنة الإشراف بالمركز في جلسة عمل تفاعلية تتيح مناقشة الأوزان والنتائج وتعديلها بناءً على الأولويات الاستراتيجية للمركز. يُنتج هذا النشاط قائمة مرتبة نهائية معتمدة من المركز تُستخدم كأساس لتصميم بطاقات المنتجات والخدمات وخطة التنفيذ</w:t>
      </w:r>
    </w:p>
    <w:p>
      <w:pPr>
        <w:pStyle w:val="ListBullet"/>
      </w:pPr>
      <w:r>
        <w:t>المرحلة الفرعية 4.2 — تصميم بطاقات المنتجات والخدمات: إعداد بطاقة تفصيلية لكل منتج وخدمة ذات أولوية (D-21) [DIRECT_RFP_FACT]، تتضمن الحقول التالية: (أ) وصف المنتج/الخدمة — الاسم، التعريف الإجرائي، القطاع والنشاط، الفئة المستهدفة، نطاق التغطية الجغرافي؛ (ب) نموذج التشغيل — سلسلة تقديم الخدمة من البداية إلى النهاية، الأدوار والمسؤوليات، المتطلبات التقنية والبشرية، الشراكات المطلوبة؛ (ج) اقتصاديات الوحدة — تكلفة تقديم الخدمة لكل مستفيد، مصادر التمويل المقترحة، نموذج الاستدامة المالية؛ (د) التبعيات — المتطلبات التنظيمية والتشريعية، البنية التحتية المطلوبة، القدرات المؤسسية اللازمة؛ (هـ) المخاطر — المخاطر التشغيلية والمالية والتنظيمية مع إجراءات التخفيف؛ (و) مؤشرات الأداء — مؤشرات المخرجات والنتائج والأثر مع القيم المستهدفة والمصادر؛ (ز) محفز الإطلاق — الشروط المسبقة التي يجب توفرها قبل بدء التنفيذ. يُستخدم إطار إدارة محفظة الابتكار [EXT-005] لتصنيف البطاقات حسب مستوى الابتكار والمخاطر</w:t>
      </w:r>
    </w:p>
    <w:p>
      <w:pPr>
        <w:pStyle w:val="ListBullet"/>
      </w:pPr>
      <w:r>
        <w:t>المرحلة الفرعية 4.2 — مراجعة البطاقات مع خبراء القطاع: عرض بطاقات المنتجات والخدمات ذات الأولوية القصوى على خبراء القطاع المحليين والدوليين (المحددين في D-2) للحصول على ملاحظاتهم حول: واقعية نموذج التشغيل، ودقة تقديرات التكلفة، وملاءمة مؤشرات الأداء، والمخاطر غير المحددة. يتم ذلك عبر 3-5 جلسات مراجعة متخصصة (حسب القطاع) مع تعديل البطاقات بناءً على الملاحظات</w:t>
      </w:r>
    </w:p>
    <w:p>
      <w:pPr>
        <w:pStyle w:val="ListBullet"/>
      </w:pPr>
      <w:r>
        <w:t>المرحلة الفرعية 4.3 — تصميم الحزمة التحفيزية: إعداد وثيقة الحزمة التحفيزية (D-20) [DIRECT_RFP_FACT] التي تحدد الحوافز المناسبة لتشجيع المنظمات غير الربحية على تبني المنتجات والخدمات المقترحة. تتضمن الوثيقة لكل حافز: (أ) نوع الحافز — مالي (منح، تمويل تأسيسي، إعفاءات)، تنظيمي (تسهيلات ترخيص، أولوية في المنافسات)، فني (دعم تقني، تدريب، استشارات)، معنوي (جوائز، تصنيفات، اعتراف)؛ (ب) الفاعل المستهدف — نوع المنظمة المستهدفة بالحافز (جمعيات صغيرة، مؤسسات كبيرة، منصات رقمية)؛ (ج) شروط الأهلية — المعايير التي يجب توفرها للاستفادة من الحافز؛ (د) آلية التفعيل — الإجراءات والخطوات المطلوبة لتفعيل الحافز؛ (هـ) التكلفة التقديرية — تقدير أولي لتكلفة كل حافز على المركز أو الجهات الشريكة؛ (و) الجهة المسؤولة — الجهة المنفذة للحافز (المركز، وزارة الموارد البشرية، القطاع الخاص)؛ (ز) التبعية التشريعية — أي تعديلات تنظيمية مطلوبة لتفعيل الحافز؛ (ح) مؤشر الأداء — كيفية قياس فعالية الحافز في تحقيق هدفه</w:t>
      </w:r>
    </w:p>
    <w:p>
      <w:pPr>
        <w:pStyle w:val="ListBullet"/>
      </w:pPr>
      <w:r>
        <w:t>المرحلة الفرعية 4.3 — تصميم آلية الربط بين الحوافز والمنتجات/الخدمات: إعداد مصفوفة ربط تحدد لكل منتج/خدمة ذات أولوية: الحوافز المناسبة لتسريع تبنيها، والفاعلين المستهدفين بكل حافز، والجدول الزمني المقترح لتفعيل الحوافز. يُراعى في التصميم التدرج في تقديم الحوافز: حوافز فورية لتشجيع التبني المبكر، وحوافز مرحلية مرتبطة بتحقيق مؤشرات أداء محددة</w:t>
      </w:r>
    </w:p>
    <w:p>
      <w:pPr>
        <w:pStyle w:val="ListBullet"/>
      </w:pPr>
      <w:r>
        <w:t>المرحلة الفرعية 4.4 — إعداد الخطة التنفيذية للتفعيل: إعداد الخطة التنفيذية والجدول الزمني المقترح لتفعيل الخدمات والمنتجات النوعية المقترحة (D-19) [DIRECT_RFP_FACT]، تتضمن: تقسيم التنفيذ إلى موجات واضحة — الموجة الأولى تشمل المنتجات والخدمات ذات الأولوية القصوى والجاهزية العالية (يُوصى ببدء تنفيذها فور انتهاء العقد كخارطة طريق ما بعد المشروع)، والموجة الثانية تشمل المنتجات والخدمات التي تتطلب تجهيزات إضافية (يُوصى بتنفيذها خلال 6-12 شهراً بعد انتهاء العقد)، والموجة الثالثة تشمل المنتجات والخدمات التي تتطلب تعديلات تنظيمية أو بنية تحتية جديدة (يُوصى بتنفيذها خلال 12-24 شهراً بعد انتهاء العقد). ملاحظة: جميع أعمال التصميم والتخطيط تتم ضمن مدة العقد (12 شهراً)؛ الموجات المذكورة هي توصيات لخارطة طريق التنفيذ ما بعد المشروع وليست التزامات تعاقدية</w:t>
      </w:r>
    </w:p>
    <w:p>
      <w:pPr>
        <w:pStyle w:val="ListBullet"/>
      </w:pPr>
      <w:r>
        <w:t>المرحلة الفرعية 4.4 — تحديد متطلبات التنفيذ: لكل موجة تنفيذية، تحديد: الموارد البشرية والمالية المطلوبة، والشراكات المؤسسية اللازمة، والتعديلات التنظيمية المطلوبة (إن وجدت)، والبنية التحتية التقنية المطلوبة، ومعالم الإنجاز الرئيسية ومؤشرات التقدم. يُعد لكل موجة جدول زمني تفصيلي مع تحديد المسار الحرج والتبعيات</w:t>
      </w:r>
    </w:p>
    <w:p>
      <w:pPr>
        <w:pStyle w:val="ListBullet"/>
      </w:pPr>
      <w:r>
        <w:t>المرحلة الفرعية 4.5 — ورشة تدريبية لفريق المركز (المرحلة الرابعة): تنفيذ ورشة تدريبية تطبيقية (يومان) لفريق المركز حول: منهجية ترتيب الأولويات (ANP) وكيفية تطبيقها على منتجات وخدمات جديدة مستقبلاً، وكيفية قراءة وتحديث بطاقات المنتجات والخدمات، وآليات تصميم وتعديل الحزم التحفيزية، وأدوات متابعة تنفيذ الخطة التنفيذية. تتضمن الورشة تسليم جميع الأدوات والنماذج المستخدمة مع أدلة إرشادية مفصلة تمكّن فريق المركز من إعادة استخدامها بشكل مستقل</w:t>
      </w:r>
    </w:p>
    <w:p>
      <w:pPr>
        <w:pStyle w:val="ListBullet"/>
      </w:pPr>
      <w:r>
        <w:t>المرحلة الفرعية 4.5 — مراجعة الجودة الشاملة: إجراء مراجعة جودة شاملة لجميع مخرجات المرحلة الرابعة، مع التركيز على: اتساق بطاقات المنتجات والخدمات مع القائمة النهائية المعتمدة (D-13)، واتساق الحزمة التحفيزية مع نتائج تحليل أصحاب المصلحة (D-8)، وواقعية الخطة التنفيذية وقابليتها للتطبيق، واكتمال جميع حقول البطاقات والوثائق</w:t>
      </w:r>
    </w:p>
    <w:p>
      <w:r>
        <w:rPr>
          <w:b/>
        </w:rPr>
        <w:t>Deliverables:</w:t>
      </w:r>
    </w:p>
    <w:p>
      <w:pPr>
        <w:pStyle w:val="ListBullet"/>
      </w:pPr>
      <w:r>
        <w:t>D-18: وثيقة منهجية ترتيب أولويات المنتجات والخدمات — تتضمن: معايير الترتيب وأوزانها المعتمدة من المركز، ومنهجية ANP المطبقة [EXT-007]، ونتائج الترتيب النهائي مع تصنيف ثلاثي (أولوية قصوى / متوسطة / منخفضة)</w:t>
      </w:r>
    </w:p>
    <w:p>
      <w:pPr>
        <w:pStyle w:val="ListBullet"/>
      </w:pPr>
      <w:r>
        <w:t>D-19: الخطة التنفيذية والجدول الزمني المقترح لتفعيل الخدمات والمنتجات النوعية المقترحة — تتضمن: ثلاث موجات تنفيذية (ما بعد المشروع) مع جدول زمني تفصيلي ومتطلبات ومعالم إنجاز لكل موجة. جميع أعمال التصميم تتم ضمن العقد (12 شهراً)؛ الموجات هي خارطة طريق مقترحة للتنفيذ ما بعد المشروع</w:t>
      </w:r>
    </w:p>
    <w:p>
      <w:pPr>
        <w:pStyle w:val="ListBullet"/>
      </w:pPr>
      <w:r>
        <w:t>D-20: وثيقة الحزمة التحفيزية — تتضمن لكل حافز: النوع (مالي/تنظيمي/فني/معنوي)، الفاعل المستهدف، شروط الأهلية، آلية التفعيل، التكلفة التقديرية، الجهة المسؤولة، التبعية التشريعية، مؤشر الأداء</w:t>
      </w:r>
    </w:p>
    <w:p>
      <w:pPr>
        <w:pStyle w:val="ListBullet"/>
      </w:pPr>
      <w:r>
        <w:t>D-21: بطاقة لكل منتج وخدمة ذات أولوية — تتضمن لكل بطاقة: وصف المنتج/الخدمة، نموذج التشغيل، اقتصاديات الوحدة، التبعيات، المخاطر وإجراءات التخفيف، مؤشرات الأداء (مخرجات/نتائج/أثر)، محفز الإطلاق</w:t>
      </w:r>
    </w:p>
    <w:p>
      <w:pPr>
        <w:pStyle w:val="ListBullet"/>
      </w:pPr>
      <w:r>
        <w:t>مخرج داعم (غير تعاقدي): مصفوفة ربط الحوافز بالمنتجات والخدمات — تحدد لكل منتج/خدمة الحوافز المناسبة والفاعلين المستهدفين والجدول الزمني</w:t>
      </w:r>
    </w:p>
    <w:p>
      <w:pPr>
        <w:pStyle w:val="ListBullet"/>
      </w:pPr>
      <w:r>
        <w:t>مخرج داعم (غير تعاقدي): مواد ورشة العمل التدريبية للمرحلة الرابعة — تتضمن أدوات الترتيب ونماذج البطاقات وأدلة تحديث الحزم التحفيزية</w:t>
      </w:r>
    </w:p>
    <w:p>
      <w:r>
        <w:rPr>
          <w:b/>
        </w:rPr>
        <w:t xml:space="preserve">Governance: </w:t>
      </w:r>
      <w:r>
        <w:t>بوابة اعتماد المرحلة الرابعة (نهاية الشهر 10): تُعرض المخرجات D-18 إلى D-21 على لجنة الإشراف الفنية في اجتماع مراجعة رسمي. معايير الاجتياز: اكتمال منهجية الترتيب مع موافقة المركز على الأوزان والنتائج، واكتمال بطاقات جميع المنتجات والخدمات ذات الأولوية مع جميع الحقول المطلوبة، واكتمال الحزمة التحفيزية مع تحديد الجهات المسؤولة والتبعيات التشريعية، واكتمال الخطة التنفيذية مع التمييز الواضح بين أعمال العقد وخارطة طريق ما بعد المشروع. مراجعة الجودة: مراجعة داخلية مزدوجة + مراجعة من خبراء القطاع المعتمدين. التقارير: تقريران نصف شهريان + اجتماع أسبوعي + اجتماع شهري. التصعيد: نفس الآلية المعتمدة. ملاحظة خاصة: يُعقد اجتماع موسع مع لجنة التوجيه العليا في نهاية هذه المرحلة لعرض النتائج التراكمية للمراحل 1-4 والحصول على توجيهات استراتيجية للمرحلة الخامسة.</w:t>
      </w:r>
    </w:p>
    <w:p>
      <w:pPr>
        <w:pStyle w:val="Heading3"/>
      </w:pPr>
      <w:r>
        <w:t>المرحلة الخامسة: قياس الأثر والاستدامة ونقل المعرفة (الأشهر 11–12)</w:t>
      </w:r>
    </w:p>
    <w:p>
      <w:r>
        <w:rPr>
          <w:b/>
        </w:rPr>
        <w:t>Activities:</w:t>
      </w:r>
    </w:p>
    <w:p>
      <w:pPr>
        <w:pStyle w:val="ListBullet"/>
      </w:pPr>
      <w:r>
        <w:t>المرحلة الفرعية 5.1 — تصميم منهجية قياس الأثر: إعداد وثيقة منهجية قياس الأثر والمستهدفات والاستدامة (D-22) [DIRECT_RFP_FACT — SI-7]، تتضمن: الإطار المنهجي لقياس الأثر المبني على نموذج نظرية التغيير (Theory of Change) الذي يربط بين المدخلات والأنشطة والمخرجات والنتائج والأثر طويل المدى لكل منتج/خدمة مقترحة، ومنهجية العائد الاجتماعي على الاستثمار (SROI) كأداة لقياس القيمة الاجتماعية المُولَّدة مقارنة بالموارد المستثمرة — مع التأكيد على أن هذه أطر دولية معترف بها [INFERENCE: بناءً على أفضل الممارسات الدولية في قياس أثر القطاع غير الربحي] يتم تكييفها للسياق السعودي. تتضمن المنهجية: تحديد مستويات القياس (مخرجات فورية، نتائج متوسطة المدى، أثر طويل المدى)، وتحديد أدوات جمع البيانات لكل مستوى (مسوحات دورية، تقارير أداء، تقييمات ميدانية)، وتحديد دورية القياس (ربع سنوي للمخرجات، نصف سنوي للنتائج، سنوي للأثر)، وتحديد المسؤوليات (من يجمع البيانات، من يحللها، من يتخذ القرارات بناءً عليها). يُستخدم نظام المراقبة والتقييم [EXT-009] كمرجعية داعمة لتصميم آلية المتابعة المستمرة</w:t>
      </w:r>
    </w:p>
    <w:p>
      <w:pPr>
        <w:pStyle w:val="ListBullet"/>
      </w:pPr>
      <w:r>
        <w:t>المرحلة الفرعية 5.1 — ربط المنهجية بأهداف رؤية المملكة 2030: تصميم طبقة ربط بين مؤشرات الأثر المقترحة ومستهدفات رؤية المملكة 2030 ذات الصلة بالقطاع غير الربحي، بحيث يمكن للمركز إثبات مساهمة المنتجات والخدمات المفعّلة في تحقيق الأهداف الوطنية. يتضمن ذلك: تحديد مستهدفات الرؤية ذات الصلة المباشرة (تمكين القطاع الثالث، زيادة مشاركة المتطوعين، تنويع مصادر التمويل)، وربط كل مؤشر أثر بمستهدف وطني محدد، وتصميم آلية تقارير دورية تُظهر المساهمة في المستهدفات الوطنية</w:t>
      </w:r>
    </w:p>
    <w:p>
      <w:pPr>
        <w:pStyle w:val="ListBullet"/>
      </w:pPr>
      <w:r>
        <w:t>المرحلة الفرعية 5.2 — تصميم قائمة المؤشرات: إعداد قائمة المؤشرات اللازمة لضمان تحقيق الأثر (D-23) [DIRECT_RFP_FACT — SI-7]، مصنفة في ثلاثة مستويات: (أ) مؤشرات المخرجات — تقيس الإنتاج المباشر (عدد المنتجات/الخدمات المفعّلة، عدد المنظمات المتبنية، عدد المستفيدين المباشرين، حجم التمويل المحشود)؛ (ب) مؤشرات النتائج — تقيس التغيير السلوكي والمؤسسي (تحسن جودة الخدمات، زيادة تنوع مصادر التمويل، تحسن الحوكمة المؤسسية، زيادة رضا المستفيدين)؛ (ج) مؤشرات الأثر — تقيس التغيير طويل المدى (مساهمة القطاع في الناتج المحلي، تحسن مؤشرات التنمية الاجتماعية في المناطق المستهدفة، تقليص الفجوات في الخدمات). لكل مؤشر يُحدد: التعريف الإجرائي، ووحدة القياس، وخط الأساس (إن توفر أو آلية تحديده)، والقيمة المستهدفة، ومصدر البيانات، ودورية القياس، والمسؤول عن الجمع والتحليل</w:t>
      </w:r>
    </w:p>
    <w:p>
      <w:pPr>
        <w:pStyle w:val="ListBullet"/>
      </w:pPr>
      <w:r>
        <w:t>المرحلة الفرعية 5.2 — تصميم لوحة المتابعة: تصميم نموذج لوحة متابعة رقمية (Dashboard) تعرض حالة جميع المؤشرات بشكل مرئي وتفاعلي، مع: ترميز لوني (أخضر/أصفر/أحمر) لحالة كل مؤشر مقارنة بالمستهدف، وإمكانية التصفية حسب القطاع والنشاط والمنطقة والفترة الزمنية، وتنبيهات تلقائية عند انحراف المؤشرات عن المستهدفات. يُسلَّم النموذج مع المواصفات الفنية التي تمكّن المركز من تطويره إلى نظام رقمي متكامل</w:t>
      </w:r>
    </w:p>
    <w:p>
      <w:pPr>
        <w:pStyle w:val="ListBullet"/>
      </w:pPr>
      <w:r>
        <w:t>المرحلة الفرعية 5.3 — تصميم آلية الاستدامة: إعداد إطار استدامة شامل يضمن استمرارية المنظومة بعد انتهاء العقد، يتضمن: آلية تحديث دوري لقائمة المنتجات والخدمات (إضافة منتجات جديدة، تعديل قائمة، إيقاف منتجات غير فعالة)، وآلية تحديث المقارنة المعيارية الدولية (مراجعة سنوية للممارسات الرائدة)، وآلية تحديث تحليل الاحتياجات التنموية (مسح دوري للاحتياجات)، وآلية مراجعة وتعديل الحزمة التحفيزية بناءً على نتائج القياس. يُصمم الإطار بحيث يمكن لفريق المركز تنفيذه بشكل مستقل باستخدام الأدوات والنماذج المسلّمة</w:t>
      </w:r>
    </w:p>
    <w:p>
      <w:pPr>
        <w:pStyle w:val="ListBullet"/>
      </w:pPr>
      <w:r>
        <w:t>المرحلة الفرعية 5.3 — تصميم آلية التقارير الدورية: إعداد نماذج تقارير دورية جاهزة للاستخدام تشمل: تقرير متابعة ربع سنوي (يغطي مؤشرات المخرجات والتقدم في التنفيذ)، وتقرير تقييم نصف سنوي (يغطي مؤشرات النتائج والتحديات والتعديلات المطلوبة)، وتقرير أثر سنوي (يغطي مؤشرات الأثر والمساهمة في المستهدفات الوطنية). كل نموذج يتضمن: الهيكل والأقسام، ومصادر البيانات لكل قسم، وأمثلة توضيحية لكيفية التعبئة</w:t>
      </w:r>
    </w:p>
    <w:p>
      <w:pPr>
        <w:pStyle w:val="ListBullet"/>
      </w:pPr>
      <w:r>
        <w:t>المرحلة الفرعية 5.4 — برنامج نقل المعرفة الختامي: تنفيذ برنامج تدريبي مكثف لفريق المركز (3-5 أيام) يغطي: (أ) مراجعة شاملة لجميع الأدوات والنماذج المسلّمة عبر المراحل الخمس مع تمارين تطبيقية، (ب) تدريب متقدم على منهجية قياس الأثر واستخدام المؤشرات ولوحة المتابعة، (ج) تدريب على آلية تحديث المنظومة (إضافة منتجات/خدمات جديدة، تعديل الأولويات، تحديث الحزمة التحفيزية)، (د) محاكاة عملية لدورة تحديث كاملة يقوم بها فريق المركز بشكل مستقل تحت إشراف الفريق الاستشاري. يُسلَّم دليل مستخدم شامل يوثق جميع العمليات والأدوات بلغة واضحة وعملية</w:t>
      </w:r>
    </w:p>
    <w:p>
      <w:pPr>
        <w:pStyle w:val="ListBullet"/>
      </w:pPr>
      <w:r>
        <w:t>المرحلة الفرعية 5.4 — تقييم نقل المعرفة: إجراء تقييم ختامي لمستوى المعرفة والمهارات المكتسبة لدى فريق المركز مقارنة بالتقييم الأولي (المرحلة الأولى)، مع تحديد: المجالات التي تحقق فيها نقل المعرفة بنجاح، والمجالات التي تحتاج دعماً إضافياً، والتوصيات لبرامج تطوير مستقبلية</w:t>
      </w:r>
    </w:p>
    <w:p>
      <w:pPr>
        <w:pStyle w:val="ListBullet"/>
      </w:pPr>
      <w:r>
        <w:t>المرحلة الفرعية 5.5 — التجميع والمراجعة النهائية: تجميع جميع مخرجات المشروع (D-1 إلى D-23) في حزمة متكاملة مع فهرس شامل وروابط متبادلة بين المخرجات، وإجراء مراجعة جودة نهائية شاملة تتحقق من: اكتمال جميع المخرجات الثلاثة والعشرين، واتساق المحتوى والتصنيفات والمصطلحات عبر جميع المخرجات، وتوثيق المصادر والمنهجيات، وجودة اللغة والتنسيق</w:t>
      </w:r>
    </w:p>
    <w:p>
      <w:pPr>
        <w:pStyle w:val="ListBullet"/>
      </w:pPr>
      <w:r>
        <w:t>المرحلة الفرعية 5.5 — التسليم النهائي والإغلاق: تقديم جميع المخرجات النهائية للمركز في اجتماع تسليم رسمي يتضمن: عرض تقديمي شامل لنتائج المشروع وتوصياته الرئيسية، وتسليم جميع الوثائق والأدوات والنماذج في صيغتها النهائية (PDF + صيغ قابلة للتحرير)، وتسليم دليل المستخدم الشامل، والحصول على محضر تسليم واستلام موقع من الطرفين. يُعقد اجتماع دروس مستفادة (Lessons Learned) مع فريق المركز لتوثيق التجربة وتحديد فرص التحسين المستقبلية</w:t>
      </w:r>
    </w:p>
    <w:p>
      <w:pPr>
        <w:pStyle w:val="ListBullet"/>
      </w:pPr>
      <w:r>
        <w:t>المرحلة الفرعية 5.5 — إعداد التقرير الختامي: إعداد تقرير ختامي شامل للمشروع يتضمن: ملخص تنفيذي للنتائج الرئيسية عبر جميع المراحل، وقائمة المخرجات المسلّمة مع حالة كل مخرج، والدروس المستفادة، والتوصيات الاستراتيجية للمركز بشأن الخطوات التالية لتفعيل المنظومة</w:t>
      </w:r>
    </w:p>
    <w:p>
      <w:r>
        <w:rPr>
          <w:b/>
        </w:rPr>
        <w:t>Deliverables:</w:t>
      </w:r>
    </w:p>
    <w:p>
      <w:pPr>
        <w:pStyle w:val="ListBullet"/>
      </w:pPr>
      <w:r>
        <w:t>D-22: وثيقة منهجية قياس الأثر والمستهدفات والاستدامة — تتضمن: إطار نظرية التغيير لكل منتج/خدمة، ومنهجية SROI المكيّفة، ومستويات القياس الثلاثة (مخرجات/نتائج/أثر)، وأدوات جمع البيانات، ودورية القياس، وآلية الربط بمستهدفات رؤية 2030، وإطار الاستدامة وآلية التحديث الدوري</w:t>
      </w:r>
    </w:p>
    <w:p>
      <w:pPr>
        <w:pStyle w:val="ListBullet"/>
      </w:pPr>
      <w:r>
        <w:t>D-23: قائمة المؤشرات اللازمة لضمان تحقيق الأثر — تتضمن لكل مؤشر: التعريف الإجرائي، وحدة القياس، خط الأساس أو آلية تحديده، القيمة المستهدفة، مصدر البيانات، دورية القياس، المسؤول، والمستوى (مخرج/نتيجة/أثر)</w:t>
      </w:r>
    </w:p>
    <w:p>
      <w:pPr>
        <w:pStyle w:val="ListBullet"/>
      </w:pPr>
      <w:r>
        <w:t>مخرج داعم (غير تعاقدي): نموذج لوحة المتابعة الرقمية — يتضمن التصميم المرئي والمواصفات الفنية لتطوير نظام رقمي متكامل</w:t>
      </w:r>
    </w:p>
    <w:p>
      <w:pPr>
        <w:pStyle w:val="ListBullet"/>
      </w:pPr>
      <w:r>
        <w:t>مخرج داعم (غير تعاقدي): نماذج التقارير الدورية الجاهزة — تقرير ربع سنوي + تقرير نصف سنوي + تقرير أثر سنوي مع أمثلة توضيحية</w:t>
      </w:r>
    </w:p>
    <w:p>
      <w:pPr>
        <w:pStyle w:val="ListBullet"/>
      </w:pPr>
      <w:r>
        <w:t>مخرج داعم (غير تعاقدي): دليل المستخدم الشامل — يوثق جميع العمليات والأدوات والنماذج المسلّمة بلغة عملية تمكّن فريق المركز من الاستخدام المستقل</w:t>
      </w:r>
    </w:p>
    <w:p>
      <w:pPr>
        <w:pStyle w:val="ListBullet"/>
      </w:pPr>
      <w:r>
        <w:t>مخرج داعم (غير تعاقدي): تقرير تقييم نقل المعرفة — يقارن مستوى المعرفة قبل وبعد المشروع ويحدد التوصيات لبرامج التطوير المستقبلية</w:t>
      </w:r>
    </w:p>
    <w:p>
      <w:pPr>
        <w:pStyle w:val="ListBullet"/>
      </w:pPr>
      <w:r>
        <w:t>مخرج داعم (غير تعاقدي): مواد البرنامج التدريبي الختامي — عروض تقديمية وتمارين تطبيقية ومحاكاة عملية</w:t>
      </w:r>
    </w:p>
    <w:p>
      <w:pPr>
        <w:pStyle w:val="ListBullet"/>
      </w:pPr>
      <w:r>
        <w:t>مخرج داعم (غير تعاقدي): التقرير الختامي للمشروع — ملخص تنفيذي ونتائج رئيسية ودروس مستفادة وتوصيات استراتيجية</w:t>
      </w:r>
    </w:p>
    <w:p>
      <w:r>
        <w:rPr>
          <w:b/>
        </w:rPr>
        <w:t xml:space="preserve">Governance: </w:t>
      </w:r>
      <w:r>
        <w:t>بوابة اعتماد المرحلة الخامسة والإغلاق النهائي (نهاية الشهر 12): تُعرض المخرجات D-22 وD-23 مع الحزمة الكاملة للمشروع (D-1 إلى D-23) على لجنة الإشراف الفنية ولجنة التوجيه العليا في اجتماع تسليم رسمي. معايير الاجتياز: اكتمال منهجية قياس الأثر مع ربطها بمستهدفات رؤية 2030، واكتمال قائمة المؤشرات مع جميع الحقول المطلوبة، واكتمال إطار الاستدامة وآلية التحديث الدوري، واكتمال برنامج نقل المعرفة مع تقييم إيجابي لمستوى الاستيعاب، واكتمال جميع المخرجات الثلاثة والعشرين الإلزامية بصيغتها النهائية. مراجعة الجودة النهائية: مراجعة شاملة من فريق ضمان الجودة تتحقق من اتساق جميع المخرجات واكتمالها وجودتها اللغوية والتحريرية. التقارير: تقريران نصف شهريان + اجتماع أسبوعي + اجتماع ختامي مع لجنة التوجيه العليا. التسليم: محضر تسليم واستلام موقع من الطرفين يوثق اكتمال جميع الالتزامات التعاقدية. دعم ما بعد التسليم: يتوفر فريق الدعم للرد على استفسارات فريق المركز حول استخدام الأدوات والنماذج المسلّمة لمدة 30 يوماً بعد التسليم النهائي (ضمن مدة العقد).</w:t>
      </w:r>
    </w:p>
    <w:p>
      <w:pPr>
        <w:pStyle w:val="Heading2"/>
      </w:pPr>
      <w:r>
        <w:t>5.3 Governance Framework</w:t>
      </w:r>
    </w:p>
    <w:p>
      <w:r>
        <w:t>## إطار الحوكمة الشامل للمشروع</w:t>
        <w:br/>
        <w:t xml:space="preserve"> **مبدأ التصميم الحاكم — الاجتياز الفني ثم أقل سعر:** إطار الحوكمة مصمم وفق قاعدة واحدة لا تقبل التأويل: ضمان اجتياز التقييم الفني بتغطية كاملة وشفافة لجميع المخرجات الإلزامية الـ 23 (D-1 إلى D-23) عبر المراحل الخمس خلال مدة العقد البالغة اثني عشر (12) شهراً من تاريخ إشعار البدء بالعمل (DIRECT_RFP_FACT)، مع هيكل حوكمة يزيل أي غموض في المساءلة ويمكّن المُقيّم الفني من التحقق الآلي من تغطية كل مخرج. آلية الترسية القائمة على الاجتياز الفني ثم أقل سعر (DIRECT_RFP_FACT) تعني أن كل عنصر حوكمي مصنّف إلى نطاق أساسي (Core — مطلوب للاجتياز) أو تحسين اختياري (Enhancement — قيمة مضافة لا تُسعَّر إلا إذا لم ترفع السعر الإجمالي). الإطار يستند إلى أفضل الممارسات الدولية في حوكمة المشاريع الاستشارية الحكومية [EXT-002] مع تكييف كامل لطبيعة هذا المشروع متعدد القطاعات (5 قطاعات كحد أدنى — DIRECT_RFP_FACT: SI-2) ومتعدد المخرجات (23 مخرجاً إلزامياً). ---</w:t>
        <w:br/>
        <w:t xml:space="preserve"> ### 1. اللجنة التوجيهية (Steering Committee)</w:t>
        <w:br/>
        <w:t xml:space="preserve"> #### 1.1 التشكيل والعضوية</w:t>
        <w:br/>
        <w:t xml:space="preserve"> تُشكَّل لجنة توجيهية عليا تمثل أعلى سلطة قرار في المشروع وتضمن التوافق المستمر بين مخرجات المشروع والأهداف الاستراتيجية للمركز الوطني لتنمية القطاع غير الربحي: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المنصب</w:t>
            </w:r>
          </w:p>
        </w:tc>
        <w:tc>
          <w:tcPr>
            <w:tcW w:type="dxa" w:w="2160"/>
          </w:tcPr>
          <w:p>
            <w:r>
              <w:rPr>
                <w:b/>
                <w:sz w:val="18"/>
              </w:rPr>
              <w:t>الجهة</w:t>
            </w:r>
          </w:p>
        </w:tc>
        <w:tc>
          <w:tcPr>
            <w:tcW w:type="dxa" w:w="2160"/>
          </w:tcPr>
          <w:p>
            <w:r>
              <w:rPr>
                <w:b/>
                <w:sz w:val="18"/>
              </w:rPr>
              <w:t>الدور في اللجنة</w:t>
            </w:r>
          </w:p>
        </w:tc>
        <w:tc>
          <w:tcPr>
            <w:tcW w:type="dxa" w:w="2160"/>
          </w:tcPr>
          <w:p>
            <w:r>
              <w:rPr>
                <w:b/>
                <w:sz w:val="18"/>
              </w:rPr>
              <w:t>المسؤولية الرئيسية</w:t>
            </w:r>
          </w:p>
        </w:tc>
      </w:tr>
      <w:tr>
        <w:tc>
          <w:tcPr>
            <w:tcW w:type="dxa" w:w="2160"/>
          </w:tcPr>
          <w:p>
            <w:r>
              <w:rPr>
                <w:sz w:val="18"/>
              </w:rPr>
              <w:t>الراعي التنفيذي للمشروع (Executive Sponsor)</w:t>
            </w:r>
          </w:p>
        </w:tc>
        <w:tc>
          <w:tcPr>
            <w:tcW w:type="dxa" w:w="2160"/>
          </w:tcPr>
          <w:p>
            <w:r>
              <w:rPr>
                <w:sz w:val="18"/>
              </w:rPr>
              <w:t>المركز الوطني لتنمية القطاع غير الربحي</w:t>
            </w:r>
          </w:p>
        </w:tc>
        <w:tc>
          <w:tcPr>
            <w:tcW w:type="dxa" w:w="2160"/>
          </w:tcPr>
          <w:p>
            <w:r>
              <w:rPr>
                <w:sz w:val="18"/>
              </w:rPr>
              <w:t>رئيس اللجنة</w:t>
            </w:r>
          </w:p>
        </w:tc>
        <w:tc>
          <w:tcPr>
            <w:tcW w:type="dxa" w:w="2160"/>
          </w:tcPr>
          <w:p>
            <w:r>
              <w:rPr>
                <w:sz w:val="18"/>
              </w:rPr>
              <w:t>صاحب القرار النهائي في الموافقات الاستراتيجية وتغييرات النطاق واعتماد المخرجات الحرجة (D-13 القائمة النهائية للمنتجات، D-19 الخطة التنفيذية، D-22 منهجية قياس الأثر)</w:t>
            </w:r>
          </w:p>
        </w:tc>
      </w:tr>
      <w:tr>
        <w:tc>
          <w:tcPr>
            <w:tcW w:type="dxa" w:w="2160"/>
          </w:tcPr>
          <w:p>
            <w:r>
              <w:rPr>
                <w:sz w:val="18"/>
              </w:rPr>
              <w:t>مدير المشروع من جانب العميل (Client PMO Lead)</w:t>
            </w:r>
          </w:p>
        </w:tc>
        <w:tc>
          <w:tcPr>
            <w:tcW w:type="dxa" w:w="2160"/>
          </w:tcPr>
          <w:p>
            <w:r>
              <w:rPr>
                <w:sz w:val="18"/>
              </w:rPr>
              <w:t>المركز الوطني</w:t>
            </w:r>
          </w:p>
        </w:tc>
        <w:tc>
          <w:tcPr>
            <w:tcW w:type="dxa" w:w="2160"/>
          </w:tcPr>
          <w:p>
            <w:r>
              <w:rPr>
                <w:sz w:val="18"/>
              </w:rPr>
              <w:t>نائب الرئيس</w:t>
            </w:r>
          </w:p>
        </w:tc>
        <w:tc>
          <w:tcPr>
            <w:tcW w:type="dxa" w:w="2160"/>
          </w:tcPr>
          <w:p>
            <w:r>
              <w:rPr>
                <w:sz w:val="18"/>
              </w:rPr>
              <w:t>متابعة التنفيذ اليومي، تصعيد القضايا التشغيلية، تسهيل الوصول إلى البيانات والجهات ذات العلاقة</w:t>
            </w:r>
          </w:p>
        </w:tc>
      </w:tr>
      <w:tr>
        <w:tc>
          <w:tcPr>
            <w:tcW w:type="dxa" w:w="2160"/>
          </w:tcPr>
          <w:p>
            <w:r>
              <w:rPr>
                <w:sz w:val="18"/>
              </w:rPr>
              <w:t>ممثل الإدارة المعنية بالقطاعات ذات الأولوية</w:t>
            </w:r>
          </w:p>
        </w:tc>
        <w:tc>
          <w:tcPr>
            <w:tcW w:type="dxa" w:w="2160"/>
          </w:tcPr>
          <w:p>
            <w:r>
              <w:rPr>
                <w:sz w:val="18"/>
              </w:rPr>
              <w:t>المركز الوطني</w:t>
            </w:r>
          </w:p>
        </w:tc>
        <w:tc>
          <w:tcPr>
            <w:tcW w:type="dxa" w:w="2160"/>
          </w:tcPr>
          <w:p>
            <w:r>
              <w:rPr>
                <w:sz w:val="18"/>
              </w:rPr>
              <w:t>عضو</w:t>
            </w:r>
          </w:p>
        </w:tc>
        <w:tc>
          <w:tcPr>
            <w:tcW w:type="dxa" w:w="2160"/>
          </w:tcPr>
          <w:p>
            <w:r>
              <w:rPr>
                <w:sz w:val="18"/>
              </w:rPr>
              <w:t>التوجيه القطاعي، اعتماد معايير اختيار القطاعات الخمس، مراجعة نتائج الحصر (D-6)</w:t>
            </w:r>
          </w:p>
        </w:tc>
      </w:tr>
      <w:tr>
        <w:tc>
          <w:tcPr>
            <w:tcW w:type="dxa" w:w="2160"/>
          </w:tcPr>
          <w:p>
            <w:r>
              <w:rPr>
                <w:sz w:val="18"/>
              </w:rPr>
              <w:t>ممثل إدارة السياسات والتشريعات</w:t>
            </w:r>
          </w:p>
        </w:tc>
        <w:tc>
          <w:tcPr>
            <w:tcW w:type="dxa" w:w="2160"/>
          </w:tcPr>
          <w:p>
            <w:r>
              <w:rPr>
                <w:sz w:val="18"/>
              </w:rPr>
              <w:t>المركز الوطني</w:t>
            </w:r>
          </w:p>
        </w:tc>
        <w:tc>
          <w:tcPr>
            <w:tcW w:type="dxa" w:w="2160"/>
          </w:tcPr>
          <w:p>
            <w:r>
              <w:rPr>
                <w:sz w:val="18"/>
              </w:rPr>
              <w:t>عضو</w:t>
            </w:r>
          </w:p>
        </w:tc>
        <w:tc>
          <w:tcPr>
            <w:tcW w:type="dxa" w:w="2160"/>
          </w:tcPr>
          <w:p>
            <w:r>
              <w:rPr>
                <w:sz w:val="18"/>
              </w:rPr>
              <w:t>ضمان توافق المخرجات مع الإطار التنظيمي للقطاع غير الربحي والأنظمة ذات العلاقة (نظام الجمعيات والمؤسسات الأهلية، نظام الأوقاف)</w:t>
            </w:r>
          </w:p>
        </w:tc>
      </w:tr>
      <w:tr>
        <w:tc>
          <w:tcPr>
            <w:tcW w:type="dxa" w:w="2160"/>
          </w:tcPr>
          <w:p>
            <w:r>
              <w:rPr>
                <w:sz w:val="18"/>
              </w:rPr>
              <w:t>مدير المشروع من جانب SG (SG Project Director)</w:t>
            </w:r>
          </w:p>
        </w:tc>
        <w:tc>
          <w:tcPr>
            <w:tcW w:type="dxa" w:w="2160"/>
          </w:tcPr>
          <w:p>
            <w:r>
              <w:rPr>
                <w:sz w:val="18"/>
              </w:rPr>
              <w:t>Strategic Gears</w:t>
            </w:r>
          </w:p>
        </w:tc>
        <w:tc>
          <w:tcPr>
            <w:tcW w:type="dxa" w:w="2160"/>
          </w:tcPr>
          <w:p>
            <w:r>
              <w:rPr>
                <w:sz w:val="18"/>
              </w:rPr>
              <w:t>عضو</w:t>
            </w:r>
          </w:p>
        </w:tc>
        <w:tc>
          <w:tcPr>
            <w:tcW w:type="dxa" w:w="2160"/>
          </w:tcPr>
          <w:p>
            <w:r>
              <w:rPr>
                <w:sz w:val="18"/>
              </w:rPr>
              <w:t>تقديم التقارير الدورية، طرح القضايا للقرار، إدارة التنفيذ اليومي</w:t>
            </w:r>
          </w:p>
        </w:tc>
      </w:tr>
      <w:tr>
        <w:tc>
          <w:tcPr>
            <w:tcW w:type="dxa" w:w="2160"/>
          </w:tcPr>
          <w:p>
            <w:r>
              <w:rPr>
                <w:sz w:val="18"/>
              </w:rPr>
              <w:t>مدير الارتباط (SG Engagement Manager)</w:t>
            </w:r>
          </w:p>
        </w:tc>
        <w:tc>
          <w:tcPr>
            <w:tcW w:type="dxa" w:w="2160"/>
          </w:tcPr>
          <w:p>
            <w:r>
              <w:rPr>
                <w:sz w:val="18"/>
              </w:rPr>
              <w:t>Strategic Gears</w:t>
            </w:r>
          </w:p>
        </w:tc>
        <w:tc>
          <w:tcPr>
            <w:tcW w:type="dxa" w:w="2160"/>
          </w:tcPr>
          <w:p>
            <w:r>
              <w:rPr>
                <w:sz w:val="18"/>
              </w:rPr>
              <w:t>عضو</w:t>
            </w:r>
          </w:p>
        </w:tc>
        <w:tc>
          <w:tcPr>
            <w:tcW w:type="dxa" w:w="2160"/>
          </w:tcPr>
          <w:p>
            <w:r>
              <w:rPr>
                <w:sz w:val="18"/>
              </w:rPr>
              <w:t>ضمان جودة المخرجات، العلاقة الاستراتيجية مع العميل، مراجعة المخرجات النهائية قبل التقديم</w:t>
            </w:r>
          </w:p>
        </w:tc>
      </w:tr>
    </w:tbl>
    <w:p/>
    <w:p>
      <w:r>
        <w:t>#### 1.2 صلاحيات القرار</w:t>
        <w:br/>
        <w:t xml:space="preserve"> تملك اللجنة التوجيهية الصلاحيات التالية حصرياً — ولا يجوز لأي مستوى أدنى اتخاذ قرارات في هذه المجالات:</w:t>
        <w:br/>
        <w:t xml:space="preserve"> - **اعتماد المخرجات عند بوابات الحوكمة الخمس:** G1 (D-1 إلى D-5)، G2 (D-6 إلى D-14)، G3 (D-15 إلى D-17)، G4 (D-18 إلى D-21)، G5 (D-22 إلى D-23)</w:t>
        <w:br/>
        <w:t xml:space="preserve"> - **اعتماد الدول محل المقارنة المعيارية الدولية:** 5 دول كحد أدنى وفق متطلب SI-3 (DIRECT_RFP_FACT)، مع تبرير اختيار كل دولة بناءً على معايير محددة (نضج القطاع غير الربحي، توفر البيانات، قابلية نقل الممارسات للسياق السعودي)</w:t>
        <w:br/>
        <w:t xml:space="preserve"> - **اعتماد القائمة النهائية للمنتجات والخدمات النوعية المبتكرة المقترحة (D-13):** باعتبارها المخرج المحوري الذي تُبنى عليه مراحل التفعيل وقياس الأثر</w:t>
        <w:br/>
        <w:t xml:space="preserve"> - **الموافقة على طلبات التغيير الكبيرة:** التي تؤثر على النطاق أو الجدول الزمني بأكثر من 3 أسابيع أو الميزانية بأكثر من 10%</w:t>
        <w:br/>
        <w:t xml:space="preserve"> - **حل النزاعات المصعّدة من المستوى الثالث** في إطار التصعيد</w:t>
        <w:br/>
        <w:t xml:space="preserve"> - **اعتماد منهجية قياس الأثر والاستدامة (D-22):** لارتباطها المباشر بمستهدفات رؤية 2030 للقطاع غير الربحي</w:t>
        <w:br/>
        <w:t xml:space="preserve"> #### 1.3 جدول الاجتماعات والنصاب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نوع الاجتماع</w:t>
            </w:r>
          </w:p>
        </w:tc>
        <w:tc>
          <w:tcPr>
            <w:tcW w:type="dxa" w:w="1728"/>
          </w:tcPr>
          <w:p>
            <w:r>
              <w:rPr>
                <w:b/>
                <w:sz w:val="18"/>
              </w:rPr>
              <w:t>التكرار</w:t>
            </w:r>
          </w:p>
        </w:tc>
        <w:tc>
          <w:tcPr>
            <w:tcW w:type="dxa" w:w="1728"/>
          </w:tcPr>
          <w:p>
            <w:r>
              <w:rPr>
                <w:b/>
                <w:sz w:val="18"/>
              </w:rPr>
              <w:t>العدد المتوقع خلال 12 شهراً</w:t>
            </w:r>
          </w:p>
        </w:tc>
        <w:tc>
          <w:tcPr>
            <w:tcW w:type="dxa" w:w="1728"/>
          </w:tcPr>
          <w:p>
            <w:r>
              <w:rPr>
                <w:b/>
                <w:sz w:val="18"/>
              </w:rPr>
              <w:t>النصاب القانوني</w:t>
            </w:r>
          </w:p>
        </w:tc>
        <w:tc>
          <w:tcPr>
            <w:tcW w:type="dxa" w:w="1728"/>
          </w:tcPr>
          <w:p>
            <w:r>
              <w:rPr>
                <w:b/>
                <w:sz w:val="18"/>
              </w:rPr>
              <w:t>المخرج الرئيسي</w:t>
            </w:r>
          </w:p>
        </w:tc>
      </w:tr>
      <w:tr>
        <w:tc>
          <w:tcPr>
            <w:tcW w:type="dxa" w:w="1728"/>
          </w:tcPr>
          <w:p>
            <w:r>
              <w:rPr>
                <w:sz w:val="18"/>
              </w:rPr>
              <w:t>اجتماع استراتيجي</w:t>
            </w:r>
          </w:p>
        </w:tc>
        <w:tc>
          <w:tcPr>
            <w:tcW w:type="dxa" w:w="1728"/>
          </w:tcPr>
          <w:p>
            <w:r>
              <w:rPr>
                <w:sz w:val="18"/>
              </w:rPr>
              <w:t>شهري</w:t>
            </w:r>
          </w:p>
        </w:tc>
        <w:tc>
          <w:tcPr>
            <w:tcW w:type="dxa" w:w="1728"/>
          </w:tcPr>
          <w:p>
            <w:r>
              <w:rPr>
                <w:sz w:val="18"/>
              </w:rPr>
              <w:t>12 اجتماعاً</w:t>
            </w:r>
          </w:p>
        </w:tc>
        <w:tc>
          <w:tcPr>
            <w:tcW w:type="dxa" w:w="1728"/>
          </w:tcPr>
          <w:p>
            <w:r>
              <w:rPr>
                <w:sz w:val="18"/>
              </w:rPr>
              <w:t>رئيس اللجنة (أو نائبه) + 3 أعضاء من أصل 6</w:t>
            </w:r>
          </w:p>
        </w:tc>
        <w:tc>
          <w:tcPr>
            <w:tcW w:type="dxa" w:w="1728"/>
          </w:tcPr>
          <w:p>
            <w:r>
              <w:rPr>
                <w:sz w:val="18"/>
              </w:rPr>
              <w:t>محضر قرارات معتمد + تقرير تقدم شهري + تحديث سجل المخاطر</w:t>
            </w:r>
          </w:p>
        </w:tc>
      </w:tr>
      <w:tr>
        <w:tc>
          <w:tcPr>
            <w:tcW w:type="dxa" w:w="1728"/>
          </w:tcPr>
          <w:p>
            <w:r>
              <w:rPr>
                <w:sz w:val="18"/>
              </w:rPr>
              <w:t>اجتماع تشغيلي</w:t>
            </w:r>
          </w:p>
        </w:tc>
        <w:tc>
          <w:tcPr>
            <w:tcW w:type="dxa" w:w="1728"/>
          </w:tcPr>
          <w:p>
            <w:r>
              <w:rPr>
                <w:sz w:val="18"/>
              </w:rPr>
              <w:t>كل أسبوعين</w:t>
            </w:r>
          </w:p>
        </w:tc>
        <w:tc>
          <w:tcPr>
            <w:tcW w:type="dxa" w:w="1728"/>
          </w:tcPr>
          <w:p>
            <w:r>
              <w:rPr>
                <w:sz w:val="18"/>
              </w:rPr>
              <w:t>24 اجتماعاً تقريباً</w:t>
            </w:r>
          </w:p>
        </w:tc>
        <w:tc>
          <w:tcPr>
            <w:tcW w:type="dxa" w:w="1728"/>
          </w:tcPr>
          <w:p>
            <w:r>
              <w:rPr>
                <w:sz w:val="18"/>
              </w:rPr>
              <w:t>مدير المشروع من الطرفين + عضو إضافي واحد</w:t>
            </w:r>
          </w:p>
        </w:tc>
        <w:tc>
          <w:tcPr>
            <w:tcW w:type="dxa" w:w="1728"/>
          </w:tcPr>
          <w:p>
            <w:r>
              <w:rPr>
                <w:sz w:val="18"/>
              </w:rPr>
              <w:t>محضر متابعة + تحديث حالة المخرجات + مراجعة القضايا المفتوحة</w:t>
            </w:r>
          </w:p>
        </w:tc>
      </w:tr>
      <w:tr>
        <w:tc>
          <w:tcPr>
            <w:tcW w:type="dxa" w:w="1728"/>
          </w:tcPr>
          <w:p>
            <w:r>
              <w:rPr>
                <w:sz w:val="18"/>
              </w:rPr>
              <w:t>اجتماع طارئ</w:t>
            </w:r>
          </w:p>
        </w:tc>
        <w:tc>
          <w:tcPr>
            <w:tcW w:type="dxa" w:w="1728"/>
          </w:tcPr>
          <w:p>
            <w:r>
              <w:rPr>
                <w:sz w:val="18"/>
              </w:rPr>
              <w:t>عند الحاجة</w:t>
            </w:r>
          </w:p>
        </w:tc>
        <w:tc>
          <w:tcPr>
            <w:tcW w:type="dxa" w:w="1728"/>
          </w:tcPr>
          <w:p>
            <w:r>
              <w:rPr>
                <w:sz w:val="18"/>
              </w:rPr>
              <w:t>حسب الظروف</w:t>
            </w:r>
          </w:p>
        </w:tc>
        <w:tc>
          <w:tcPr>
            <w:tcW w:type="dxa" w:w="1728"/>
          </w:tcPr>
          <w:p>
            <w:r>
              <w:rPr>
                <w:sz w:val="18"/>
              </w:rPr>
              <w:t>رئيس اللجنة (أو نائبه) + مدير المشروع من الطرفين</w:t>
            </w:r>
          </w:p>
        </w:tc>
        <w:tc>
          <w:tcPr>
            <w:tcW w:type="dxa" w:w="1728"/>
          </w:tcPr>
          <w:p>
            <w:r>
              <w:rPr>
                <w:sz w:val="18"/>
              </w:rPr>
              <w:t>قرار فوري موثق خلال 48 ساعة من الطلب</w:t>
            </w:r>
          </w:p>
        </w:tc>
      </w:tr>
      <w:tr>
        <w:tc>
          <w:tcPr>
            <w:tcW w:type="dxa" w:w="1728"/>
          </w:tcPr>
          <w:p>
            <w:r>
              <w:rPr>
                <w:sz w:val="18"/>
              </w:rPr>
              <w:t>بوابة حوكمة (Governance Gate)</w:t>
            </w:r>
          </w:p>
        </w:tc>
        <w:tc>
          <w:tcPr>
            <w:tcW w:type="dxa" w:w="1728"/>
          </w:tcPr>
          <w:p>
            <w:r>
              <w:rPr>
                <w:sz w:val="18"/>
              </w:rPr>
              <w:t>عند نهاية كل مرحلة</w:t>
            </w:r>
          </w:p>
        </w:tc>
        <w:tc>
          <w:tcPr>
            <w:tcW w:type="dxa" w:w="1728"/>
          </w:tcPr>
          <w:p>
            <w:r>
              <w:rPr>
                <w:sz w:val="18"/>
              </w:rPr>
              <w:t>5 بوابات</w:t>
            </w:r>
          </w:p>
        </w:tc>
        <w:tc>
          <w:tcPr>
            <w:tcW w:type="dxa" w:w="1728"/>
          </w:tcPr>
          <w:p>
            <w:r>
              <w:rPr>
                <w:sz w:val="18"/>
              </w:rPr>
              <w:t>جميع الأعضاء (نصاب كامل — 6 من 6)</w:t>
            </w:r>
          </w:p>
        </w:tc>
        <w:tc>
          <w:tcPr>
            <w:tcW w:type="dxa" w:w="1728"/>
          </w:tcPr>
          <w:p>
            <w:r>
              <w:rPr>
                <w:sz w:val="18"/>
              </w:rPr>
              <w:t>اعتماد مخرجات المرحلة أو طلب تعديلات محددة بمهلة زمنية</w:t>
            </w:r>
          </w:p>
        </w:tc>
      </w:tr>
    </w:tbl>
    <w:p/>
    <w:p>
      <w:r>
        <w:t>**قواعد النصاب والتصويت:**</w:t>
        <w:br/>
        <w:t xml:space="preserve"> - لا يُعقد أي اجتماع استراتيجي أو بوابة حوكمة بدون حضور رئيس اللجنة أو نائبه. في حال عدم اكتمال النصاب، يُؤجل الاجتماع 48 ساعة كحد أقصى ثم يُعقد بمن حضر مع توثيق الغياب رسمياً. - القرارات العادية بالأغلبية البسيطة. في حال التعادل، يكون صوت رئيس اللجنة مرجحاً. - القرارات المتعلقة بتغيير النطاق أو تعديل قائمة الدول المعيارية أو تعديل القائمة النهائية للمنتجات والخدمات تتطلب موافقة ثلثي الأعضاء (4 من 6). - تُوثق جميع القرارات في محاضر رسمية تُوقع من رئيس اللجنة وتُوزع على جميع الأعضاء خلال يومي عمل. ---</w:t>
        <w:br/>
        <w:t xml:space="preserve"> ### 2. مصفوفة المسؤوليات على مستوى المخرجات (RACI Matrix — Deliverable-Level)</w:t>
        <w:br/>
        <w:t xml:space="preserve"> تُقدَّم المصفوفة بتغطية كاملة لجميع المخرجات الـ 23 فردياً. هذا التصميم يزيل أي غموض في المساءلة ويمكّن المُقيّم الفني من التحقق الآلي من تغطية كل مخرج. **تعريف الأدوار:**</w:t>
        <w:br/>
        <w:t xml:space="preserve"> - **R (Responsible):** المنفذ المباشر الذي يُنتج المخرج</w:t>
        <w:br/>
        <w:t xml:space="preserve"> - **A (Accountable):** المسؤول النهائي عن جودة المخرج واعتماده</w:t>
        <w:br/>
        <w:t xml:space="preserve"> - **C (Consulted):** يُستشار قبل أو أثناء التنفيذ ويقدم مدخلات فنية</w:t>
        <w:br/>
        <w:t xml:space="preserve"> - **I (Informed):** يُبلَّغ بالنتائج بعد الإنجاز</w:t>
        <w:br/>
        <w:t xml:space="preserve"> #### المرحلة 1 — التأسيس وتصميم المنهجية (بوابة G1: نهاية الشهر 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المخرج</w:t>
            </w:r>
          </w:p>
        </w:tc>
        <w:tc>
          <w:tcPr>
            <w:tcW w:type="dxa" w:w="960"/>
          </w:tcPr>
          <w:p>
            <w:r>
              <w:rPr>
                <w:b/>
                <w:sz w:val="18"/>
              </w:rPr>
              <w:t>الوصف التعاقدي</w:t>
            </w:r>
          </w:p>
        </w:tc>
        <w:tc>
          <w:tcPr>
            <w:tcW w:type="dxa" w:w="960"/>
          </w:tcPr>
          <w:p>
            <w:r>
              <w:rPr>
                <w:b/>
                <w:sz w:val="18"/>
              </w:rPr>
              <w:t>مدير مشروع SG</w:t>
            </w:r>
          </w:p>
        </w:tc>
        <w:tc>
          <w:tcPr>
            <w:tcW w:type="dxa" w:w="960"/>
          </w:tcPr>
          <w:p>
            <w:r>
              <w:rPr>
                <w:b/>
                <w:sz w:val="18"/>
              </w:rPr>
              <w:t>مدير الارتباط SG</w:t>
            </w:r>
          </w:p>
        </w:tc>
        <w:tc>
          <w:tcPr>
            <w:tcW w:type="dxa" w:w="960"/>
          </w:tcPr>
          <w:p>
            <w:r>
              <w:rPr>
                <w:b/>
                <w:sz w:val="18"/>
              </w:rPr>
              <w:t>فريق التحليل SG</w:t>
            </w:r>
          </w:p>
        </w:tc>
        <w:tc>
          <w:tcPr>
            <w:tcW w:type="dxa" w:w="960"/>
          </w:tcPr>
          <w:p>
            <w:r>
              <w:rPr>
                <w:b/>
                <w:sz w:val="18"/>
              </w:rPr>
              <w:t>مكتب إدارة المشروع (العميل)</w:t>
            </w:r>
          </w:p>
        </w:tc>
        <w:tc>
          <w:tcPr>
            <w:tcW w:type="dxa" w:w="960"/>
          </w:tcPr>
          <w:p>
            <w:r>
              <w:rPr>
                <w:b/>
                <w:sz w:val="18"/>
              </w:rPr>
              <w:t>خبراء الموضوع (العميل)</w:t>
            </w:r>
          </w:p>
        </w:tc>
        <w:tc>
          <w:tcPr>
            <w:tcW w:type="dxa" w:w="960"/>
          </w:tcPr>
          <w:p>
            <w:r>
              <w:rPr>
                <w:b/>
                <w:sz w:val="18"/>
              </w:rPr>
              <w:t>اللجنة التوجيهية</w:t>
            </w:r>
          </w:p>
        </w:tc>
        <w:tc>
          <w:tcPr>
            <w:tcW w:type="dxa" w:w="960"/>
          </w:tcPr>
          <w:p>
            <w:r>
              <w:rPr>
                <w:b/>
                <w:sz w:val="18"/>
              </w:rPr>
              <w:t>معايير القبول</w:t>
            </w:r>
          </w:p>
        </w:tc>
      </w:tr>
      <w:tr>
        <w:tc>
          <w:tcPr>
            <w:tcW w:type="dxa" w:w="960"/>
          </w:tcPr>
          <w:p>
            <w:r>
              <w:rPr>
                <w:sz w:val="18"/>
              </w:rPr>
              <w:t>**D-1**</w:t>
            </w:r>
          </w:p>
        </w:tc>
        <w:tc>
          <w:tcPr>
            <w:tcW w:type="dxa" w:w="960"/>
          </w:tcPr>
          <w:p>
            <w:r>
              <w:rPr>
                <w:sz w:val="18"/>
              </w:rPr>
              <w:t>وثيقة منهجية الدراسة المقترحة شاملةً البيانات اللازمة وخطة الحصول عليها</w:t>
            </w:r>
          </w:p>
        </w:tc>
        <w:tc>
          <w:tcPr>
            <w:tcW w:type="dxa" w:w="960"/>
          </w:tcPr>
          <w:p>
            <w:r>
              <w:rPr>
                <w:sz w:val="18"/>
              </w:rPr>
              <w:t>R</w:t>
            </w:r>
          </w:p>
        </w:tc>
        <w:tc>
          <w:tcPr>
            <w:tcW w:type="dxa" w:w="960"/>
          </w:tcPr>
          <w:p>
            <w:r>
              <w:rPr>
                <w:sz w:val="18"/>
              </w:rPr>
              <w:t>A (جودة)</w:t>
            </w:r>
          </w:p>
        </w:tc>
        <w:tc>
          <w:tcPr>
            <w:tcW w:type="dxa" w:w="960"/>
          </w:tcPr>
          <w:p>
            <w:r>
              <w:rPr>
                <w:sz w:val="18"/>
              </w:rPr>
              <w:t>C</w:t>
            </w:r>
          </w:p>
        </w:tc>
        <w:tc>
          <w:tcPr>
            <w:tcW w:type="dxa" w:w="960"/>
          </w:tcPr>
          <w:p>
            <w:r>
              <w:rPr>
                <w:sz w:val="18"/>
              </w:rPr>
              <w:t>C (مصادر البيانات الداخلية)</w:t>
            </w:r>
          </w:p>
        </w:tc>
        <w:tc>
          <w:tcPr>
            <w:tcW w:type="dxa" w:w="960"/>
          </w:tcPr>
          <w:p>
            <w:r>
              <w:rPr>
                <w:sz w:val="18"/>
              </w:rPr>
              <w:t>C (مدخلات قطاعية)</w:t>
            </w:r>
          </w:p>
        </w:tc>
        <w:tc>
          <w:tcPr>
            <w:tcW w:type="dxa" w:w="960"/>
          </w:tcPr>
          <w:p>
            <w:r>
              <w:rPr>
                <w:sz w:val="18"/>
              </w:rPr>
              <w:t>A (اعتماد نهائي)</w:t>
            </w:r>
          </w:p>
        </w:tc>
        <w:tc>
          <w:tcPr>
            <w:tcW w:type="dxa" w:w="960"/>
          </w:tcPr>
          <w:p>
            <w:r>
              <w:rPr>
                <w:sz w:val="18"/>
              </w:rPr>
              <w:t>تغطية النهج الكمي والنوعي؛ تحديد أدوات جمع البيانات لكل مرحلة؛ خطة الحصول على البيانات بمصادر ومواعيد محددة</w:t>
            </w:r>
          </w:p>
        </w:tc>
      </w:tr>
      <w:tr>
        <w:tc>
          <w:tcPr>
            <w:tcW w:type="dxa" w:w="960"/>
          </w:tcPr>
          <w:p>
            <w:r>
              <w:rPr>
                <w:sz w:val="18"/>
              </w:rPr>
              <w:t>**D-2**</w:t>
            </w:r>
          </w:p>
        </w:tc>
        <w:tc>
          <w:tcPr>
            <w:tcW w:type="dxa" w:w="960"/>
          </w:tcPr>
          <w:p>
            <w:r>
              <w:rPr>
                <w:sz w:val="18"/>
              </w:rPr>
              <w:t>قائمة خبراء السوق المحليين/الدوليين المتخصصين في كل قطاع/نشاط</w:t>
            </w:r>
          </w:p>
        </w:tc>
        <w:tc>
          <w:tcPr>
            <w:tcW w:type="dxa" w:w="960"/>
          </w:tcPr>
          <w:p>
            <w:r>
              <w:rPr>
                <w:sz w:val="18"/>
              </w:rPr>
              <w:t>R</w:t>
            </w:r>
          </w:p>
        </w:tc>
        <w:tc>
          <w:tcPr>
            <w:tcW w:type="dxa" w:w="960"/>
          </w:tcPr>
          <w:p>
            <w:r>
              <w:rPr>
                <w:sz w:val="18"/>
              </w:rPr>
              <w:t>A (جودة)</w:t>
            </w:r>
          </w:p>
        </w:tc>
        <w:tc>
          <w:tcPr>
            <w:tcW w:type="dxa" w:w="960"/>
          </w:tcPr>
          <w:p>
            <w:r>
              <w:rPr>
                <w:sz w:val="18"/>
              </w:rPr>
              <w:t>R (بحث وتحديد)</w:t>
            </w:r>
          </w:p>
        </w:tc>
        <w:tc>
          <w:tcPr>
            <w:tcW w:type="dxa" w:w="960"/>
          </w:tcPr>
          <w:p>
            <w:r>
              <w:rPr>
                <w:sz w:val="18"/>
              </w:rPr>
              <w:t>C (ترشيح خبراء محليين)</w:t>
            </w:r>
          </w:p>
        </w:tc>
        <w:tc>
          <w:tcPr>
            <w:tcW w:type="dxa" w:w="960"/>
          </w:tcPr>
          <w:p>
            <w:r>
              <w:rPr>
                <w:sz w:val="18"/>
              </w:rPr>
              <w:t>C (تقييم الخبراء المرشحين)</w:t>
            </w:r>
          </w:p>
        </w:tc>
        <w:tc>
          <w:tcPr>
            <w:tcW w:type="dxa" w:w="960"/>
          </w:tcPr>
          <w:p>
            <w:r>
              <w:rPr>
                <w:sz w:val="18"/>
              </w:rPr>
              <w:t>A (اعتماد نهائي)</w:t>
            </w:r>
          </w:p>
        </w:tc>
        <w:tc>
          <w:tcPr>
            <w:tcW w:type="dxa" w:w="960"/>
          </w:tcPr>
          <w:p>
            <w:r>
              <w:rPr>
                <w:sz w:val="18"/>
              </w:rPr>
              <w:t>خبير واحد على الأقل لكل قطاع من القطاعات الخمس؛ سيرة ذاتية مختصرة لكل خبير؛ تبرير الاختيار بمعايير واضحة (الخبرة القطاعية، المنشورات، المشاريع السابقة)</w:t>
            </w:r>
          </w:p>
        </w:tc>
      </w:tr>
      <w:tr>
        <w:tc>
          <w:tcPr>
            <w:tcW w:type="dxa" w:w="960"/>
          </w:tcPr>
          <w:p>
            <w:r>
              <w:rPr>
                <w:sz w:val="18"/>
              </w:rPr>
              <w:t>**D-3**</w:t>
            </w:r>
          </w:p>
        </w:tc>
        <w:tc>
          <w:tcPr>
            <w:tcW w:type="dxa" w:w="960"/>
          </w:tcPr>
          <w:p>
            <w:r>
              <w:rPr>
                <w:sz w:val="18"/>
              </w:rPr>
              <w:t>الخطة التنفيذية والجدول الزمني</w:t>
            </w:r>
          </w:p>
        </w:tc>
        <w:tc>
          <w:tcPr>
            <w:tcW w:type="dxa" w:w="960"/>
          </w:tcPr>
          <w:p>
            <w:r>
              <w:rPr>
                <w:sz w:val="18"/>
              </w:rPr>
              <w:t>R</w:t>
            </w:r>
          </w:p>
        </w:tc>
        <w:tc>
          <w:tcPr>
            <w:tcW w:type="dxa" w:w="960"/>
          </w:tcPr>
          <w:p>
            <w:r>
              <w:rPr>
                <w:sz w:val="18"/>
              </w:rPr>
              <w:t>A (جودة)</w:t>
            </w:r>
          </w:p>
        </w:tc>
        <w:tc>
          <w:tcPr>
            <w:tcW w:type="dxa" w:w="960"/>
          </w:tcPr>
          <w:p>
            <w:r>
              <w:rPr>
                <w:sz w:val="18"/>
              </w:rPr>
              <w:t>C</w:t>
            </w:r>
          </w:p>
        </w:tc>
        <w:tc>
          <w:tcPr>
            <w:tcW w:type="dxa" w:w="960"/>
          </w:tcPr>
          <w:p>
            <w:r>
              <w:rPr>
                <w:sz w:val="18"/>
              </w:rPr>
              <w:t>C (قيود التوقيت الداخلية)</w:t>
            </w:r>
          </w:p>
        </w:tc>
        <w:tc>
          <w:tcPr>
            <w:tcW w:type="dxa" w:w="960"/>
          </w:tcPr>
          <w:p>
            <w:r>
              <w:rPr>
                <w:sz w:val="18"/>
              </w:rPr>
              <w:t>I</w:t>
            </w:r>
          </w:p>
        </w:tc>
        <w:tc>
          <w:tcPr>
            <w:tcW w:type="dxa" w:w="960"/>
          </w:tcPr>
          <w:p>
            <w:r>
              <w:rPr>
                <w:sz w:val="18"/>
              </w:rPr>
              <w:t>A (اعتماد نهائي)</w:t>
            </w:r>
          </w:p>
        </w:tc>
        <w:tc>
          <w:tcPr>
            <w:tcW w:type="dxa" w:w="960"/>
          </w:tcPr>
          <w:p>
            <w:r>
              <w:rPr>
                <w:sz w:val="18"/>
              </w:rPr>
              <w:t>تغطية 12 شهراً كاملة؛ معالم واضحة لكل مرحلة؛ تحديد المسار الحرج والتبعيات</w:t>
            </w:r>
          </w:p>
        </w:tc>
      </w:tr>
      <w:tr>
        <w:tc>
          <w:tcPr>
            <w:tcW w:type="dxa" w:w="960"/>
          </w:tcPr>
          <w:p>
            <w:r>
              <w:rPr>
                <w:sz w:val="18"/>
              </w:rPr>
              <w:t>**D-4**</w:t>
            </w:r>
          </w:p>
        </w:tc>
        <w:tc>
          <w:tcPr>
            <w:tcW w:type="dxa" w:w="960"/>
          </w:tcPr>
          <w:p>
            <w:r>
              <w:rPr>
                <w:sz w:val="18"/>
              </w:rPr>
              <w:t>حوكمة المشروع واعتماد المخرجات</w:t>
            </w:r>
          </w:p>
        </w:tc>
        <w:tc>
          <w:tcPr>
            <w:tcW w:type="dxa" w:w="960"/>
          </w:tcPr>
          <w:p>
            <w:r>
              <w:rPr>
                <w:sz w:val="18"/>
              </w:rPr>
              <w:t>R</w:t>
            </w:r>
          </w:p>
        </w:tc>
        <w:tc>
          <w:tcPr>
            <w:tcW w:type="dxa" w:w="960"/>
          </w:tcPr>
          <w:p>
            <w:r>
              <w:rPr>
                <w:sz w:val="18"/>
              </w:rPr>
              <w:t>A (جودة)</w:t>
            </w:r>
          </w:p>
        </w:tc>
        <w:tc>
          <w:tcPr>
            <w:tcW w:type="dxa" w:w="960"/>
          </w:tcPr>
          <w:p>
            <w:r>
              <w:rPr>
                <w:sz w:val="18"/>
              </w:rPr>
              <w:t>C</w:t>
            </w:r>
          </w:p>
        </w:tc>
        <w:tc>
          <w:tcPr>
            <w:tcW w:type="dxa" w:w="960"/>
          </w:tcPr>
          <w:p>
            <w:r>
              <w:rPr>
                <w:sz w:val="18"/>
              </w:rPr>
              <w:t>C (متطلبات الحوكمة الداخلية)</w:t>
            </w:r>
          </w:p>
        </w:tc>
        <w:tc>
          <w:tcPr>
            <w:tcW w:type="dxa" w:w="960"/>
          </w:tcPr>
          <w:p>
            <w:r>
              <w:rPr>
                <w:sz w:val="18"/>
              </w:rPr>
              <w:t>I</w:t>
            </w:r>
          </w:p>
        </w:tc>
        <w:tc>
          <w:tcPr>
            <w:tcW w:type="dxa" w:w="960"/>
          </w:tcPr>
          <w:p>
            <w:r>
              <w:rPr>
                <w:sz w:val="18"/>
              </w:rPr>
              <w:t>A (اعتماد نهائي)</w:t>
            </w:r>
          </w:p>
        </w:tc>
        <w:tc>
          <w:tcPr>
            <w:tcW w:type="dxa" w:w="960"/>
          </w:tcPr>
          <w:p>
            <w:r>
              <w:rPr>
                <w:sz w:val="18"/>
              </w:rPr>
              <w:t>RACI لجميع المخرجات؛ إطار تصعيد؛ دورة مراجعة؛ معايير قبول لكل بوابة</w:t>
            </w:r>
          </w:p>
        </w:tc>
      </w:tr>
      <w:tr>
        <w:tc>
          <w:tcPr>
            <w:tcW w:type="dxa" w:w="960"/>
          </w:tcPr>
          <w:p>
            <w:r>
              <w:rPr>
                <w:sz w:val="18"/>
              </w:rPr>
              <w:t>**D-5**</w:t>
            </w:r>
          </w:p>
        </w:tc>
        <w:tc>
          <w:tcPr>
            <w:tcW w:type="dxa" w:w="960"/>
          </w:tcPr>
          <w:p>
            <w:r>
              <w:rPr>
                <w:sz w:val="18"/>
              </w:rPr>
              <w:t>ميثاق المشروع (Project Charter)</w:t>
            </w:r>
          </w:p>
        </w:tc>
        <w:tc>
          <w:tcPr>
            <w:tcW w:type="dxa" w:w="960"/>
          </w:tcPr>
          <w:p>
            <w:r>
              <w:rPr>
                <w:sz w:val="18"/>
              </w:rPr>
              <w:t>R</w:t>
            </w:r>
          </w:p>
        </w:tc>
        <w:tc>
          <w:tcPr>
            <w:tcW w:type="dxa" w:w="960"/>
          </w:tcPr>
          <w:p>
            <w:r>
              <w:rPr>
                <w:sz w:val="18"/>
              </w:rPr>
              <w:t>A (جودة)</w:t>
            </w:r>
          </w:p>
        </w:tc>
        <w:tc>
          <w:tcPr>
            <w:tcW w:type="dxa" w:w="960"/>
          </w:tcPr>
          <w:p>
            <w:r>
              <w:rPr>
                <w:sz w:val="18"/>
              </w:rPr>
              <w:t>C</w:t>
            </w:r>
          </w:p>
        </w:tc>
        <w:tc>
          <w:tcPr>
            <w:tcW w:type="dxa" w:w="960"/>
          </w:tcPr>
          <w:p>
            <w:r>
              <w:rPr>
                <w:sz w:val="18"/>
              </w:rPr>
              <w:t>C (أهداف المركز ومعايير النجاح)</w:t>
            </w:r>
          </w:p>
        </w:tc>
        <w:tc>
          <w:tcPr>
            <w:tcW w:type="dxa" w:w="960"/>
          </w:tcPr>
          <w:p>
            <w:r>
              <w:rPr>
                <w:sz w:val="18"/>
              </w:rPr>
              <w:t>I</w:t>
            </w:r>
          </w:p>
        </w:tc>
        <w:tc>
          <w:tcPr>
            <w:tcW w:type="dxa" w:w="960"/>
          </w:tcPr>
          <w:p>
            <w:r>
              <w:rPr>
                <w:sz w:val="18"/>
              </w:rPr>
              <w:t>A (اعتماد نهائي — توقيع الطرفين)</w:t>
            </w:r>
          </w:p>
        </w:tc>
        <w:tc>
          <w:tcPr>
            <w:tcW w:type="dxa" w:w="960"/>
          </w:tcPr>
          <w:p>
            <w:r>
              <w:rPr>
                <w:sz w:val="18"/>
              </w:rPr>
              <w:t>تحديد النطاق والأهداف والمخاطر الرئيسية والافتراضات والقيود؛ توقيع الراعي التنفيذي ومدير الارتباط SG</w:t>
            </w:r>
          </w:p>
        </w:tc>
      </w:tr>
    </w:tbl>
    <w:p/>
    <w:p>
      <w:r>
        <w:t>#### المرحلة 2 — الحصر والمسح القطاعي والمقارنات المعيارية (بوابة G2: نهاية الشهر 5.5)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المخرج</w:t>
            </w:r>
          </w:p>
        </w:tc>
        <w:tc>
          <w:tcPr>
            <w:tcW w:type="dxa" w:w="960"/>
          </w:tcPr>
          <w:p>
            <w:r>
              <w:rPr>
                <w:b/>
                <w:sz w:val="18"/>
              </w:rPr>
              <w:t>الوصف التعاقدي</w:t>
            </w:r>
          </w:p>
        </w:tc>
        <w:tc>
          <w:tcPr>
            <w:tcW w:type="dxa" w:w="960"/>
          </w:tcPr>
          <w:p>
            <w:r>
              <w:rPr>
                <w:b/>
                <w:sz w:val="18"/>
              </w:rPr>
              <w:t>مدير مشروع SG</w:t>
            </w:r>
          </w:p>
        </w:tc>
        <w:tc>
          <w:tcPr>
            <w:tcW w:type="dxa" w:w="960"/>
          </w:tcPr>
          <w:p>
            <w:r>
              <w:rPr>
                <w:b/>
                <w:sz w:val="18"/>
              </w:rPr>
              <w:t>مدير الارتباط SG</w:t>
            </w:r>
          </w:p>
        </w:tc>
        <w:tc>
          <w:tcPr>
            <w:tcW w:type="dxa" w:w="960"/>
          </w:tcPr>
          <w:p>
            <w:r>
              <w:rPr>
                <w:b/>
                <w:sz w:val="18"/>
              </w:rPr>
              <w:t>فريق التحليل SG</w:t>
            </w:r>
          </w:p>
        </w:tc>
        <w:tc>
          <w:tcPr>
            <w:tcW w:type="dxa" w:w="960"/>
          </w:tcPr>
          <w:p>
            <w:r>
              <w:rPr>
                <w:b/>
                <w:sz w:val="18"/>
              </w:rPr>
              <w:t>مكتب إدارة المشروع (العميل)</w:t>
            </w:r>
          </w:p>
        </w:tc>
        <w:tc>
          <w:tcPr>
            <w:tcW w:type="dxa" w:w="960"/>
          </w:tcPr>
          <w:p>
            <w:r>
              <w:rPr>
                <w:b/>
                <w:sz w:val="18"/>
              </w:rPr>
              <w:t>خبراء الموضوع (العميل)</w:t>
            </w:r>
          </w:p>
        </w:tc>
        <w:tc>
          <w:tcPr>
            <w:tcW w:type="dxa" w:w="960"/>
          </w:tcPr>
          <w:p>
            <w:r>
              <w:rPr>
                <w:b/>
                <w:sz w:val="18"/>
              </w:rPr>
              <w:t>اللجنة التوجيهية</w:t>
            </w:r>
          </w:p>
        </w:tc>
        <w:tc>
          <w:tcPr>
            <w:tcW w:type="dxa" w:w="960"/>
          </w:tcPr>
          <w:p>
            <w:r>
              <w:rPr>
                <w:b/>
                <w:sz w:val="18"/>
              </w:rPr>
              <w:t>معايير القبول</w:t>
            </w:r>
          </w:p>
        </w:tc>
      </w:tr>
      <w:tr>
        <w:tc>
          <w:tcPr>
            <w:tcW w:type="dxa" w:w="960"/>
          </w:tcPr>
          <w:p>
            <w:r>
              <w:rPr>
                <w:sz w:val="18"/>
              </w:rPr>
              <w:t>**D-6**</w:t>
            </w:r>
          </w:p>
        </w:tc>
        <w:tc>
          <w:tcPr>
            <w:tcW w:type="dxa" w:w="960"/>
          </w:tcPr>
          <w:p>
            <w:r>
              <w:rPr>
                <w:sz w:val="18"/>
              </w:rPr>
              <w:t>وثيقة القطاعات ذات الأولوية والأنشطة الاقتصادية والمعايير والتصنيفات ذات العلاقة</w:t>
            </w:r>
          </w:p>
        </w:tc>
        <w:tc>
          <w:tcPr>
            <w:tcW w:type="dxa" w:w="960"/>
          </w:tcPr>
          <w:p>
            <w:r>
              <w:rPr>
                <w:sz w:val="18"/>
              </w:rPr>
              <w:t>R</w:t>
            </w:r>
          </w:p>
        </w:tc>
        <w:tc>
          <w:tcPr>
            <w:tcW w:type="dxa" w:w="960"/>
          </w:tcPr>
          <w:p>
            <w:r>
              <w:rPr>
                <w:sz w:val="18"/>
              </w:rPr>
              <w:t>A (جودة)</w:t>
            </w:r>
          </w:p>
        </w:tc>
        <w:tc>
          <w:tcPr>
            <w:tcW w:type="dxa" w:w="960"/>
          </w:tcPr>
          <w:p>
            <w:r>
              <w:rPr>
                <w:sz w:val="18"/>
              </w:rPr>
              <w:t>R (تنفيذ ميداني)</w:t>
            </w:r>
          </w:p>
        </w:tc>
        <w:tc>
          <w:tcPr>
            <w:tcW w:type="dxa" w:w="960"/>
          </w:tcPr>
          <w:p>
            <w:r>
              <w:rPr>
                <w:sz w:val="18"/>
              </w:rPr>
              <w:t>C (تسهيل الوصول للبيانات)</w:t>
            </w:r>
          </w:p>
        </w:tc>
        <w:tc>
          <w:tcPr>
            <w:tcW w:type="dxa" w:w="960"/>
          </w:tcPr>
          <w:p>
            <w:r>
              <w:rPr>
                <w:sz w:val="18"/>
              </w:rPr>
              <w:t>C (مدخلات قطاعية)</w:t>
            </w:r>
          </w:p>
        </w:tc>
        <w:tc>
          <w:tcPr>
            <w:tcW w:type="dxa" w:w="960"/>
          </w:tcPr>
          <w:p>
            <w:r>
              <w:rPr>
                <w:sz w:val="18"/>
              </w:rPr>
              <w:t>A (اعتماد)</w:t>
            </w:r>
          </w:p>
        </w:tc>
        <w:tc>
          <w:tcPr>
            <w:tcW w:type="dxa" w:w="960"/>
          </w:tcPr>
          <w:p>
            <w:r>
              <w:rPr>
                <w:sz w:val="18"/>
              </w:rPr>
              <w:t>تغطية 5 قطاعات كحد أدنى (DIRECT_RFP_FACT: SI-2)؛ تصنيف وفق معايير دولية [EXT-003]؛ تحديد الأنشطة الاقتصادية في كل قطاع</w:t>
            </w:r>
          </w:p>
        </w:tc>
      </w:tr>
      <w:tr>
        <w:tc>
          <w:tcPr>
            <w:tcW w:type="dxa" w:w="960"/>
          </w:tcPr>
          <w:p>
            <w:r>
              <w:rPr>
                <w:sz w:val="18"/>
              </w:rPr>
              <w:t>**D-7**</w:t>
            </w:r>
          </w:p>
        </w:tc>
        <w:tc>
          <w:tcPr>
            <w:tcW w:type="dxa" w:w="960"/>
          </w:tcPr>
          <w:p>
            <w:r>
              <w:rPr>
                <w:sz w:val="18"/>
              </w:rPr>
              <w:t>وثيقة الممارسات العالمية الرائدة وتحديد الدول محل الدراسة</w:t>
            </w:r>
          </w:p>
        </w:tc>
        <w:tc>
          <w:tcPr>
            <w:tcW w:type="dxa" w:w="960"/>
          </w:tcPr>
          <w:p>
            <w:r>
              <w:rPr>
                <w:sz w:val="18"/>
              </w:rPr>
              <w:t>R</w:t>
            </w:r>
          </w:p>
        </w:tc>
        <w:tc>
          <w:tcPr>
            <w:tcW w:type="dxa" w:w="960"/>
          </w:tcPr>
          <w:p>
            <w:r>
              <w:rPr>
                <w:sz w:val="18"/>
              </w:rPr>
              <w:t>A (جودة)</w:t>
            </w:r>
          </w:p>
        </w:tc>
        <w:tc>
          <w:tcPr>
            <w:tcW w:type="dxa" w:w="960"/>
          </w:tcPr>
          <w:p>
            <w:r>
              <w:rPr>
                <w:sz w:val="18"/>
              </w:rPr>
              <w:t>R (بحث وتحليل)</w:t>
            </w:r>
          </w:p>
        </w:tc>
        <w:tc>
          <w:tcPr>
            <w:tcW w:type="dxa" w:w="960"/>
          </w:tcPr>
          <w:p>
            <w:r>
              <w:rPr>
                <w:sz w:val="18"/>
              </w:rPr>
              <w:t>I</w:t>
            </w:r>
          </w:p>
        </w:tc>
        <w:tc>
          <w:tcPr>
            <w:tcW w:type="dxa" w:w="960"/>
          </w:tcPr>
          <w:p>
            <w:r>
              <w:rPr>
                <w:sz w:val="18"/>
              </w:rPr>
              <w:t>C (مراجعة قابلية النقل)</w:t>
            </w:r>
          </w:p>
        </w:tc>
        <w:tc>
          <w:tcPr>
            <w:tcW w:type="dxa" w:w="960"/>
          </w:tcPr>
          <w:p>
            <w:r>
              <w:rPr>
                <w:sz w:val="18"/>
              </w:rPr>
              <w:t>A (اعتماد)</w:t>
            </w:r>
          </w:p>
        </w:tc>
        <w:tc>
          <w:tcPr>
            <w:tcW w:type="dxa" w:w="960"/>
          </w:tcPr>
          <w:p>
            <w:r>
              <w:rPr>
                <w:sz w:val="18"/>
              </w:rPr>
              <w:t>تغطية 5 دول كحد أدنى (DIRECT_RFP_FACT: SI-3)؛ تبرير اختيار كل دولة؛ تحليل مقارن منظم وليس وصفي</w:t>
            </w:r>
          </w:p>
        </w:tc>
      </w:tr>
      <w:tr>
        <w:tc>
          <w:tcPr>
            <w:tcW w:type="dxa" w:w="960"/>
          </w:tcPr>
          <w:p>
            <w:r>
              <w:rPr>
                <w:sz w:val="18"/>
              </w:rPr>
              <w:t>**D-8**</w:t>
            </w:r>
          </w:p>
        </w:tc>
        <w:tc>
          <w:tcPr>
            <w:tcW w:type="dxa" w:w="960"/>
          </w:tcPr>
          <w:p>
            <w:r>
              <w:rPr>
                <w:sz w:val="18"/>
              </w:rPr>
              <w:t>خارطة أصحاب المصلحة القائمين والمحتملين</w:t>
            </w:r>
          </w:p>
        </w:tc>
        <w:tc>
          <w:tcPr>
            <w:tcW w:type="dxa" w:w="960"/>
          </w:tcPr>
          <w:p>
            <w:r>
              <w:rPr>
                <w:sz w:val="18"/>
              </w:rPr>
              <w:t>R</w:t>
            </w:r>
          </w:p>
        </w:tc>
        <w:tc>
          <w:tcPr>
            <w:tcW w:type="dxa" w:w="960"/>
          </w:tcPr>
          <w:p>
            <w:r>
              <w:rPr>
                <w:sz w:val="18"/>
              </w:rPr>
              <w:t>A (جودة)</w:t>
            </w:r>
          </w:p>
        </w:tc>
        <w:tc>
          <w:tcPr>
            <w:tcW w:type="dxa" w:w="960"/>
          </w:tcPr>
          <w:p>
            <w:r>
              <w:rPr>
                <w:sz w:val="18"/>
              </w:rPr>
              <w:t>R (تنفيذ ميداني)</w:t>
            </w:r>
          </w:p>
        </w:tc>
        <w:tc>
          <w:tcPr>
            <w:tcW w:type="dxa" w:w="960"/>
          </w:tcPr>
          <w:p>
            <w:r>
              <w:rPr>
                <w:sz w:val="18"/>
              </w:rPr>
              <w:t>C (تنسيق المقابلات والوصول للجهات)</w:t>
            </w:r>
          </w:p>
        </w:tc>
        <w:tc>
          <w:tcPr>
            <w:tcW w:type="dxa" w:w="960"/>
          </w:tcPr>
          <w:p>
            <w:r>
              <w:rPr>
                <w:sz w:val="18"/>
              </w:rPr>
              <w:t>C (مدخلات ميدانية ومراجعة)</w:t>
            </w:r>
          </w:p>
        </w:tc>
        <w:tc>
          <w:tcPr>
            <w:tcW w:type="dxa" w:w="960"/>
          </w:tcPr>
          <w:p>
            <w:r>
              <w:rPr>
                <w:sz w:val="18"/>
              </w:rPr>
              <w:t>A (اعتماد)</w:t>
            </w:r>
          </w:p>
        </w:tc>
        <w:tc>
          <w:tcPr>
            <w:tcW w:type="dxa" w:w="960"/>
          </w:tcPr>
          <w:p>
            <w:r>
              <w:rPr>
                <w:sz w:val="18"/>
              </w:rPr>
              <w:t>تصنيف أصحاب المصلحة (قائمون/محتملون)؛ تحديد مستوى التأثير والاهتمام؛ استراتيجية المشاركة لكل فئة [EXT-004]</w:t>
            </w:r>
          </w:p>
        </w:tc>
      </w:tr>
      <w:tr>
        <w:tc>
          <w:tcPr>
            <w:tcW w:type="dxa" w:w="960"/>
          </w:tcPr>
          <w:p>
            <w:r>
              <w:rPr>
                <w:sz w:val="18"/>
              </w:rPr>
              <w:t>**D-9**</w:t>
            </w:r>
          </w:p>
        </w:tc>
        <w:tc>
          <w:tcPr>
            <w:tcW w:type="dxa" w:w="960"/>
          </w:tcPr>
          <w:p>
            <w:r>
              <w:rPr>
                <w:sz w:val="18"/>
              </w:rPr>
              <w:t>وثيقة الوضع الراهن للمنتجات والخدمات القائمة في المملكة</w:t>
            </w:r>
          </w:p>
        </w:tc>
        <w:tc>
          <w:tcPr>
            <w:tcW w:type="dxa" w:w="960"/>
          </w:tcPr>
          <w:p>
            <w:r>
              <w:rPr>
                <w:sz w:val="18"/>
              </w:rPr>
              <w:t>R</w:t>
            </w:r>
          </w:p>
        </w:tc>
        <w:tc>
          <w:tcPr>
            <w:tcW w:type="dxa" w:w="960"/>
          </w:tcPr>
          <w:p>
            <w:r>
              <w:rPr>
                <w:sz w:val="18"/>
              </w:rPr>
              <w:t>A (جودة)</w:t>
            </w:r>
          </w:p>
        </w:tc>
        <w:tc>
          <w:tcPr>
            <w:tcW w:type="dxa" w:w="960"/>
          </w:tcPr>
          <w:p>
            <w:r>
              <w:rPr>
                <w:sz w:val="18"/>
              </w:rPr>
              <w:t>R (تنفيذ ميداني)</w:t>
            </w:r>
          </w:p>
        </w:tc>
        <w:tc>
          <w:tcPr>
            <w:tcW w:type="dxa" w:w="960"/>
          </w:tcPr>
          <w:p>
            <w:r>
              <w:rPr>
                <w:sz w:val="18"/>
              </w:rPr>
              <w:t>C (تسهيل الوصول لمنصات التبرع والجمعيات)</w:t>
            </w:r>
          </w:p>
        </w:tc>
        <w:tc>
          <w:tcPr>
            <w:tcW w:type="dxa" w:w="960"/>
          </w:tcPr>
          <w:p>
            <w:r>
              <w:rPr>
                <w:sz w:val="18"/>
              </w:rPr>
              <w:t>C (مراجعة ميدانية)</w:t>
            </w:r>
          </w:p>
        </w:tc>
        <w:tc>
          <w:tcPr>
            <w:tcW w:type="dxa" w:w="960"/>
          </w:tcPr>
          <w:p>
            <w:r>
              <w:rPr>
                <w:sz w:val="18"/>
              </w:rPr>
              <w:t>A (اعتماد)</w:t>
            </w:r>
          </w:p>
        </w:tc>
        <w:tc>
          <w:tcPr>
            <w:tcW w:type="dxa" w:w="960"/>
          </w:tcPr>
          <w:p>
            <w:r>
              <w:rPr>
                <w:sz w:val="18"/>
              </w:rPr>
              <w:t>تغطية أشكال الخدمات المذكورة في النطاق: جمع التبرع، التطوع، الوقف، الاستقبال (DIRECT_RFP_FACT: SI-4)؛ بيانات كمية حيث تتوفر</w:t>
            </w:r>
          </w:p>
        </w:tc>
      </w:tr>
      <w:tr>
        <w:tc>
          <w:tcPr>
            <w:tcW w:type="dxa" w:w="960"/>
          </w:tcPr>
          <w:p>
            <w:r>
              <w:rPr>
                <w:sz w:val="18"/>
              </w:rPr>
              <w:t>**D-10**</w:t>
            </w:r>
          </w:p>
        </w:tc>
        <w:tc>
          <w:tcPr>
            <w:tcW w:type="dxa" w:w="960"/>
          </w:tcPr>
          <w:p>
            <w:r>
              <w:rPr>
                <w:sz w:val="18"/>
              </w:rPr>
              <w:t>تحليل المنتجات والخدمات النوعية في كل نشاط/قطاع مع المزايا والتحديات</w:t>
            </w:r>
          </w:p>
        </w:tc>
        <w:tc>
          <w:tcPr>
            <w:tcW w:type="dxa" w:w="960"/>
          </w:tcPr>
          <w:p>
            <w:r>
              <w:rPr>
                <w:sz w:val="18"/>
              </w:rPr>
              <w:t>R</w:t>
            </w:r>
          </w:p>
        </w:tc>
        <w:tc>
          <w:tcPr>
            <w:tcW w:type="dxa" w:w="960"/>
          </w:tcPr>
          <w:p>
            <w:r>
              <w:rPr>
                <w:sz w:val="18"/>
              </w:rPr>
              <w:t>A (جودة)</w:t>
            </w:r>
          </w:p>
        </w:tc>
        <w:tc>
          <w:tcPr>
            <w:tcW w:type="dxa" w:w="960"/>
          </w:tcPr>
          <w:p>
            <w:r>
              <w:rPr>
                <w:sz w:val="18"/>
              </w:rPr>
              <w:t>R (تحليل)</w:t>
            </w:r>
          </w:p>
        </w:tc>
        <w:tc>
          <w:tcPr>
            <w:tcW w:type="dxa" w:w="960"/>
          </w:tcPr>
          <w:p>
            <w:r>
              <w:rPr>
                <w:sz w:val="18"/>
              </w:rPr>
              <w:t>C</w:t>
            </w:r>
          </w:p>
        </w:tc>
        <w:tc>
          <w:tcPr>
            <w:tcW w:type="dxa" w:w="960"/>
          </w:tcPr>
          <w:p>
            <w:r>
              <w:rPr>
                <w:sz w:val="18"/>
              </w:rPr>
              <w:t>C (مراجعة الجدوى)</w:t>
            </w:r>
          </w:p>
        </w:tc>
        <w:tc>
          <w:tcPr>
            <w:tcW w:type="dxa" w:w="960"/>
          </w:tcPr>
          <w:p>
            <w:r>
              <w:rPr>
                <w:sz w:val="18"/>
              </w:rPr>
              <w:t>A (اعتماد)</w:t>
            </w:r>
          </w:p>
        </w:tc>
        <w:tc>
          <w:tcPr>
            <w:tcW w:type="dxa" w:w="960"/>
          </w:tcPr>
          <w:p>
            <w:r>
              <w:rPr>
                <w:sz w:val="18"/>
              </w:rPr>
              <w:t>تحليل SWOT أو ما يعادله لكل فئة منتجات/خدمات؛ تحديد الفجوات والفرص</w:t>
            </w:r>
          </w:p>
        </w:tc>
      </w:tr>
      <w:tr>
        <w:tc>
          <w:tcPr>
            <w:tcW w:type="dxa" w:w="960"/>
          </w:tcPr>
          <w:p>
            <w:r>
              <w:rPr>
                <w:sz w:val="18"/>
              </w:rPr>
              <w:t>**D-11**</w:t>
            </w:r>
          </w:p>
        </w:tc>
        <w:tc>
          <w:tcPr>
            <w:tcW w:type="dxa" w:w="960"/>
          </w:tcPr>
          <w:p>
            <w:r>
              <w:rPr>
                <w:sz w:val="18"/>
              </w:rPr>
              <w:t>نتائج ورش العمل</w:t>
            </w:r>
          </w:p>
        </w:tc>
        <w:tc>
          <w:tcPr>
            <w:tcW w:type="dxa" w:w="960"/>
          </w:tcPr>
          <w:p>
            <w:r>
              <w:rPr>
                <w:sz w:val="18"/>
              </w:rPr>
              <w:t>R (تصميم وتيسير)</w:t>
            </w:r>
          </w:p>
        </w:tc>
        <w:tc>
          <w:tcPr>
            <w:tcW w:type="dxa" w:w="960"/>
          </w:tcPr>
          <w:p>
            <w:r>
              <w:rPr>
                <w:sz w:val="18"/>
              </w:rPr>
              <w:t>A (جودة)</w:t>
            </w:r>
          </w:p>
        </w:tc>
        <w:tc>
          <w:tcPr>
            <w:tcW w:type="dxa" w:w="960"/>
          </w:tcPr>
          <w:p>
            <w:r>
              <w:rPr>
                <w:sz w:val="18"/>
              </w:rPr>
              <w:t>R (تنفيذ وتوثيق)</w:t>
            </w:r>
          </w:p>
        </w:tc>
        <w:tc>
          <w:tcPr>
            <w:tcW w:type="dxa" w:w="960"/>
          </w:tcPr>
          <w:p>
            <w:r>
              <w:rPr>
                <w:sz w:val="18"/>
              </w:rPr>
              <w:t>C (تنسيق لوجستي ودعوات)</w:t>
            </w:r>
          </w:p>
        </w:tc>
        <w:tc>
          <w:tcPr>
            <w:tcW w:type="dxa" w:w="960"/>
          </w:tcPr>
          <w:p>
            <w:r>
              <w:rPr>
                <w:sz w:val="18"/>
              </w:rPr>
              <w:t>C (مشاركون)</w:t>
            </w:r>
          </w:p>
        </w:tc>
        <w:tc>
          <w:tcPr>
            <w:tcW w:type="dxa" w:w="960"/>
          </w:tcPr>
          <w:p>
            <w:r>
              <w:rPr>
                <w:sz w:val="18"/>
              </w:rPr>
              <w:t>I</w:t>
            </w:r>
          </w:p>
        </w:tc>
        <w:tc>
          <w:tcPr>
            <w:tcW w:type="dxa" w:w="960"/>
          </w:tcPr>
          <w:p>
            <w:r>
              <w:rPr>
                <w:sz w:val="18"/>
              </w:rPr>
              <w:t>ورشة واحدة على الأقل لكل قطاع من القطاعات الخمس؛ توثيق المشاركين والنتائج والتوصيات؛ ربط النتائج بالمخرجات اللاحقة</w:t>
            </w:r>
          </w:p>
        </w:tc>
      </w:tr>
      <w:tr>
        <w:tc>
          <w:tcPr>
            <w:tcW w:type="dxa" w:w="960"/>
          </w:tcPr>
          <w:p>
            <w:r>
              <w:rPr>
                <w:sz w:val="18"/>
              </w:rPr>
              <w:t>**D-12**</w:t>
            </w:r>
          </w:p>
        </w:tc>
        <w:tc>
          <w:tcPr>
            <w:tcW w:type="dxa" w:w="960"/>
          </w:tcPr>
          <w:p>
            <w:r>
              <w:rPr>
                <w:sz w:val="18"/>
              </w:rPr>
              <w:t>دراسة الممارسات المحلية/الدولية الرائدة فيما يتعلق بالمنتجات والخدمات النوعية</w:t>
            </w:r>
          </w:p>
        </w:tc>
        <w:tc>
          <w:tcPr>
            <w:tcW w:type="dxa" w:w="960"/>
          </w:tcPr>
          <w:p>
            <w:r>
              <w:rPr>
                <w:sz w:val="18"/>
              </w:rPr>
              <w:t>R</w:t>
            </w:r>
          </w:p>
        </w:tc>
        <w:tc>
          <w:tcPr>
            <w:tcW w:type="dxa" w:w="960"/>
          </w:tcPr>
          <w:p>
            <w:r>
              <w:rPr>
                <w:sz w:val="18"/>
              </w:rPr>
              <w:t>A (جودة)</w:t>
            </w:r>
          </w:p>
        </w:tc>
        <w:tc>
          <w:tcPr>
            <w:tcW w:type="dxa" w:w="960"/>
          </w:tcPr>
          <w:p>
            <w:r>
              <w:rPr>
                <w:sz w:val="18"/>
              </w:rPr>
              <w:t>R (بحث وتحليل)</w:t>
            </w:r>
          </w:p>
        </w:tc>
        <w:tc>
          <w:tcPr>
            <w:tcW w:type="dxa" w:w="960"/>
          </w:tcPr>
          <w:p>
            <w:r>
              <w:rPr>
                <w:sz w:val="18"/>
              </w:rPr>
              <w:t>I</w:t>
            </w:r>
          </w:p>
        </w:tc>
        <w:tc>
          <w:tcPr>
            <w:tcW w:type="dxa" w:w="960"/>
          </w:tcPr>
          <w:p>
            <w:r>
              <w:rPr>
                <w:sz w:val="18"/>
              </w:rPr>
              <w:t>C (مراجعة السياق المحلي)</w:t>
            </w:r>
          </w:p>
        </w:tc>
        <w:tc>
          <w:tcPr>
            <w:tcW w:type="dxa" w:w="960"/>
          </w:tcPr>
          <w:p>
            <w:r>
              <w:rPr>
                <w:sz w:val="18"/>
              </w:rPr>
              <w:t>A (اعتماد)</w:t>
            </w:r>
          </w:p>
        </w:tc>
        <w:tc>
          <w:tcPr>
            <w:tcW w:type="dxa" w:w="960"/>
          </w:tcPr>
          <w:p>
            <w:r>
              <w:rPr>
                <w:sz w:val="18"/>
              </w:rPr>
              <w:t>تكامل مع D-7 (الممارسات العالمية) وD-9 (الوضع المحلي)؛ تحديد الممارسات القابلة للنقل مع تبرير</w:t>
            </w:r>
          </w:p>
        </w:tc>
      </w:tr>
      <w:tr>
        <w:tc>
          <w:tcPr>
            <w:tcW w:type="dxa" w:w="960"/>
          </w:tcPr>
          <w:p>
            <w:r>
              <w:rPr>
                <w:sz w:val="18"/>
              </w:rPr>
              <w:t>**D-13**</w:t>
            </w:r>
          </w:p>
        </w:tc>
        <w:tc>
          <w:tcPr>
            <w:tcW w:type="dxa" w:w="960"/>
          </w:tcPr>
          <w:p>
            <w:r>
              <w:rPr>
                <w:sz w:val="18"/>
              </w:rPr>
              <w:t>القائمة النهائية للمنتجات والخدمات النوعية المبتكرة المقترحة</w:t>
            </w:r>
          </w:p>
        </w:tc>
        <w:tc>
          <w:tcPr>
            <w:tcW w:type="dxa" w:w="960"/>
          </w:tcPr>
          <w:p>
            <w:r>
              <w:rPr>
                <w:sz w:val="18"/>
              </w:rPr>
              <w:t>R</w:t>
            </w:r>
          </w:p>
        </w:tc>
        <w:tc>
          <w:tcPr>
            <w:tcW w:type="dxa" w:w="960"/>
          </w:tcPr>
          <w:p>
            <w:r>
              <w:rPr>
                <w:sz w:val="18"/>
              </w:rPr>
              <w:t>A (جودة + مراجعة أقران)</w:t>
            </w:r>
          </w:p>
        </w:tc>
        <w:tc>
          <w:tcPr>
            <w:tcW w:type="dxa" w:w="960"/>
          </w:tcPr>
          <w:p>
            <w:r>
              <w:rPr>
                <w:sz w:val="18"/>
              </w:rPr>
              <w:t>R (تحليل وتصميم)</w:t>
            </w:r>
          </w:p>
        </w:tc>
        <w:tc>
          <w:tcPr>
            <w:tcW w:type="dxa" w:w="960"/>
          </w:tcPr>
          <w:p>
            <w:r>
              <w:rPr>
                <w:sz w:val="18"/>
              </w:rPr>
              <w:t>C</w:t>
            </w:r>
          </w:p>
        </w:tc>
        <w:tc>
          <w:tcPr>
            <w:tcW w:type="dxa" w:w="960"/>
          </w:tcPr>
          <w:p>
            <w:r>
              <w:rPr>
                <w:sz w:val="18"/>
              </w:rPr>
              <w:t>C (مراجعة الجدوى والقبول)</w:t>
            </w:r>
          </w:p>
        </w:tc>
        <w:tc>
          <w:tcPr>
            <w:tcW w:type="dxa" w:w="960"/>
          </w:tcPr>
          <w:p>
            <w:r>
              <w:rPr>
                <w:sz w:val="18"/>
              </w:rPr>
              <w:t>A (اعتماد نهائي — مخرج استراتيجي حرج)</w:t>
            </w:r>
          </w:p>
        </w:tc>
        <w:tc>
          <w:tcPr>
            <w:tcW w:type="dxa" w:w="960"/>
          </w:tcPr>
          <w:p>
            <w:r>
              <w:rPr>
                <w:sz w:val="18"/>
              </w:rPr>
              <w:t>قائمة مبوبة بحسب القطاع والنشاط؛ تحديد عنصر الابتكار في كل منتج/خدمة؛ ربط أولي بالاحتياجات التنموية؛ اعتماد بأغلبية ثلثي اللجنة</w:t>
            </w:r>
          </w:p>
        </w:tc>
      </w:tr>
      <w:tr>
        <w:tc>
          <w:tcPr>
            <w:tcW w:type="dxa" w:w="960"/>
          </w:tcPr>
          <w:p>
            <w:r>
              <w:rPr>
                <w:sz w:val="18"/>
              </w:rPr>
              <w:t>**D-14**</w:t>
            </w:r>
          </w:p>
        </w:tc>
        <w:tc>
          <w:tcPr>
            <w:tcW w:type="dxa" w:w="960"/>
          </w:tcPr>
          <w:p>
            <w:r>
              <w:rPr>
                <w:sz w:val="18"/>
              </w:rPr>
              <w:t>ملخص وأبرز النتائج والتوصيات في المرحلة</w:t>
            </w:r>
          </w:p>
        </w:tc>
        <w:tc>
          <w:tcPr>
            <w:tcW w:type="dxa" w:w="960"/>
          </w:tcPr>
          <w:p>
            <w:r>
              <w:rPr>
                <w:sz w:val="18"/>
              </w:rPr>
              <w:t>R</w:t>
            </w:r>
          </w:p>
        </w:tc>
        <w:tc>
          <w:tcPr>
            <w:tcW w:type="dxa" w:w="960"/>
          </w:tcPr>
          <w:p>
            <w:r>
              <w:rPr>
                <w:sz w:val="18"/>
              </w:rPr>
              <w:t>A (جودة)</w:t>
            </w:r>
          </w:p>
        </w:tc>
        <w:tc>
          <w:tcPr>
            <w:tcW w:type="dxa" w:w="960"/>
          </w:tcPr>
          <w:p>
            <w:r>
              <w:rPr>
                <w:sz w:val="18"/>
              </w:rPr>
              <w:t>R</w:t>
            </w:r>
          </w:p>
        </w:tc>
        <w:tc>
          <w:tcPr>
            <w:tcW w:type="dxa" w:w="960"/>
          </w:tcPr>
          <w:p>
            <w:r>
              <w:rPr>
                <w:sz w:val="18"/>
              </w:rPr>
              <w:t>I</w:t>
            </w:r>
          </w:p>
        </w:tc>
        <w:tc>
          <w:tcPr>
            <w:tcW w:type="dxa" w:w="960"/>
          </w:tcPr>
          <w:p>
            <w:r>
              <w:rPr>
                <w:sz w:val="18"/>
              </w:rPr>
              <w:t>I</w:t>
            </w:r>
          </w:p>
        </w:tc>
        <w:tc>
          <w:tcPr>
            <w:tcW w:type="dxa" w:w="960"/>
          </w:tcPr>
          <w:p>
            <w:r>
              <w:rPr>
                <w:sz w:val="18"/>
              </w:rPr>
              <w:t>I</w:t>
            </w:r>
          </w:p>
        </w:tc>
        <w:tc>
          <w:tcPr>
            <w:tcW w:type="dxa" w:w="960"/>
          </w:tcPr>
          <w:p>
            <w:r>
              <w:rPr>
                <w:sz w:val="18"/>
              </w:rPr>
              <w:t>ملخص تنفيذي لا يتجاوز 10 صفحات؛ تغطية جميع مخرجات المرحلة 2؛ توصيات واضحة للمرحلة 3</w:t>
            </w:r>
          </w:p>
        </w:tc>
      </w:tr>
    </w:tbl>
    <w:p/>
    <w:p>
      <w:r>
        <w:t>#### المرحلة 3 — تحليل الاحتياجات التنموية والربط (بوابة G3: نهاية الشهر 8)</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المخرج</w:t>
            </w:r>
          </w:p>
        </w:tc>
        <w:tc>
          <w:tcPr>
            <w:tcW w:type="dxa" w:w="960"/>
          </w:tcPr>
          <w:p>
            <w:r>
              <w:rPr>
                <w:b/>
                <w:sz w:val="18"/>
              </w:rPr>
              <w:t>الوصف التعاقدي</w:t>
            </w:r>
          </w:p>
        </w:tc>
        <w:tc>
          <w:tcPr>
            <w:tcW w:type="dxa" w:w="960"/>
          </w:tcPr>
          <w:p>
            <w:r>
              <w:rPr>
                <w:b/>
                <w:sz w:val="18"/>
              </w:rPr>
              <w:t>مدير مشروع SG</w:t>
            </w:r>
          </w:p>
        </w:tc>
        <w:tc>
          <w:tcPr>
            <w:tcW w:type="dxa" w:w="960"/>
          </w:tcPr>
          <w:p>
            <w:r>
              <w:rPr>
                <w:b/>
                <w:sz w:val="18"/>
              </w:rPr>
              <w:t>مدير الارتباط SG</w:t>
            </w:r>
          </w:p>
        </w:tc>
        <w:tc>
          <w:tcPr>
            <w:tcW w:type="dxa" w:w="960"/>
          </w:tcPr>
          <w:p>
            <w:r>
              <w:rPr>
                <w:b/>
                <w:sz w:val="18"/>
              </w:rPr>
              <w:t>فريق التحليل SG</w:t>
            </w:r>
          </w:p>
        </w:tc>
        <w:tc>
          <w:tcPr>
            <w:tcW w:type="dxa" w:w="960"/>
          </w:tcPr>
          <w:p>
            <w:r>
              <w:rPr>
                <w:b/>
                <w:sz w:val="18"/>
              </w:rPr>
              <w:t>مكتب إدارة المشروع (العميل)</w:t>
            </w:r>
          </w:p>
        </w:tc>
        <w:tc>
          <w:tcPr>
            <w:tcW w:type="dxa" w:w="960"/>
          </w:tcPr>
          <w:p>
            <w:r>
              <w:rPr>
                <w:b/>
                <w:sz w:val="18"/>
              </w:rPr>
              <w:t>خبراء الموضوع (العميل)</w:t>
            </w:r>
          </w:p>
        </w:tc>
        <w:tc>
          <w:tcPr>
            <w:tcW w:type="dxa" w:w="960"/>
          </w:tcPr>
          <w:p>
            <w:r>
              <w:rPr>
                <w:b/>
                <w:sz w:val="18"/>
              </w:rPr>
              <w:t>اللجنة التوجيهية</w:t>
            </w:r>
          </w:p>
        </w:tc>
        <w:tc>
          <w:tcPr>
            <w:tcW w:type="dxa" w:w="960"/>
          </w:tcPr>
          <w:p>
            <w:r>
              <w:rPr>
                <w:b/>
                <w:sz w:val="18"/>
              </w:rPr>
              <w:t>معايير القبول</w:t>
            </w:r>
          </w:p>
        </w:tc>
      </w:tr>
      <w:tr>
        <w:tc>
          <w:tcPr>
            <w:tcW w:type="dxa" w:w="960"/>
          </w:tcPr>
          <w:p>
            <w:r>
              <w:rPr>
                <w:sz w:val="18"/>
              </w:rPr>
              <w:t>**D-15**</w:t>
            </w:r>
          </w:p>
        </w:tc>
        <w:tc>
          <w:tcPr>
            <w:tcW w:type="dxa" w:w="960"/>
          </w:tcPr>
          <w:p>
            <w:r>
              <w:rPr>
                <w:sz w:val="18"/>
              </w:rPr>
              <w:t>منهجية التحليل المقترحة</w:t>
            </w:r>
          </w:p>
        </w:tc>
        <w:tc>
          <w:tcPr>
            <w:tcW w:type="dxa" w:w="960"/>
          </w:tcPr>
          <w:p>
            <w:r>
              <w:rPr>
                <w:sz w:val="18"/>
              </w:rPr>
              <w:t>R</w:t>
            </w:r>
          </w:p>
        </w:tc>
        <w:tc>
          <w:tcPr>
            <w:tcW w:type="dxa" w:w="960"/>
          </w:tcPr>
          <w:p>
            <w:r>
              <w:rPr>
                <w:sz w:val="18"/>
              </w:rPr>
              <w:t>A (جودة)</w:t>
            </w:r>
          </w:p>
        </w:tc>
        <w:tc>
          <w:tcPr>
            <w:tcW w:type="dxa" w:w="960"/>
          </w:tcPr>
          <w:p>
            <w:r>
              <w:rPr>
                <w:sz w:val="18"/>
              </w:rPr>
              <w:t>R (تصميم)</w:t>
            </w:r>
          </w:p>
        </w:tc>
        <w:tc>
          <w:tcPr>
            <w:tcW w:type="dxa" w:w="960"/>
          </w:tcPr>
          <w:p>
            <w:r>
              <w:rPr>
                <w:sz w:val="18"/>
              </w:rPr>
              <w:t>C</w:t>
            </w:r>
          </w:p>
        </w:tc>
        <w:tc>
          <w:tcPr>
            <w:tcW w:type="dxa" w:w="960"/>
          </w:tcPr>
          <w:p>
            <w:r>
              <w:rPr>
                <w:sz w:val="18"/>
              </w:rPr>
              <w:t>C (مراجعة الملاءمة)</w:t>
            </w:r>
          </w:p>
        </w:tc>
        <w:tc>
          <w:tcPr>
            <w:tcW w:type="dxa" w:w="960"/>
          </w:tcPr>
          <w:p>
            <w:r>
              <w:rPr>
                <w:sz w:val="18"/>
              </w:rPr>
              <w:t>A (اعتماد)</w:t>
            </w:r>
          </w:p>
        </w:tc>
        <w:tc>
          <w:tcPr>
            <w:tcW w:type="dxa" w:w="960"/>
          </w:tcPr>
          <w:p>
            <w:r>
              <w:rPr>
                <w:sz w:val="18"/>
              </w:rPr>
              <w:t>منهجية واضحة وقابلة للتكرار؛ تحديد أدوات التحليل ومصادر البيانات؛ اتساق مع D-1</w:t>
            </w:r>
          </w:p>
        </w:tc>
      </w:tr>
      <w:tr>
        <w:tc>
          <w:tcPr>
            <w:tcW w:type="dxa" w:w="960"/>
          </w:tcPr>
          <w:p>
            <w:r>
              <w:rPr>
                <w:sz w:val="18"/>
              </w:rPr>
              <w:t>**D-16**</w:t>
            </w:r>
          </w:p>
        </w:tc>
        <w:tc>
          <w:tcPr>
            <w:tcW w:type="dxa" w:w="960"/>
          </w:tcPr>
          <w:p>
            <w:r>
              <w:rPr>
                <w:sz w:val="18"/>
              </w:rPr>
              <w:t>الاحتياجات التنموية بحسب الأنشطة والقطاعات ذات الأولوية</w:t>
            </w:r>
          </w:p>
        </w:tc>
        <w:tc>
          <w:tcPr>
            <w:tcW w:type="dxa" w:w="960"/>
          </w:tcPr>
          <w:p>
            <w:r>
              <w:rPr>
                <w:sz w:val="18"/>
              </w:rPr>
              <w:t>R</w:t>
            </w:r>
          </w:p>
        </w:tc>
        <w:tc>
          <w:tcPr>
            <w:tcW w:type="dxa" w:w="960"/>
          </w:tcPr>
          <w:p>
            <w:r>
              <w:rPr>
                <w:sz w:val="18"/>
              </w:rPr>
              <w:t>A (جودة)</w:t>
            </w:r>
          </w:p>
        </w:tc>
        <w:tc>
          <w:tcPr>
            <w:tcW w:type="dxa" w:w="960"/>
          </w:tcPr>
          <w:p>
            <w:r>
              <w:rPr>
                <w:sz w:val="18"/>
              </w:rPr>
              <w:t>R (تحليل)</w:t>
            </w:r>
          </w:p>
        </w:tc>
        <w:tc>
          <w:tcPr>
            <w:tcW w:type="dxa" w:w="960"/>
          </w:tcPr>
          <w:p>
            <w:r>
              <w:rPr>
                <w:sz w:val="18"/>
              </w:rPr>
              <w:t>C (بيانات داخلية)</w:t>
            </w:r>
          </w:p>
        </w:tc>
        <w:tc>
          <w:tcPr>
            <w:tcW w:type="dxa" w:w="960"/>
          </w:tcPr>
          <w:p>
            <w:r>
              <w:rPr>
                <w:sz w:val="18"/>
              </w:rPr>
              <w:t>C (مراجعة الاحتياجات)</w:t>
            </w:r>
          </w:p>
        </w:tc>
        <w:tc>
          <w:tcPr>
            <w:tcW w:type="dxa" w:w="960"/>
          </w:tcPr>
          <w:p>
            <w:r>
              <w:rPr>
                <w:sz w:val="18"/>
              </w:rPr>
              <w:t>A (اعتماد)</w:t>
            </w:r>
          </w:p>
        </w:tc>
        <w:tc>
          <w:tcPr>
            <w:tcW w:type="dxa" w:w="960"/>
          </w:tcPr>
          <w:p>
            <w:r>
              <w:rPr>
                <w:sz w:val="18"/>
              </w:rPr>
              <w:t>تغطية 5 قطاعات؛ تحديد الاحتياجات بمستويات (عاجل/متوسط/طويل الأمد)؛ ربط بالبيانات الميدانية من D-9 وD-11</w:t>
            </w:r>
          </w:p>
        </w:tc>
      </w:tr>
      <w:tr>
        <w:tc>
          <w:tcPr>
            <w:tcW w:type="dxa" w:w="960"/>
          </w:tcPr>
          <w:p>
            <w:r>
              <w:rPr>
                <w:sz w:val="18"/>
              </w:rPr>
              <w:t>**D-17**</w:t>
            </w:r>
          </w:p>
        </w:tc>
        <w:tc>
          <w:tcPr>
            <w:tcW w:type="dxa" w:w="960"/>
          </w:tcPr>
          <w:p>
            <w:r>
              <w:rPr>
                <w:sz w:val="18"/>
              </w:rPr>
              <w:t>ربط الخدمات والمنتجات النوعية المبتكرة المقترحة بالاحتياجات التنموية شاملةً الآثار المتوقعة</w:t>
            </w:r>
          </w:p>
        </w:tc>
        <w:tc>
          <w:tcPr>
            <w:tcW w:type="dxa" w:w="960"/>
          </w:tcPr>
          <w:p>
            <w:r>
              <w:rPr>
                <w:sz w:val="18"/>
              </w:rPr>
              <w:t>R</w:t>
            </w:r>
          </w:p>
        </w:tc>
        <w:tc>
          <w:tcPr>
            <w:tcW w:type="dxa" w:w="960"/>
          </w:tcPr>
          <w:p>
            <w:r>
              <w:rPr>
                <w:sz w:val="18"/>
              </w:rPr>
              <w:t>A (جودة + مراجعة أقران)</w:t>
            </w:r>
          </w:p>
        </w:tc>
        <w:tc>
          <w:tcPr>
            <w:tcW w:type="dxa" w:w="960"/>
          </w:tcPr>
          <w:p>
            <w:r>
              <w:rPr>
                <w:sz w:val="18"/>
              </w:rPr>
              <w:t>R (تحليل)</w:t>
            </w:r>
          </w:p>
        </w:tc>
        <w:tc>
          <w:tcPr>
            <w:tcW w:type="dxa" w:w="960"/>
          </w:tcPr>
          <w:p>
            <w:r>
              <w:rPr>
                <w:sz w:val="18"/>
              </w:rPr>
              <w:t>C</w:t>
            </w:r>
          </w:p>
        </w:tc>
        <w:tc>
          <w:tcPr>
            <w:tcW w:type="dxa" w:w="960"/>
          </w:tcPr>
          <w:p>
            <w:r>
              <w:rPr>
                <w:sz w:val="18"/>
              </w:rPr>
              <w:t>C (مراجعة منطقية الربط)</w:t>
            </w:r>
          </w:p>
        </w:tc>
        <w:tc>
          <w:tcPr>
            <w:tcW w:type="dxa" w:w="960"/>
          </w:tcPr>
          <w:p>
            <w:r>
              <w:rPr>
                <w:sz w:val="18"/>
              </w:rPr>
              <w:t>A (اعتماد)</w:t>
            </w:r>
          </w:p>
        </w:tc>
        <w:tc>
          <w:tcPr>
            <w:tcW w:type="dxa" w:w="960"/>
          </w:tcPr>
          <w:p>
            <w:r>
              <w:rPr>
                <w:sz w:val="18"/>
              </w:rPr>
              <w:t>مصفوفة ربط واضحة: كل منتج/خدمة من D-13 مرتبط باحتياج من D-16؛ تحديد الآثار المتوقعة (كمية حيث أمكن)؛ تحليل سببي مبرر</w:t>
            </w:r>
          </w:p>
        </w:tc>
      </w:tr>
    </w:tbl>
    <w:p/>
    <w:p>
      <w:r>
        <w:t>#### المرحلة 4 — التفعيل والتحفيز وتصميم أدوات التنفيذ (بوابة G4: نهاية الشهر 10.5)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المخرج</w:t>
            </w:r>
          </w:p>
        </w:tc>
        <w:tc>
          <w:tcPr>
            <w:tcW w:type="dxa" w:w="960"/>
          </w:tcPr>
          <w:p>
            <w:r>
              <w:rPr>
                <w:b/>
                <w:sz w:val="18"/>
              </w:rPr>
              <w:t>الوصف التعاقدي</w:t>
            </w:r>
          </w:p>
        </w:tc>
        <w:tc>
          <w:tcPr>
            <w:tcW w:type="dxa" w:w="960"/>
          </w:tcPr>
          <w:p>
            <w:r>
              <w:rPr>
                <w:b/>
                <w:sz w:val="18"/>
              </w:rPr>
              <w:t>مدير مشروع SG</w:t>
            </w:r>
          </w:p>
        </w:tc>
        <w:tc>
          <w:tcPr>
            <w:tcW w:type="dxa" w:w="960"/>
          </w:tcPr>
          <w:p>
            <w:r>
              <w:rPr>
                <w:b/>
                <w:sz w:val="18"/>
              </w:rPr>
              <w:t>مدير الارتباط SG</w:t>
            </w:r>
          </w:p>
        </w:tc>
        <w:tc>
          <w:tcPr>
            <w:tcW w:type="dxa" w:w="960"/>
          </w:tcPr>
          <w:p>
            <w:r>
              <w:rPr>
                <w:b/>
                <w:sz w:val="18"/>
              </w:rPr>
              <w:t>فريق التحليل SG</w:t>
            </w:r>
          </w:p>
        </w:tc>
        <w:tc>
          <w:tcPr>
            <w:tcW w:type="dxa" w:w="960"/>
          </w:tcPr>
          <w:p>
            <w:r>
              <w:rPr>
                <w:b/>
                <w:sz w:val="18"/>
              </w:rPr>
              <w:t>مكتب إدارة المشروع (العميل)</w:t>
            </w:r>
          </w:p>
        </w:tc>
        <w:tc>
          <w:tcPr>
            <w:tcW w:type="dxa" w:w="960"/>
          </w:tcPr>
          <w:p>
            <w:r>
              <w:rPr>
                <w:b/>
                <w:sz w:val="18"/>
              </w:rPr>
              <w:t>خبراء الموضوع (العميل)</w:t>
            </w:r>
          </w:p>
        </w:tc>
        <w:tc>
          <w:tcPr>
            <w:tcW w:type="dxa" w:w="960"/>
          </w:tcPr>
          <w:p>
            <w:r>
              <w:rPr>
                <w:b/>
                <w:sz w:val="18"/>
              </w:rPr>
              <w:t>اللجنة التوجيهية</w:t>
            </w:r>
          </w:p>
        </w:tc>
        <w:tc>
          <w:tcPr>
            <w:tcW w:type="dxa" w:w="960"/>
          </w:tcPr>
          <w:p>
            <w:r>
              <w:rPr>
                <w:b/>
                <w:sz w:val="18"/>
              </w:rPr>
              <w:t>معايير القبول</w:t>
            </w:r>
          </w:p>
        </w:tc>
      </w:tr>
      <w:tr>
        <w:tc>
          <w:tcPr>
            <w:tcW w:type="dxa" w:w="960"/>
          </w:tcPr>
          <w:p>
            <w:r>
              <w:rPr>
                <w:sz w:val="18"/>
              </w:rPr>
              <w:t>**D-18**</w:t>
            </w:r>
          </w:p>
        </w:tc>
        <w:tc>
          <w:tcPr>
            <w:tcW w:type="dxa" w:w="960"/>
          </w:tcPr>
          <w:p>
            <w:r>
              <w:rPr>
                <w:sz w:val="18"/>
              </w:rPr>
              <w:t>منهجية ترتيب أولويات المنتجات والخدمات</w:t>
            </w:r>
          </w:p>
        </w:tc>
        <w:tc>
          <w:tcPr>
            <w:tcW w:type="dxa" w:w="960"/>
          </w:tcPr>
          <w:p>
            <w:r>
              <w:rPr>
                <w:sz w:val="18"/>
              </w:rPr>
              <w:t>R</w:t>
            </w:r>
          </w:p>
        </w:tc>
        <w:tc>
          <w:tcPr>
            <w:tcW w:type="dxa" w:w="960"/>
          </w:tcPr>
          <w:p>
            <w:r>
              <w:rPr>
                <w:sz w:val="18"/>
              </w:rPr>
              <w:t>A (جودة)</w:t>
            </w:r>
          </w:p>
        </w:tc>
        <w:tc>
          <w:tcPr>
            <w:tcW w:type="dxa" w:w="960"/>
          </w:tcPr>
          <w:p>
            <w:r>
              <w:rPr>
                <w:sz w:val="18"/>
              </w:rPr>
              <w:t>R (تصميم)</w:t>
            </w:r>
          </w:p>
        </w:tc>
        <w:tc>
          <w:tcPr>
            <w:tcW w:type="dxa" w:w="960"/>
          </w:tcPr>
          <w:p>
            <w:r>
              <w:rPr>
                <w:sz w:val="18"/>
              </w:rPr>
              <w:t>C</w:t>
            </w:r>
          </w:p>
        </w:tc>
        <w:tc>
          <w:tcPr>
            <w:tcW w:type="dxa" w:w="960"/>
          </w:tcPr>
          <w:p>
            <w:r>
              <w:rPr>
                <w:sz w:val="18"/>
              </w:rPr>
              <w:t>C (مراجعة المعايير)</w:t>
            </w:r>
          </w:p>
        </w:tc>
        <w:tc>
          <w:tcPr>
            <w:tcW w:type="dxa" w:w="960"/>
          </w:tcPr>
          <w:p>
            <w:r>
              <w:rPr>
                <w:sz w:val="18"/>
              </w:rPr>
              <w:t>A (اعتماد)</w:t>
            </w:r>
          </w:p>
        </w:tc>
        <w:tc>
          <w:tcPr>
            <w:tcW w:type="dxa" w:w="960"/>
          </w:tcPr>
          <w:p>
            <w:r>
              <w:rPr>
                <w:sz w:val="18"/>
              </w:rPr>
              <w:t>معايير ترتيب شفافة ومبررة (أثر تنموي، جدوى تنفيذية، تكلفة، استدامة)؛ منهجية قابلة للتكرار [EXT-007: منهجية ANP كمرجع دولي]</w:t>
            </w:r>
          </w:p>
        </w:tc>
      </w:tr>
      <w:tr>
        <w:tc>
          <w:tcPr>
            <w:tcW w:type="dxa" w:w="960"/>
          </w:tcPr>
          <w:p>
            <w:r>
              <w:rPr>
                <w:sz w:val="18"/>
              </w:rPr>
              <w:t>**D-19**</w:t>
            </w:r>
          </w:p>
        </w:tc>
        <w:tc>
          <w:tcPr>
            <w:tcW w:type="dxa" w:w="960"/>
          </w:tcPr>
          <w:p>
            <w:r>
              <w:rPr>
                <w:sz w:val="18"/>
              </w:rPr>
              <w:t>الخطة التنفيذية والجدول الزمني المقترح لتفعيل الخدمات والمنتجات النوعية المقترحة</w:t>
            </w:r>
          </w:p>
        </w:tc>
        <w:tc>
          <w:tcPr>
            <w:tcW w:type="dxa" w:w="960"/>
          </w:tcPr>
          <w:p>
            <w:r>
              <w:rPr>
                <w:sz w:val="18"/>
              </w:rPr>
              <w:t>R</w:t>
            </w:r>
          </w:p>
        </w:tc>
        <w:tc>
          <w:tcPr>
            <w:tcW w:type="dxa" w:w="960"/>
          </w:tcPr>
          <w:p>
            <w:r>
              <w:rPr>
                <w:sz w:val="18"/>
              </w:rPr>
              <w:t>A (جودة)</w:t>
            </w:r>
          </w:p>
        </w:tc>
        <w:tc>
          <w:tcPr>
            <w:tcW w:type="dxa" w:w="960"/>
          </w:tcPr>
          <w:p>
            <w:r>
              <w:rPr>
                <w:sz w:val="18"/>
              </w:rPr>
              <w:t>R (تصميم)</w:t>
            </w:r>
          </w:p>
        </w:tc>
        <w:tc>
          <w:tcPr>
            <w:tcW w:type="dxa" w:w="960"/>
          </w:tcPr>
          <w:p>
            <w:r>
              <w:rPr>
                <w:sz w:val="18"/>
              </w:rPr>
              <w:t>C (قيود التنفيذ الداخلية)</w:t>
            </w:r>
          </w:p>
        </w:tc>
        <w:tc>
          <w:tcPr>
            <w:tcW w:type="dxa" w:w="960"/>
          </w:tcPr>
          <w:p>
            <w:r>
              <w:rPr>
                <w:sz w:val="18"/>
              </w:rPr>
              <w:t>C (مراجعة قابلية التنفيذ)</w:t>
            </w:r>
          </w:p>
        </w:tc>
        <w:tc>
          <w:tcPr>
            <w:tcW w:type="dxa" w:w="960"/>
          </w:tcPr>
          <w:p>
            <w:r>
              <w:rPr>
                <w:sz w:val="18"/>
              </w:rPr>
              <w:t>A (اعتماد — مخرج استراتيجي حرج)</w:t>
            </w:r>
          </w:p>
        </w:tc>
        <w:tc>
          <w:tcPr>
            <w:tcW w:type="dxa" w:w="960"/>
          </w:tcPr>
          <w:p>
            <w:r>
              <w:rPr>
                <w:sz w:val="18"/>
              </w:rPr>
              <w:t>خطة مرحلية بمعالم زمنية تميّز بوضوح بين: (أ) أنشطة التصميم ضمن العقد (12 شهراً) و(ب) أفق التفعيل الموصى به بعد انتهاء العقد؛ تحديد المسؤوليات والموارد المطلوبة؛ مؤشرات متابعة لكل مرحلة تنفيذية</w:t>
            </w:r>
          </w:p>
        </w:tc>
      </w:tr>
      <w:tr>
        <w:tc>
          <w:tcPr>
            <w:tcW w:type="dxa" w:w="960"/>
          </w:tcPr>
          <w:p>
            <w:r>
              <w:rPr>
                <w:sz w:val="18"/>
              </w:rPr>
              <w:t>**D-20**</w:t>
            </w:r>
          </w:p>
        </w:tc>
        <w:tc>
          <w:tcPr>
            <w:tcW w:type="dxa" w:w="960"/>
          </w:tcPr>
          <w:p>
            <w:r>
              <w:rPr>
                <w:sz w:val="18"/>
              </w:rPr>
              <w:t>وثيقة الحزمة التحفيزية</w:t>
            </w:r>
          </w:p>
        </w:tc>
        <w:tc>
          <w:tcPr>
            <w:tcW w:type="dxa" w:w="960"/>
          </w:tcPr>
          <w:p>
            <w:r>
              <w:rPr>
                <w:sz w:val="18"/>
              </w:rPr>
              <w:t>R</w:t>
            </w:r>
          </w:p>
        </w:tc>
        <w:tc>
          <w:tcPr>
            <w:tcW w:type="dxa" w:w="960"/>
          </w:tcPr>
          <w:p>
            <w:r>
              <w:rPr>
                <w:sz w:val="18"/>
              </w:rPr>
              <w:t>A (جودة)</w:t>
            </w:r>
          </w:p>
        </w:tc>
        <w:tc>
          <w:tcPr>
            <w:tcW w:type="dxa" w:w="960"/>
          </w:tcPr>
          <w:p>
            <w:r>
              <w:rPr>
                <w:sz w:val="18"/>
              </w:rPr>
              <w:t>R (تصميم)</w:t>
            </w:r>
          </w:p>
        </w:tc>
        <w:tc>
          <w:tcPr>
            <w:tcW w:type="dxa" w:w="960"/>
          </w:tcPr>
          <w:p>
            <w:r>
              <w:rPr>
                <w:sz w:val="18"/>
              </w:rPr>
              <w:t>C</w:t>
            </w:r>
          </w:p>
        </w:tc>
        <w:tc>
          <w:tcPr>
            <w:tcW w:type="dxa" w:w="960"/>
          </w:tcPr>
          <w:p>
            <w:r>
              <w:rPr>
                <w:sz w:val="18"/>
              </w:rPr>
              <w:t>C (مراجعة الجدوى والقبول المؤسسي)</w:t>
            </w:r>
          </w:p>
        </w:tc>
        <w:tc>
          <w:tcPr>
            <w:tcW w:type="dxa" w:w="960"/>
          </w:tcPr>
          <w:p>
            <w:r>
              <w:rPr>
                <w:sz w:val="18"/>
              </w:rPr>
              <w:t>A (اعتماد)</w:t>
            </w:r>
          </w:p>
        </w:tc>
        <w:tc>
          <w:tcPr>
            <w:tcW w:type="dxa" w:w="960"/>
          </w:tcPr>
          <w:p>
            <w:r>
              <w:rPr>
                <w:sz w:val="18"/>
              </w:rPr>
              <w:t>**حقول البطاقة الإلزامية:** نوع الحافز (مالي/تنظيمي/تقني/تسويقي)، الجهة المستهدفة، معايير الأهلية، آلية التفعيل، التكلفة التقديرية، الجهة المسؤولة، التبعيات النظامية والقانونية، مؤشر الأداء المرتبط</w:t>
            </w:r>
          </w:p>
        </w:tc>
      </w:tr>
      <w:tr>
        <w:tc>
          <w:tcPr>
            <w:tcW w:type="dxa" w:w="960"/>
          </w:tcPr>
          <w:p>
            <w:r>
              <w:rPr>
                <w:sz w:val="18"/>
              </w:rPr>
              <w:t>**D-21**</w:t>
            </w:r>
          </w:p>
        </w:tc>
        <w:tc>
          <w:tcPr>
            <w:tcW w:type="dxa" w:w="960"/>
          </w:tcPr>
          <w:p>
            <w:r>
              <w:rPr>
                <w:sz w:val="18"/>
              </w:rPr>
              <w:t>بطاقة لكل منتج وخدمة ذات أولوية</w:t>
            </w:r>
          </w:p>
        </w:tc>
        <w:tc>
          <w:tcPr>
            <w:tcW w:type="dxa" w:w="960"/>
          </w:tcPr>
          <w:p>
            <w:r>
              <w:rPr>
                <w:sz w:val="18"/>
              </w:rPr>
              <w:t>R</w:t>
            </w:r>
          </w:p>
        </w:tc>
        <w:tc>
          <w:tcPr>
            <w:tcW w:type="dxa" w:w="960"/>
          </w:tcPr>
          <w:p>
            <w:r>
              <w:rPr>
                <w:sz w:val="18"/>
              </w:rPr>
              <w:t>A (جودة)</w:t>
            </w:r>
          </w:p>
        </w:tc>
        <w:tc>
          <w:tcPr>
            <w:tcW w:type="dxa" w:w="960"/>
          </w:tcPr>
          <w:p>
            <w:r>
              <w:rPr>
                <w:sz w:val="18"/>
              </w:rPr>
              <w:t>R (تصميم)</w:t>
            </w:r>
          </w:p>
        </w:tc>
        <w:tc>
          <w:tcPr>
            <w:tcW w:type="dxa" w:w="960"/>
          </w:tcPr>
          <w:p>
            <w:r>
              <w:rPr>
                <w:sz w:val="18"/>
              </w:rPr>
              <w:t>C</w:t>
            </w:r>
          </w:p>
        </w:tc>
        <w:tc>
          <w:tcPr>
            <w:tcW w:type="dxa" w:w="960"/>
          </w:tcPr>
          <w:p>
            <w:r>
              <w:rPr>
                <w:sz w:val="18"/>
              </w:rPr>
              <w:t>C (مراجعة قابلية التشغيل)</w:t>
            </w:r>
          </w:p>
        </w:tc>
        <w:tc>
          <w:tcPr>
            <w:tcW w:type="dxa" w:w="960"/>
          </w:tcPr>
          <w:p>
            <w:r>
              <w:rPr>
                <w:sz w:val="18"/>
              </w:rPr>
              <w:t>A (اعتماد)</w:t>
            </w:r>
          </w:p>
        </w:tc>
        <w:tc>
          <w:tcPr>
            <w:tcW w:type="dxa" w:w="960"/>
          </w:tcPr>
          <w:p>
            <w:r>
              <w:rPr>
                <w:sz w:val="18"/>
              </w:rPr>
              <w:t>**حقول البطاقة الإلزامية:** وصف المنتج/الخدمة، القطاع المستهدف، الفئة المستفيدة، نموذج التشغيل، اقتصاديات الوحدة (Unit Economics)، التبعيات التشغيلية والتنظيمية، المخاطر الرئيسية، مؤشرات الأداء، الحوافز المرتبطة (ربط مع D-20)، محفز بدء التنفيذ (Rollout Trigger)، الجهات المنفذة المقترحة [EXT-005: إطار إدارة محفظة الابتكار كمرجع دولي]</w:t>
            </w:r>
          </w:p>
        </w:tc>
      </w:tr>
    </w:tbl>
    <w:p/>
    <w:p>
      <w:r>
        <w:t>#### المرحلة 5 — قياس الأثر والاستدامة (بوابة G5: نهاية الشهر 12)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المخرج</w:t>
            </w:r>
          </w:p>
        </w:tc>
        <w:tc>
          <w:tcPr>
            <w:tcW w:type="dxa" w:w="960"/>
          </w:tcPr>
          <w:p>
            <w:r>
              <w:rPr>
                <w:b/>
                <w:sz w:val="18"/>
              </w:rPr>
              <w:t>الوصف التعاقدي</w:t>
            </w:r>
          </w:p>
        </w:tc>
        <w:tc>
          <w:tcPr>
            <w:tcW w:type="dxa" w:w="960"/>
          </w:tcPr>
          <w:p>
            <w:r>
              <w:rPr>
                <w:b/>
                <w:sz w:val="18"/>
              </w:rPr>
              <w:t>مدير مشروع SG</w:t>
            </w:r>
          </w:p>
        </w:tc>
        <w:tc>
          <w:tcPr>
            <w:tcW w:type="dxa" w:w="960"/>
          </w:tcPr>
          <w:p>
            <w:r>
              <w:rPr>
                <w:b/>
                <w:sz w:val="18"/>
              </w:rPr>
              <w:t>مدير الارتباط SG</w:t>
            </w:r>
          </w:p>
        </w:tc>
        <w:tc>
          <w:tcPr>
            <w:tcW w:type="dxa" w:w="960"/>
          </w:tcPr>
          <w:p>
            <w:r>
              <w:rPr>
                <w:b/>
                <w:sz w:val="18"/>
              </w:rPr>
              <w:t>فريق التحليل SG</w:t>
            </w:r>
          </w:p>
        </w:tc>
        <w:tc>
          <w:tcPr>
            <w:tcW w:type="dxa" w:w="960"/>
          </w:tcPr>
          <w:p>
            <w:r>
              <w:rPr>
                <w:b/>
                <w:sz w:val="18"/>
              </w:rPr>
              <w:t>مكتب إدارة المشروع (العميل)</w:t>
            </w:r>
          </w:p>
        </w:tc>
        <w:tc>
          <w:tcPr>
            <w:tcW w:type="dxa" w:w="960"/>
          </w:tcPr>
          <w:p>
            <w:r>
              <w:rPr>
                <w:b/>
                <w:sz w:val="18"/>
              </w:rPr>
              <w:t>خبراء الموضوع (العميل)</w:t>
            </w:r>
          </w:p>
        </w:tc>
        <w:tc>
          <w:tcPr>
            <w:tcW w:type="dxa" w:w="960"/>
          </w:tcPr>
          <w:p>
            <w:r>
              <w:rPr>
                <w:b/>
                <w:sz w:val="18"/>
              </w:rPr>
              <w:t>اللجنة التوجيهية</w:t>
            </w:r>
          </w:p>
        </w:tc>
        <w:tc>
          <w:tcPr>
            <w:tcW w:type="dxa" w:w="960"/>
          </w:tcPr>
          <w:p>
            <w:r>
              <w:rPr>
                <w:b/>
                <w:sz w:val="18"/>
              </w:rPr>
              <w:t>معايير القبول</w:t>
            </w:r>
          </w:p>
        </w:tc>
      </w:tr>
      <w:tr>
        <w:tc>
          <w:tcPr>
            <w:tcW w:type="dxa" w:w="960"/>
          </w:tcPr>
          <w:p>
            <w:r>
              <w:rPr>
                <w:sz w:val="18"/>
              </w:rPr>
              <w:t>**D-22**</w:t>
            </w:r>
          </w:p>
        </w:tc>
        <w:tc>
          <w:tcPr>
            <w:tcW w:type="dxa" w:w="960"/>
          </w:tcPr>
          <w:p>
            <w:r>
              <w:rPr>
                <w:sz w:val="18"/>
              </w:rPr>
              <w:t>منهجية قياس الأثر والمستهدفات والاستدامة</w:t>
            </w:r>
          </w:p>
        </w:tc>
        <w:tc>
          <w:tcPr>
            <w:tcW w:type="dxa" w:w="960"/>
          </w:tcPr>
          <w:p>
            <w:r>
              <w:rPr>
                <w:sz w:val="18"/>
              </w:rPr>
              <w:t>R</w:t>
            </w:r>
          </w:p>
        </w:tc>
        <w:tc>
          <w:tcPr>
            <w:tcW w:type="dxa" w:w="960"/>
          </w:tcPr>
          <w:p>
            <w:r>
              <w:rPr>
                <w:sz w:val="18"/>
              </w:rPr>
              <w:t>A (جودة + مراجعة أقران)</w:t>
            </w:r>
          </w:p>
        </w:tc>
        <w:tc>
          <w:tcPr>
            <w:tcW w:type="dxa" w:w="960"/>
          </w:tcPr>
          <w:p>
            <w:r>
              <w:rPr>
                <w:sz w:val="18"/>
              </w:rPr>
              <w:t>R (تصميم)</w:t>
            </w:r>
          </w:p>
        </w:tc>
        <w:tc>
          <w:tcPr>
            <w:tcW w:type="dxa" w:w="960"/>
          </w:tcPr>
          <w:p>
            <w:r>
              <w:rPr>
                <w:sz w:val="18"/>
              </w:rPr>
              <w:t>C</w:t>
            </w:r>
          </w:p>
        </w:tc>
        <w:tc>
          <w:tcPr>
            <w:tcW w:type="dxa" w:w="960"/>
          </w:tcPr>
          <w:p>
            <w:r>
              <w:rPr>
                <w:sz w:val="18"/>
              </w:rPr>
              <w:t>C (مراجعة المؤشرات)</w:t>
            </w:r>
          </w:p>
        </w:tc>
        <w:tc>
          <w:tcPr>
            <w:tcW w:type="dxa" w:w="960"/>
          </w:tcPr>
          <w:p>
            <w:r>
              <w:rPr>
                <w:sz w:val="18"/>
              </w:rPr>
              <w:t>A (اعتماد نهائي — مخرج استراتيجي حرج)</w:t>
            </w:r>
          </w:p>
        </w:tc>
        <w:tc>
          <w:tcPr>
            <w:tcW w:type="dxa" w:w="960"/>
          </w:tcPr>
          <w:p>
            <w:r>
              <w:rPr>
                <w:sz w:val="18"/>
              </w:rPr>
              <w:t>منهجية مرتبطة بمستهدفات رؤية 2030 للقطاع غير الربحي؛ تحديد خطوط الأساس والمستهدفات؛ آلية جمع البيانات وتكرار القياس؛ قابلية التشغيل من فريق المركز باستقلالية [EXT-009]</w:t>
            </w:r>
          </w:p>
        </w:tc>
      </w:tr>
      <w:tr>
        <w:tc>
          <w:tcPr>
            <w:tcW w:type="dxa" w:w="960"/>
          </w:tcPr>
          <w:p>
            <w:r>
              <w:rPr>
                <w:sz w:val="18"/>
              </w:rPr>
              <w:t>**D-23**</w:t>
            </w:r>
          </w:p>
        </w:tc>
        <w:tc>
          <w:tcPr>
            <w:tcW w:type="dxa" w:w="960"/>
          </w:tcPr>
          <w:p>
            <w:r>
              <w:rPr>
                <w:sz w:val="18"/>
              </w:rPr>
              <w:t>قائمة المؤشرات اللازمة لضمان تحقيق الأثر</w:t>
            </w:r>
          </w:p>
        </w:tc>
        <w:tc>
          <w:tcPr>
            <w:tcW w:type="dxa" w:w="960"/>
          </w:tcPr>
          <w:p>
            <w:r>
              <w:rPr>
                <w:sz w:val="18"/>
              </w:rPr>
              <w:t>R</w:t>
            </w:r>
          </w:p>
        </w:tc>
        <w:tc>
          <w:tcPr>
            <w:tcW w:type="dxa" w:w="960"/>
          </w:tcPr>
          <w:p>
            <w:r>
              <w:rPr>
                <w:sz w:val="18"/>
              </w:rPr>
              <w:t>A (جودة)</w:t>
            </w:r>
          </w:p>
        </w:tc>
        <w:tc>
          <w:tcPr>
            <w:tcW w:type="dxa" w:w="960"/>
          </w:tcPr>
          <w:p>
            <w:r>
              <w:rPr>
                <w:sz w:val="18"/>
              </w:rPr>
              <w:t>R (تصميم)</w:t>
            </w:r>
          </w:p>
        </w:tc>
        <w:tc>
          <w:tcPr>
            <w:tcW w:type="dxa" w:w="960"/>
          </w:tcPr>
          <w:p>
            <w:r>
              <w:rPr>
                <w:sz w:val="18"/>
              </w:rPr>
              <w:t>C</w:t>
            </w:r>
          </w:p>
        </w:tc>
        <w:tc>
          <w:tcPr>
            <w:tcW w:type="dxa" w:w="960"/>
          </w:tcPr>
          <w:p>
            <w:r>
              <w:rPr>
                <w:sz w:val="18"/>
              </w:rPr>
              <w:t>C (مراجعة قابلية القياس)</w:t>
            </w:r>
          </w:p>
        </w:tc>
        <w:tc>
          <w:tcPr>
            <w:tcW w:type="dxa" w:w="960"/>
          </w:tcPr>
          <w:p>
            <w:r>
              <w:rPr>
                <w:sz w:val="18"/>
              </w:rPr>
              <w:t>A (اعتماد نهائي)</w:t>
            </w:r>
          </w:p>
        </w:tc>
        <w:tc>
          <w:tcPr>
            <w:tcW w:type="dxa" w:w="960"/>
          </w:tcPr>
          <w:p>
            <w:r>
              <w:rPr>
                <w:sz w:val="18"/>
              </w:rPr>
              <w:t>مؤشرات SMART (محددة، قابلة للقياس، قابلة للتحقيق، ذات صلة، محددة زمنياً)؛ تصنيف: مؤشرات مدخلات/عمليات/مخرجات/نتائج/أثر؛ مصدر البيانات وتكرار القياس لكل مؤشر</w:t>
            </w:r>
          </w:p>
        </w:tc>
      </w:tr>
    </w:tbl>
    <w:p/>
    <w:p>
      <w:r>
        <w:t>#### مخرج مستمر — التدريب وبناء القدرات (SI-8)</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النشاط</w:t>
            </w:r>
          </w:p>
        </w:tc>
        <w:tc>
          <w:tcPr>
            <w:tcW w:type="dxa" w:w="1080"/>
          </w:tcPr>
          <w:p>
            <w:r>
              <w:rPr>
                <w:b/>
                <w:sz w:val="18"/>
              </w:rPr>
              <w:t>مدير مشروع SG</w:t>
            </w:r>
          </w:p>
        </w:tc>
        <w:tc>
          <w:tcPr>
            <w:tcW w:type="dxa" w:w="1080"/>
          </w:tcPr>
          <w:p>
            <w:r>
              <w:rPr>
                <w:b/>
                <w:sz w:val="18"/>
              </w:rPr>
              <w:t>مدير الارتباط SG</w:t>
            </w:r>
          </w:p>
        </w:tc>
        <w:tc>
          <w:tcPr>
            <w:tcW w:type="dxa" w:w="1080"/>
          </w:tcPr>
          <w:p>
            <w:r>
              <w:rPr>
                <w:b/>
                <w:sz w:val="18"/>
              </w:rPr>
              <w:t>فريق التحليل SG</w:t>
            </w:r>
          </w:p>
        </w:tc>
        <w:tc>
          <w:tcPr>
            <w:tcW w:type="dxa" w:w="1080"/>
          </w:tcPr>
          <w:p>
            <w:r>
              <w:rPr>
                <w:b/>
                <w:sz w:val="18"/>
              </w:rPr>
              <w:t>مكتب إدارة المشروع (العميل)</w:t>
            </w:r>
          </w:p>
        </w:tc>
        <w:tc>
          <w:tcPr>
            <w:tcW w:type="dxa" w:w="1080"/>
          </w:tcPr>
          <w:p>
            <w:r>
              <w:rPr>
                <w:b/>
                <w:sz w:val="18"/>
              </w:rPr>
              <w:t>خبراء الموضوع (العميل)</w:t>
            </w:r>
          </w:p>
        </w:tc>
        <w:tc>
          <w:tcPr>
            <w:tcW w:type="dxa" w:w="1080"/>
          </w:tcPr>
          <w:p>
            <w:r>
              <w:rPr>
                <w:b/>
                <w:sz w:val="18"/>
              </w:rPr>
              <w:t>اللجنة التوجيهية</w:t>
            </w:r>
          </w:p>
        </w:tc>
        <w:tc>
          <w:tcPr>
            <w:tcW w:type="dxa" w:w="1080"/>
          </w:tcPr>
          <w:p>
            <w:r>
              <w:rPr>
                <w:b/>
                <w:sz w:val="18"/>
              </w:rPr>
              <w:t>معايير القبول</w:t>
            </w:r>
          </w:p>
        </w:tc>
      </w:tr>
      <w:tr>
        <w:tc>
          <w:tcPr>
            <w:tcW w:type="dxa" w:w="1080"/>
          </w:tcPr>
          <w:p>
            <w:r>
              <w:rPr>
                <w:sz w:val="18"/>
              </w:rPr>
              <w:t>تدريب وتطوير العاملين في المركز عبر جميع مراحل المشروع (DIRECT_RFP_FACT: SI-8)</w:t>
            </w:r>
          </w:p>
        </w:tc>
        <w:tc>
          <w:tcPr>
            <w:tcW w:type="dxa" w:w="1080"/>
          </w:tcPr>
          <w:p>
            <w:r>
              <w:rPr>
                <w:sz w:val="18"/>
              </w:rPr>
              <w:t>R (تصميم وتنفيذ)</w:t>
            </w:r>
          </w:p>
        </w:tc>
        <w:tc>
          <w:tcPr>
            <w:tcW w:type="dxa" w:w="1080"/>
          </w:tcPr>
          <w:p>
            <w:r>
              <w:rPr>
                <w:sz w:val="18"/>
              </w:rPr>
              <w:t>A (جودة)</w:t>
            </w:r>
          </w:p>
        </w:tc>
        <w:tc>
          <w:tcPr>
            <w:tcW w:type="dxa" w:w="1080"/>
          </w:tcPr>
          <w:p>
            <w:r>
              <w:rPr>
                <w:sz w:val="18"/>
              </w:rPr>
              <w:t>R (تنفيذ التدريب)</w:t>
            </w:r>
          </w:p>
        </w:tc>
        <w:tc>
          <w:tcPr>
            <w:tcW w:type="dxa" w:w="1080"/>
          </w:tcPr>
          <w:p>
            <w:r>
              <w:rPr>
                <w:sz w:val="18"/>
              </w:rPr>
              <w:t>C (تنسيق المتدربين وجدولة الورش)</w:t>
            </w:r>
          </w:p>
        </w:tc>
        <w:tc>
          <w:tcPr>
            <w:tcW w:type="dxa" w:w="1080"/>
          </w:tcPr>
          <w:p>
            <w:r>
              <w:rPr>
                <w:sz w:val="18"/>
              </w:rPr>
              <w:t>C (متدربون ومشاركون)</w:t>
            </w:r>
          </w:p>
        </w:tc>
        <w:tc>
          <w:tcPr>
            <w:tcW w:type="dxa" w:w="1080"/>
          </w:tcPr>
          <w:p>
            <w:r>
              <w:rPr>
                <w:sz w:val="18"/>
              </w:rPr>
              <w:t>I</w:t>
            </w:r>
          </w:p>
        </w:tc>
        <w:tc>
          <w:tcPr>
            <w:tcW w:type="dxa" w:w="1080"/>
          </w:tcPr>
          <w:p>
            <w:r>
              <w:rPr>
                <w:sz w:val="18"/>
              </w:rPr>
              <w:t>ورشة تدريبية تطبيقية واحدة على الأقل في كل مرحلة؛ تسليم أدوات ونماذج قابلة لإعادة الاستخدام؛ تقييم رضا المتدربين</w:t>
            </w:r>
          </w:p>
        </w:tc>
      </w:tr>
    </w:tbl>
    <w:p/>
    <w:p>
      <w:r>
        <w:t>**ملاحظات حوكمية على المصفوفة:**</w:t>
        <w:br/>
        <w:t xml:space="preserve"> 1. **SG تملك الإنتاج (R) لجميع المخرجات التعاقدية الـ 23:** لا يُسند إنتاج أي مخرج تعاقدي لفريق العميل. خبراء الموضوع من جانب المركز يقدمون مدخلات استشارية (C) ويراجعون المخرجات، لكنهم لا يتحملون مسؤولية الإنتاج. 2. **مدير الارتباط SG هو حارس الجودة (A — جودة):** يراجع كل مخرج بشكل مستقل عن فريق التنفيذ قبل تقديمه للعميل. هذا الفصل بين التنفيذ والمراجعة يتوافق مع أفضل الممارسات الدولية في ضمان جودة المشاريع الاستشارية [EXT-002]. 3. **اللجنة التوجيهية تحتفظ بالاعتماد النهائي (A — اعتماد):** لجميع المخرجات الـ 23 عند بوابات الحوكمة الخمس، مع تحديد المخرجات الحرجة التي تتطلب مراجعة أقران: D-7، D-13، D-17، D-22. 4. **معايير القبول محددة لكل مخرج فردياً:** وليس على مستوى الفئة. ---</w:t>
        <w:br/>
        <w:t xml:space="preserve"> ### 3. إطار التصعيد (Escalation Framework)</w:t>
        <w:br/>
        <w:t xml:space="preserve"> يعتمد المشروع إطار تصعيد من أربعة مستويات بمحفزات واضحة واتفاقيات مستوى خدمة (SLAs) محددة. التصميم مستند إلى أفضل الممارسات الدولية في إدارة المشاريع الاستشارية الحكومية [EXT-002]. **قاعدة التصعيد التلقائي:** إذا لم تُحل أي قضية ضمن SLA المستوى المحدد، تُصعَّد تلقائياً للمستوى الأعلى دون الحاجة لموافقة إضافية. يتولى مكتب إدارة المشروع مراقبة الالتزام بـ SLAs التصعيد وتوثيق جميع حالات التصعيد التلقائي. #### المستوى الأول: مدير المشروع (Project Manager Level)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العنصر</w:t>
            </w:r>
          </w:p>
        </w:tc>
        <w:tc>
          <w:tcPr>
            <w:tcW w:type="dxa" w:w="4320"/>
          </w:tcPr>
          <w:p>
            <w:r>
              <w:rPr>
                <w:b/>
                <w:sz w:val="18"/>
              </w:rPr>
              <w:t>التفصيل</w:t>
            </w:r>
          </w:p>
        </w:tc>
      </w:tr>
      <w:tr>
        <w:tc>
          <w:tcPr>
            <w:tcW w:type="dxa" w:w="4320"/>
          </w:tcPr>
          <w:p>
            <w:r>
              <w:rPr>
                <w:sz w:val="18"/>
              </w:rPr>
              <w:t>**المحفزات**</w:t>
            </w:r>
          </w:p>
        </w:tc>
        <w:tc>
          <w:tcPr>
            <w:tcW w:type="dxa" w:w="4320"/>
          </w:tcPr>
          <w:p>
            <w:r>
              <w:rPr>
                <w:sz w:val="18"/>
              </w:rPr>
              <w:t>تأخر مهمة فرعية عن الجدول بأقل من أسبوع واحد؛ خلاف فني بين أعضاء فريق العمل حول منهجية تصنيف أو تحليل؛ نقص في بيانات مطلوبة من مصدر محدد؛ مشكلة جودة في مسودة مخرج فرعي؛ تأخر استجابة جهة خارجية لطلب بيانات</w:t>
            </w:r>
          </w:p>
        </w:tc>
      </w:tr>
      <w:tr>
        <w:tc>
          <w:tcPr>
            <w:tcW w:type="dxa" w:w="4320"/>
          </w:tcPr>
          <w:p>
            <w:r>
              <w:rPr>
                <w:sz w:val="18"/>
              </w:rPr>
              <w:t>**صاحب القرار**</w:t>
            </w:r>
          </w:p>
        </w:tc>
        <w:tc>
          <w:tcPr>
            <w:tcW w:type="dxa" w:w="4320"/>
          </w:tcPr>
          <w:p>
            <w:r>
              <w:rPr>
                <w:sz w:val="18"/>
              </w:rPr>
              <w:t>مدير مشروع SG بالتنسيق مع منسق المشروع من جانب المركز</w:t>
            </w:r>
          </w:p>
        </w:tc>
      </w:tr>
      <w:tr>
        <w:tc>
          <w:tcPr>
            <w:tcW w:type="dxa" w:w="4320"/>
          </w:tcPr>
          <w:p>
            <w:r>
              <w:rPr>
                <w:sz w:val="18"/>
              </w:rPr>
              <w:t>**SLA للاستجابة**</w:t>
            </w:r>
          </w:p>
        </w:tc>
        <w:tc>
          <w:tcPr>
            <w:tcW w:type="dxa" w:w="4320"/>
          </w:tcPr>
          <w:p>
            <w:r>
              <w:rPr>
                <w:sz w:val="18"/>
              </w:rPr>
              <w:t>24 ساعة عمل من تاريخ تسجيل القضية في سجل القضايا</w:t>
            </w:r>
          </w:p>
        </w:tc>
      </w:tr>
      <w:tr>
        <w:tc>
          <w:tcPr>
            <w:tcW w:type="dxa" w:w="4320"/>
          </w:tcPr>
          <w:p>
            <w:r>
              <w:rPr>
                <w:sz w:val="18"/>
              </w:rPr>
              <w:t>**SLA للحل**</w:t>
            </w:r>
          </w:p>
        </w:tc>
        <w:tc>
          <w:tcPr>
            <w:tcW w:type="dxa" w:w="4320"/>
          </w:tcPr>
          <w:p>
            <w:r>
              <w:rPr>
                <w:sz w:val="18"/>
              </w:rPr>
              <w:t>3 أيام عمل كحد أقصى</w:t>
            </w:r>
          </w:p>
        </w:tc>
      </w:tr>
      <w:tr>
        <w:tc>
          <w:tcPr>
            <w:tcW w:type="dxa" w:w="4320"/>
          </w:tcPr>
          <w:p>
            <w:r>
              <w:rPr>
                <w:sz w:val="18"/>
              </w:rPr>
              <w:t>**آلية التوثيق**</w:t>
            </w:r>
          </w:p>
        </w:tc>
        <w:tc>
          <w:tcPr>
            <w:tcW w:type="dxa" w:w="4320"/>
          </w:tcPr>
          <w:p>
            <w:r>
              <w:rPr>
                <w:sz w:val="18"/>
              </w:rPr>
              <w:t>تسجيل في سجل القضايا (Issues Log) مع تحديث أسبوعي في التقرير الأسبوعي</w:t>
            </w:r>
          </w:p>
        </w:tc>
      </w:tr>
      <w:tr>
        <w:tc>
          <w:tcPr>
            <w:tcW w:type="dxa" w:w="4320"/>
          </w:tcPr>
          <w:p>
            <w:r>
              <w:rPr>
                <w:sz w:val="18"/>
              </w:rPr>
              <w:t>**أمثلة تطبيقية**</w:t>
            </w:r>
          </w:p>
        </w:tc>
        <w:tc>
          <w:tcPr>
            <w:tcW w:type="dxa" w:w="4320"/>
          </w:tcPr>
          <w:p>
            <w:r>
              <w:rPr>
                <w:sz w:val="18"/>
              </w:rPr>
              <w:t>تأخر استلام بيانات حصر المنتجات من إدارة معينة في المركز؛ خلاف حول تصنيف نشاط اقتصادي وفق ISIC/NAICS [EXT-003]؛ حاجة لإعادة جدولة مقابلة مع خبير قطاعي</w:t>
            </w:r>
          </w:p>
        </w:tc>
      </w:tr>
    </w:tbl>
    <w:p/>
    <w:p>
      <w:r>
        <w:t>#### المستوى الثاني: راعي المشروع (Project Sponsor Level)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العنصر</w:t>
            </w:r>
          </w:p>
        </w:tc>
        <w:tc>
          <w:tcPr>
            <w:tcW w:type="dxa" w:w="4320"/>
          </w:tcPr>
          <w:p>
            <w:r>
              <w:rPr>
                <w:b/>
                <w:sz w:val="18"/>
              </w:rPr>
              <w:t>التفصيل</w:t>
            </w:r>
          </w:p>
        </w:tc>
      </w:tr>
      <w:tr>
        <w:tc>
          <w:tcPr>
            <w:tcW w:type="dxa" w:w="4320"/>
          </w:tcPr>
          <w:p>
            <w:r>
              <w:rPr>
                <w:sz w:val="18"/>
              </w:rPr>
              <w:t>**المحفزات**</w:t>
            </w:r>
          </w:p>
        </w:tc>
        <w:tc>
          <w:tcPr>
            <w:tcW w:type="dxa" w:w="4320"/>
          </w:tcPr>
          <w:p>
            <w:r>
              <w:rPr>
                <w:sz w:val="18"/>
              </w:rPr>
              <w:t>تأخر يؤثر على مسار حرج بمدة 1-2 أسبوع؛ خلاف بين فريقي العمل (SG والمركز) حول تفسير متطلب في نطاق العمل؛ عدم توفر خبير موضوع مطلوب لمرحلة حرجة؛ رفض مخرج فرعي من جانب العميل بعد المراجعة الأولى؛ صعوبة الوصول إلى جهة خارجية رئيسية</w:t>
            </w:r>
          </w:p>
        </w:tc>
      </w:tr>
      <w:tr>
        <w:tc>
          <w:tcPr>
            <w:tcW w:type="dxa" w:w="4320"/>
          </w:tcPr>
          <w:p>
            <w:r>
              <w:rPr>
                <w:sz w:val="18"/>
              </w:rPr>
              <w:t>**صاحب القرار**</w:t>
            </w:r>
          </w:p>
        </w:tc>
        <w:tc>
          <w:tcPr>
            <w:tcW w:type="dxa" w:w="4320"/>
          </w:tcPr>
          <w:p>
            <w:r>
              <w:rPr>
                <w:sz w:val="18"/>
              </w:rPr>
              <w:t>راعي المشروع من جانب المركز بالتنسيق مع مدير الارتباط في SG</w:t>
            </w:r>
          </w:p>
        </w:tc>
      </w:tr>
      <w:tr>
        <w:tc>
          <w:tcPr>
            <w:tcW w:type="dxa" w:w="4320"/>
          </w:tcPr>
          <w:p>
            <w:r>
              <w:rPr>
                <w:sz w:val="18"/>
              </w:rPr>
              <w:t>**SLA للاستجابة**</w:t>
            </w:r>
          </w:p>
        </w:tc>
        <w:tc>
          <w:tcPr>
            <w:tcW w:type="dxa" w:w="4320"/>
          </w:tcPr>
          <w:p>
            <w:r>
              <w:rPr>
                <w:sz w:val="18"/>
              </w:rPr>
              <w:t>48 ساعة عمل من تاريخ التصعيد</w:t>
            </w:r>
          </w:p>
        </w:tc>
      </w:tr>
      <w:tr>
        <w:tc>
          <w:tcPr>
            <w:tcW w:type="dxa" w:w="4320"/>
          </w:tcPr>
          <w:p>
            <w:r>
              <w:rPr>
                <w:sz w:val="18"/>
              </w:rPr>
              <w:t>**SLA للحل**</w:t>
            </w:r>
          </w:p>
        </w:tc>
        <w:tc>
          <w:tcPr>
            <w:tcW w:type="dxa" w:w="4320"/>
          </w:tcPr>
          <w:p>
            <w:r>
              <w:rPr>
                <w:sz w:val="18"/>
              </w:rPr>
              <w:t>5 أيام عمل كحد أقصى</w:t>
            </w:r>
          </w:p>
        </w:tc>
      </w:tr>
      <w:tr>
        <w:tc>
          <w:tcPr>
            <w:tcW w:type="dxa" w:w="4320"/>
          </w:tcPr>
          <w:p>
            <w:r>
              <w:rPr>
                <w:sz w:val="18"/>
              </w:rPr>
              <w:t>**آلية التوثيق**</w:t>
            </w:r>
          </w:p>
        </w:tc>
        <w:tc>
          <w:tcPr>
            <w:tcW w:type="dxa" w:w="4320"/>
          </w:tcPr>
          <w:p>
            <w:r>
              <w:rPr>
                <w:sz w:val="18"/>
              </w:rPr>
              <w:t>مذكرة تصعيد رسمية + تحديث في التقرير نصف الشهري + إخطار اللجنة التوجيهية</w:t>
            </w:r>
          </w:p>
        </w:tc>
      </w:tr>
      <w:tr>
        <w:tc>
          <w:tcPr>
            <w:tcW w:type="dxa" w:w="4320"/>
          </w:tcPr>
          <w:p>
            <w:r>
              <w:rPr>
                <w:sz w:val="18"/>
              </w:rPr>
              <w:t>**أمثلة تطبيقية**</w:t>
            </w:r>
          </w:p>
        </w:tc>
        <w:tc>
          <w:tcPr>
            <w:tcW w:type="dxa" w:w="4320"/>
          </w:tcPr>
          <w:p>
            <w:r>
              <w:rPr>
                <w:sz w:val="18"/>
              </w:rPr>
              <w:t>خلاف حول اختيار إحدى الدول الخمس للمقارنة المعيارية؛ رفض منهجية الحصر المقترحة وطلب تعديل جوهري؛ عدم تعاون جهة خارجية في توفير بيانات مطلوبة لـ D-9</w:t>
            </w:r>
          </w:p>
        </w:tc>
      </w:tr>
    </w:tbl>
    <w:p/>
    <w:p>
      <w:r>
        <w:t>#### المستوى الثالث: اللجنة التوجيهية (Steering Committee Level)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العنصر</w:t>
            </w:r>
          </w:p>
        </w:tc>
        <w:tc>
          <w:tcPr>
            <w:tcW w:type="dxa" w:w="4320"/>
          </w:tcPr>
          <w:p>
            <w:r>
              <w:rPr>
                <w:b/>
                <w:sz w:val="18"/>
              </w:rPr>
              <w:t>التفصيل</w:t>
            </w:r>
          </w:p>
        </w:tc>
      </w:tr>
      <w:tr>
        <w:tc>
          <w:tcPr>
            <w:tcW w:type="dxa" w:w="4320"/>
          </w:tcPr>
          <w:p>
            <w:r>
              <w:rPr>
                <w:sz w:val="18"/>
              </w:rPr>
              <w:t>**المحفزات**</w:t>
            </w:r>
          </w:p>
        </w:tc>
        <w:tc>
          <w:tcPr>
            <w:tcW w:type="dxa" w:w="4320"/>
          </w:tcPr>
          <w:p>
            <w:r>
              <w:rPr>
                <w:sz w:val="18"/>
              </w:rPr>
              <w:t>تأخر يتجاوز أسبوعين على المسار الحرج؛ طلب تغيير في النطاق أو الميزانية أو الجدول الزمني؛ خلاف جوهري حول القائمة النهائية للمنتجات والخدمات (D-13)؛ فشل بوابة حوكمة (عدم اعتماد مخرجات مرحلة كاملة)؛ تعارض بين توجيهات جهات مختلفة</w:t>
            </w:r>
          </w:p>
        </w:tc>
      </w:tr>
      <w:tr>
        <w:tc>
          <w:tcPr>
            <w:tcW w:type="dxa" w:w="4320"/>
          </w:tcPr>
          <w:p>
            <w:r>
              <w:rPr>
                <w:sz w:val="18"/>
              </w:rPr>
              <w:t>**صاحب القرار**</w:t>
            </w:r>
          </w:p>
        </w:tc>
        <w:tc>
          <w:tcPr>
            <w:tcW w:type="dxa" w:w="4320"/>
          </w:tcPr>
          <w:p>
            <w:r>
              <w:rPr>
                <w:sz w:val="18"/>
              </w:rPr>
              <w:t>اللجنة التوجيهية مجتمعة</w:t>
            </w:r>
          </w:p>
        </w:tc>
      </w:tr>
      <w:tr>
        <w:tc>
          <w:tcPr>
            <w:tcW w:type="dxa" w:w="4320"/>
          </w:tcPr>
          <w:p>
            <w:r>
              <w:rPr>
                <w:sz w:val="18"/>
              </w:rPr>
              <w:t>**SLA للاستجابة**</w:t>
            </w:r>
          </w:p>
        </w:tc>
        <w:tc>
          <w:tcPr>
            <w:tcW w:type="dxa" w:w="4320"/>
          </w:tcPr>
          <w:p>
            <w:r>
              <w:rPr>
                <w:sz w:val="18"/>
              </w:rPr>
              <w:t>اجتماع طارئ خلال أسبوع واحد من التصعيد</w:t>
            </w:r>
          </w:p>
        </w:tc>
      </w:tr>
      <w:tr>
        <w:tc>
          <w:tcPr>
            <w:tcW w:type="dxa" w:w="4320"/>
          </w:tcPr>
          <w:p>
            <w:r>
              <w:rPr>
                <w:sz w:val="18"/>
              </w:rPr>
              <w:t>**SLA للحل**</w:t>
            </w:r>
          </w:p>
        </w:tc>
        <w:tc>
          <w:tcPr>
            <w:tcW w:type="dxa" w:w="4320"/>
          </w:tcPr>
          <w:p>
            <w:r>
              <w:rPr>
                <w:sz w:val="18"/>
              </w:rPr>
              <w:t>أسبوعان كحد أقصى</w:t>
            </w:r>
          </w:p>
        </w:tc>
      </w:tr>
      <w:tr>
        <w:tc>
          <w:tcPr>
            <w:tcW w:type="dxa" w:w="4320"/>
          </w:tcPr>
          <w:p>
            <w:r>
              <w:rPr>
                <w:sz w:val="18"/>
              </w:rPr>
              <w:t>**آلية التوثيق**</w:t>
            </w:r>
          </w:p>
        </w:tc>
        <w:tc>
          <w:tcPr>
            <w:tcW w:type="dxa" w:w="4320"/>
          </w:tcPr>
          <w:p>
            <w:r>
              <w:rPr>
                <w:sz w:val="18"/>
              </w:rPr>
              <w:t>محضر اجتماع رسمي معتمد من رئيس اللجنة + تحديث خطة المشروع + إخطار جميع أصحاب المصلحة</w:t>
            </w:r>
          </w:p>
        </w:tc>
      </w:tr>
      <w:tr>
        <w:tc>
          <w:tcPr>
            <w:tcW w:type="dxa" w:w="4320"/>
          </w:tcPr>
          <w:p>
            <w:r>
              <w:rPr>
                <w:sz w:val="18"/>
              </w:rPr>
              <w:t>**أمثلة تطبيقية**</w:t>
            </w:r>
          </w:p>
        </w:tc>
        <w:tc>
          <w:tcPr>
            <w:tcW w:type="dxa" w:w="4320"/>
          </w:tcPr>
          <w:p>
            <w:r>
              <w:rPr>
                <w:sz w:val="18"/>
              </w:rPr>
              <w:t>طلب إضافة قطاع سادس لم يكن في النطاق الأصلي؛ تغيير في أولويات المركز يستدعي إعادة ترتيب المراحل؛ خلاف حول منهجية قياس الأثر (D-22)؛ رفض نتائج الحصر القطاعي بالكامل عند G2</w:t>
            </w:r>
          </w:p>
        </w:tc>
      </w:tr>
    </w:tbl>
    <w:p/>
    <w:p>
      <w:r>
        <w:t>#### المستوى الرابع: الراعي التنفيذي (Executive Sponsor Level)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العنصر</w:t>
            </w:r>
          </w:p>
        </w:tc>
        <w:tc>
          <w:tcPr>
            <w:tcW w:type="dxa" w:w="4320"/>
          </w:tcPr>
          <w:p>
            <w:r>
              <w:rPr>
                <w:b/>
                <w:sz w:val="18"/>
              </w:rPr>
              <w:t>التفصيل</w:t>
            </w:r>
          </w:p>
        </w:tc>
      </w:tr>
      <w:tr>
        <w:tc>
          <w:tcPr>
            <w:tcW w:type="dxa" w:w="4320"/>
          </w:tcPr>
          <w:p>
            <w:r>
              <w:rPr>
                <w:sz w:val="18"/>
              </w:rPr>
              <w:t>**المحفزات**</w:t>
            </w:r>
          </w:p>
        </w:tc>
        <w:tc>
          <w:tcPr>
            <w:tcW w:type="dxa" w:w="4320"/>
          </w:tcPr>
          <w:p>
            <w:r>
              <w:rPr>
                <w:sz w:val="18"/>
              </w:rPr>
              <w:t>تهديد لاستمرارية العقد؛ خلاف تعاقدي جوهري؛ قوة قاهرة تؤثر على تنفيذ المشروع؛ طلب إنهاء مبكر من أي طرف؛ فشل متكرر في بوابات الحوكمة (بوابتان متتاليتان)</w:t>
            </w:r>
          </w:p>
        </w:tc>
      </w:tr>
      <w:tr>
        <w:tc>
          <w:tcPr>
            <w:tcW w:type="dxa" w:w="4320"/>
          </w:tcPr>
          <w:p>
            <w:r>
              <w:rPr>
                <w:sz w:val="18"/>
              </w:rPr>
              <w:t>**صاحب القرار**</w:t>
            </w:r>
          </w:p>
        </w:tc>
        <w:tc>
          <w:tcPr>
            <w:tcW w:type="dxa" w:w="4320"/>
          </w:tcPr>
          <w:p>
            <w:r>
              <w:rPr>
                <w:sz w:val="18"/>
              </w:rPr>
              <w:t>الراعي التنفيذي (أعلى سلطة في المركز المعنية بالعقد) + الشريك الإداري في SG</w:t>
            </w:r>
          </w:p>
        </w:tc>
      </w:tr>
      <w:tr>
        <w:tc>
          <w:tcPr>
            <w:tcW w:type="dxa" w:w="4320"/>
          </w:tcPr>
          <w:p>
            <w:r>
              <w:rPr>
                <w:sz w:val="18"/>
              </w:rPr>
              <w:t>**SLA للاستجابة**</w:t>
            </w:r>
          </w:p>
        </w:tc>
        <w:tc>
          <w:tcPr>
            <w:tcW w:type="dxa" w:w="4320"/>
          </w:tcPr>
          <w:p>
            <w:r>
              <w:rPr>
                <w:sz w:val="18"/>
              </w:rPr>
              <w:t>72 ساعة من التصعيد</w:t>
            </w:r>
          </w:p>
        </w:tc>
      </w:tr>
      <w:tr>
        <w:tc>
          <w:tcPr>
            <w:tcW w:type="dxa" w:w="4320"/>
          </w:tcPr>
          <w:p>
            <w:r>
              <w:rPr>
                <w:sz w:val="18"/>
              </w:rPr>
              <w:t>**SLA للحل**</w:t>
            </w:r>
          </w:p>
        </w:tc>
        <w:tc>
          <w:tcPr>
            <w:tcW w:type="dxa" w:w="4320"/>
          </w:tcPr>
          <w:p>
            <w:r>
              <w:rPr>
                <w:sz w:val="18"/>
              </w:rPr>
              <w:t>خطة عمل خلال أسبوع — الحل النهائي حسب طبيعة القضية</w:t>
            </w:r>
          </w:p>
        </w:tc>
      </w:tr>
      <w:tr>
        <w:tc>
          <w:tcPr>
            <w:tcW w:type="dxa" w:w="4320"/>
          </w:tcPr>
          <w:p>
            <w:r>
              <w:rPr>
                <w:sz w:val="18"/>
              </w:rPr>
              <w:t>**آلية التوثيق**</w:t>
            </w:r>
          </w:p>
        </w:tc>
        <w:tc>
          <w:tcPr>
            <w:tcW w:type="dxa" w:w="4320"/>
          </w:tcPr>
          <w:p>
            <w:r>
              <w:rPr>
                <w:sz w:val="18"/>
              </w:rPr>
              <w:t>مراسلات رسمية بين الطرفين + تعديل تعاقدي إن لزم وفق أحكام العقد</w:t>
            </w:r>
          </w:p>
        </w:tc>
      </w:tr>
    </w:tbl>
    <w:p/>
    <w:p>
      <w:r>
        <w:t>---</w:t>
        <w:br/>
        <w:t xml:space="preserve"> ### 4. إطار التقارير والاتصالات (Reporting Framework)</w:t>
        <w:br/>
        <w:t xml:space="preserve"> جميع التقارير تُعد باللغة العربية وفق متطلب CR-1 (DIRECT_RFP_FACT). #### 4.1 التقرير الأسبوعي (Weekly Status Report)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العنصر</w:t>
            </w:r>
          </w:p>
        </w:tc>
        <w:tc>
          <w:tcPr>
            <w:tcW w:type="dxa" w:w="4320"/>
          </w:tcPr>
          <w:p>
            <w:r>
              <w:rPr>
                <w:b/>
                <w:sz w:val="18"/>
              </w:rPr>
              <w:t>التفصيل</w:t>
            </w:r>
          </w:p>
        </w:tc>
      </w:tr>
      <w:tr>
        <w:tc>
          <w:tcPr>
            <w:tcW w:type="dxa" w:w="4320"/>
          </w:tcPr>
          <w:p>
            <w:r>
              <w:rPr>
                <w:sz w:val="18"/>
              </w:rPr>
              <w:t>**التكرار**</w:t>
            </w:r>
          </w:p>
        </w:tc>
        <w:tc>
          <w:tcPr>
            <w:tcW w:type="dxa" w:w="4320"/>
          </w:tcPr>
          <w:p>
            <w:r>
              <w:rPr>
                <w:sz w:val="18"/>
              </w:rPr>
              <w:t>كل أحد (بداية أسبوع العمل) — 48 تقريراً خلال مدة المشروع</w:t>
            </w:r>
          </w:p>
        </w:tc>
      </w:tr>
      <w:tr>
        <w:tc>
          <w:tcPr>
            <w:tcW w:type="dxa" w:w="4320"/>
          </w:tcPr>
          <w:p>
            <w:r>
              <w:rPr>
                <w:sz w:val="18"/>
              </w:rPr>
              <w:t>**المُعد**</w:t>
            </w:r>
          </w:p>
        </w:tc>
        <w:tc>
          <w:tcPr>
            <w:tcW w:type="dxa" w:w="4320"/>
          </w:tcPr>
          <w:p>
            <w:r>
              <w:rPr>
                <w:sz w:val="18"/>
              </w:rPr>
              <w:t>مدير مشروع SG</w:t>
            </w:r>
          </w:p>
        </w:tc>
      </w:tr>
      <w:tr>
        <w:tc>
          <w:tcPr>
            <w:tcW w:type="dxa" w:w="4320"/>
          </w:tcPr>
          <w:p>
            <w:r>
              <w:rPr>
                <w:sz w:val="18"/>
              </w:rPr>
              <w:t>**المستلمون**</w:t>
            </w:r>
          </w:p>
        </w:tc>
        <w:tc>
          <w:tcPr>
            <w:tcW w:type="dxa" w:w="4320"/>
          </w:tcPr>
          <w:p>
            <w:r>
              <w:rPr>
                <w:sz w:val="18"/>
              </w:rPr>
              <w:t>مكتب إدارة المشروع (العميل) + مدير الارتباط SG</w:t>
            </w:r>
          </w:p>
        </w:tc>
      </w:tr>
      <w:tr>
        <w:tc>
          <w:tcPr>
            <w:tcW w:type="dxa" w:w="4320"/>
          </w:tcPr>
          <w:p>
            <w:r>
              <w:rPr>
                <w:sz w:val="18"/>
              </w:rPr>
              <w:t>**المحتوى**</w:t>
            </w:r>
          </w:p>
        </w:tc>
        <w:tc>
          <w:tcPr>
            <w:tcW w:type="dxa" w:w="4320"/>
          </w:tcPr>
          <w:p>
            <w:r>
              <w:rPr>
                <w:sz w:val="18"/>
              </w:rPr>
              <w:t>(أ) حالة المهام المجدولة للأسبوع المنصرم: مكتمل/جارٍ/متأخر مع نسبة الإنجاز؛ (ب) المهام المخططة للأسبوع القادم مع المسؤول والموعد؛ (ج) القضايا المفتوحة وحالتها ومستوى التصعيد؛ (د) المخاطر الجديدة المحددة أو المتغيرة؛ (هـ) طلبات الدعم من العميل؛ (و) تحديث حالة كل مخرج تعاقدي (D-1 إلى D-23): لم يبدأ/جارٍ/مسودة/مراجعة داخلية/مقدم للعميل/قيد المراجعة/معتمد</w:t>
            </w:r>
          </w:p>
        </w:tc>
      </w:tr>
      <w:tr>
        <w:tc>
          <w:tcPr>
            <w:tcW w:type="dxa" w:w="4320"/>
          </w:tcPr>
          <w:p>
            <w:r>
              <w:rPr>
                <w:sz w:val="18"/>
              </w:rPr>
              <w:t>**الصيغة**</w:t>
            </w:r>
          </w:p>
        </w:tc>
        <w:tc>
          <w:tcPr>
            <w:tcW w:type="dxa" w:w="4320"/>
          </w:tcPr>
          <w:p>
            <w:r>
              <w:rPr>
                <w:sz w:val="18"/>
              </w:rPr>
              <w:t>تقرير مختصر (2-3 صفحات) بصيغة PDF باللغة العربية</w:t>
            </w:r>
          </w:p>
        </w:tc>
      </w:tr>
      <w:tr>
        <w:tc>
          <w:tcPr>
            <w:tcW w:type="dxa" w:w="4320"/>
          </w:tcPr>
          <w:p>
            <w:r>
              <w:rPr>
                <w:sz w:val="18"/>
              </w:rPr>
              <w:t>**مؤشرات الأداء**</w:t>
            </w:r>
          </w:p>
        </w:tc>
        <w:tc>
          <w:tcPr>
            <w:tcW w:type="dxa" w:w="4320"/>
          </w:tcPr>
          <w:p>
            <w:r>
              <w:rPr>
                <w:sz w:val="18"/>
              </w:rPr>
              <w:t>نسبة إنجاز المهام الأسبوعية؛ عدد القضايا المفتوحة vs المغلقة؛ الانحراف عن الجدول الزمني (بالأيام)؛ عدد طلبات الدعم المعلقة</w:t>
            </w:r>
          </w:p>
        </w:tc>
      </w:tr>
    </w:tbl>
    <w:p/>
    <w:p>
      <w:r>
        <w:t>#### 4.2 لوحة المتابعة الشهرية (Monthly Dashboard)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العنصر</w:t>
            </w:r>
          </w:p>
        </w:tc>
        <w:tc>
          <w:tcPr>
            <w:tcW w:type="dxa" w:w="4320"/>
          </w:tcPr>
          <w:p>
            <w:r>
              <w:rPr>
                <w:b/>
                <w:sz w:val="18"/>
              </w:rPr>
              <w:t>التفصيل</w:t>
            </w:r>
          </w:p>
        </w:tc>
      </w:tr>
      <w:tr>
        <w:tc>
          <w:tcPr>
            <w:tcW w:type="dxa" w:w="4320"/>
          </w:tcPr>
          <w:p>
            <w:r>
              <w:rPr>
                <w:sz w:val="18"/>
              </w:rPr>
              <w:t>**التكرار**</w:t>
            </w:r>
          </w:p>
        </w:tc>
        <w:tc>
          <w:tcPr>
            <w:tcW w:type="dxa" w:w="4320"/>
          </w:tcPr>
          <w:p>
            <w:r>
              <w:rPr>
                <w:sz w:val="18"/>
              </w:rPr>
              <w:t>شهري — يُقدم في الاجتماع الاستراتيجي للجنة التوجيهية (12 لوحة خلال المشروع)</w:t>
            </w:r>
          </w:p>
        </w:tc>
      </w:tr>
      <w:tr>
        <w:tc>
          <w:tcPr>
            <w:tcW w:type="dxa" w:w="4320"/>
          </w:tcPr>
          <w:p>
            <w:r>
              <w:rPr>
                <w:sz w:val="18"/>
              </w:rPr>
              <w:t>**المُعد**</w:t>
            </w:r>
          </w:p>
        </w:tc>
        <w:tc>
          <w:tcPr>
            <w:tcW w:type="dxa" w:w="4320"/>
          </w:tcPr>
          <w:p>
            <w:r>
              <w:rPr>
                <w:sz w:val="18"/>
              </w:rPr>
              <w:t>مدير الارتباط SG بمراجعة مدير المشروع</w:t>
            </w:r>
          </w:p>
        </w:tc>
      </w:tr>
      <w:tr>
        <w:tc>
          <w:tcPr>
            <w:tcW w:type="dxa" w:w="4320"/>
          </w:tcPr>
          <w:p>
            <w:r>
              <w:rPr>
                <w:sz w:val="18"/>
              </w:rPr>
              <w:t>**المستلمون**</w:t>
            </w:r>
          </w:p>
        </w:tc>
        <w:tc>
          <w:tcPr>
            <w:tcW w:type="dxa" w:w="4320"/>
          </w:tcPr>
          <w:p>
            <w:r>
              <w:rPr>
                <w:sz w:val="18"/>
              </w:rPr>
              <w:t>اللجنة التوجيهية كاملة</w:t>
            </w:r>
          </w:p>
        </w:tc>
      </w:tr>
      <w:tr>
        <w:tc>
          <w:tcPr>
            <w:tcW w:type="dxa" w:w="4320"/>
          </w:tcPr>
          <w:p>
            <w:r>
              <w:rPr>
                <w:sz w:val="18"/>
              </w:rPr>
              <w:t>**المحتوى**</w:t>
            </w:r>
          </w:p>
        </w:tc>
        <w:tc>
          <w:tcPr>
            <w:tcW w:type="dxa" w:w="4320"/>
          </w:tcPr>
          <w:p>
            <w:r>
              <w:rPr>
                <w:sz w:val="18"/>
              </w:rPr>
              <w:t>(أ) ملخص تنفيذي (صفحة واحدة): مؤشر صحة المشروع (أخضر/أصفر/أحمر)؛ (ب) نسبة الإنجاز الكلية والمرحلية مع مقارنة بالمخطط؛ (ج) حالة كل مخرج من المخرجات الـ 23 في جدول موحد؛ (د) تحليل المسار الحرج وأي انحرافات؛ (هـ) سجل المخاطر المحدّث مع أعلى 5 مخاطر وخطط التخفيف؛ (و) حالة طلبات التغيير؛ (ز) تقرير بناء القدرات: عدد ساعات التدريب المنفذة، عدد المتدربين، الموضوعات المغطاة (SI-8)؛ (ح) الميزانية المصروفة vs المخططة</w:t>
            </w:r>
          </w:p>
        </w:tc>
      </w:tr>
      <w:tr>
        <w:tc>
          <w:tcPr>
            <w:tcW w:type="dxa" w:w="4320"/>
          </w:tcPr>
          <w:p>
            <w:r>
              <w:rPr>
                <w:sz w:val="18"/>
              </w:rPr>
              <w:t>**الصيغة**</w:t>
            </w:r>
          </w:p>
        </w:tc>
        <w:tc>
          <w:tcPr>
            <w:tcW w:type="dxa" w:w="4320"/>
          </w:tcPr>
          <w:p>
            <w:r>
              <w:rPr>
                <w:sz w:val="18"/>
              </w:rPr>
              <w:t>عرض تقديمي (10-15 شريحة) + تقرير مفصل (PDF) باللغة العربية</w:t>
            </w:r>
          </w:p>
        </w:tc>
      </w:tr>
      <w:tr>
        <w:tc>
          <w:tcPr>
            <w:tcW w:type="dxa" w:w="4320"/>
          </w:tcPr>
          <w:p>
            <w:r>
              <w:rPr>
                <w:sz w:val="18"/>
              </w:rPr>
              <w:t>**مؤشرات الأداء**</w:t>
            </w:r>
          </w:p>
        </w:tc>
        <w:tc>
          <w:tcPr>
            <w:tcW w:type="dxa" w:w="4320"/>
          </w:tcPr>
          <w:p>
            <w:r>
              <w:rPr>
                <w:sz w:val="18"/>
              </w:rPr>
              <w:t>SPI (Schedule Performance Index)؛ عدد المخرجات المعتمدة vs المخطط؛ عدد المخاطر الحرجة والعالية؛ نسبة إنجاز برنامج التدريب</w:t>
            </w:r>
          </w:p>
        </w:tc>
      </w:tr>
    </w:tbl>
    <w:p/>
    <w:p>
      <w:r>
        <w:t>#### 4.3 المراجعة الربع سنوية (Quarterly Review)</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العنصر</w:t>
            </w:r>
          </w:p>
        </w:tc>
        <w:tc>
          <w:tcPr>
            <w:tcW w:type="dxa" w:w="4320"/>
          </w:tcPr>
          <w:p>
            <w:r>
              <w:rPr>
                <w:b/>
                <w:sz w:val="18"/>
              </w:rPr>
              <w:t>التفصيل</w:t>
            </w:r>
          </w:p>
        </w:tc>
      </w:tr>
      <w:tr>
        <w:tc>
          <w:tcPr>
            <w:tcW w:type="dxa" w:w="4320"/>
          </w:tcPr>
          <w:p>
            <w:r>
              <w:rPr>
                <w:sz w:val="18"/>
              </w:rPr>
              <w:t>**التكرار**</w:t>
            </w:r>
          </w:p>
        </w:tc>
        <w:tc>
          <w:tcPr>
            <w:tcW w:type="dxa" w:w="4320"/>
          </w:tcPr>
          <w:p>
            <w:r>
              <w:rPr>
                <w:sz w:val="18"/>
              </w:rPr>
              <w:t>كل 3 أشهر (4 مراجعات خلال مدة العقد: الشهر 3، 6، 9، 12)</w:t>
            </w:r>
          </w:p>
        </w:tc>
      </w:tr>
      <w:tr>
        <w:tc>
          <w:tcPr>
            <w:tcW w:type="dxa" w:w="4320"/>
          </w:tcPr>
          <w:p>
            <w:r>
              <w:rPr>
                <w:sz w:val="18"/>
              </w:rPr>
              <w:t>**المُعد**</w:t>
            </w:r>
          </w:p>
        </w:tc>
        <w:tc>
          <w:tcPr>
            <w:tcW w:type="dxa" w:w="4320"/>
          </w:tcPr>
          <w:p>
            <w:r>
              <w:rPr>
                <w:sz w:val="18"/>
              </w:rPr>
              <w:t>مدير الارتباط SG + مدير المشروع</w:t>
            </w:r>
          </w:p>
        </w:tc>
      </w:tr>
      <w:tr>
        <w:tc>
          <w:tcPr>
            <w:tcW w:type="dxa" w:w="4320"/>
          </w:tcPr>
          <w:p>
            <w:r>
              <w:rPr>
                <w:sz w:val="18"/>
              </w:rPr>
              <w:t>**المستلمون**</w:t>
            </w:r>
          </w:p>
        </w:tc>
        <w:tc>
          <w:tcPr>
            <w:tcW w:type="dxa" w:w="4320"/>
          </w:tcPr>
          <w:p>
            <w:r>
              <w:rPr>
                <w:sz w:val="18"/>
              </w:rPr>
              <w:t>اللجنة التوجيهية + الراعي التنفيذي</w:t>
            </w:r>
          </w:p>
        </w:tc>
      </w:tr>
      <w:tr>
        <w:tc>
          <w:tcPr>
            <w:tcW w:type="dxa" w:w="4320"/>
          </w:tcPr>
          <w:p>
            <w:r>
              <w:rPr>
                <w:sz w:val="18"/>
              </w:rPr>
              <w:t>**المحتوى**</w:t>
            </w:r>
          </w:p>
        </w:tc>
        <w:tc>
          <w:tcPr>
            <w:tcW w:type="dxa" w:w="4320"/>
          </w:tcPr>
          <w:p>
            <w:r>
              <w:rPr>
                <w:sz w:val="18"/>
              </w:rPr>
              <w:t>(أ) تقييم شامل للأداء مقابل الخطة الأصلية؛ (ب) الدروس المستفادة من الفترة المنصرمة؛ (ج) تحديث خارطة المخاطر الاستراتيجية؛ (د) مراجعة الجدول الزمني المتبقي مع تحليل السيناريوهات؛ (هـ) تقييم فعالية الحوكمة؛ (و) استعراض نتائج بناء القدرات وتقييم مستوى نقل المعرفة؛ (ز) توصيات للتحسين</w:t>
            </w:r>
          </w:p>
        </w:tc>
      </w:tr>
      <w:tr>
        <w:tc>
          <w:tcPr>
            <w:tcW w:type="dxa" w:w="4320"/>
          </w:tcPr>
          <w:p>
            <w:r>
              <w:rPr>
                <w:sz w:val="18"/>
              </w:rPr>
              <w:t>**الصيغة**</w:t>
            </w:r>
          </w:p>
        </w:tc>
        <w:tc>
          <w:tcPr>
            <w:tcW w:type="dxa" w:w="4320"/>
          </w:tcPr>
          <w:p>
            <w:r>
              <w:rPr>
                <w:sz w:val="18"/>
              </w:rPr>
              <w:t>ورشة عمل تفاعلية (نصف يوم) + تقرير مكتوب</w:t>
            </w:r>
          </w:p>
        </w:tc>
      </w:tr>
    </w:tbl>
    <w:p/>
    <w:p>
      <w:r>
        <w:t>#### 4.4 تقارير بوابات الحوكمة (Governance Gate Reports)</w:t>
        <w:br/>
        <w:t xml:space="preserve"> عند نهاية كل مرحلة من المراحل الخمس، يُقدم تقرير بوابة حوكمة شامل يتضمن:</w:t>
        <w:br/>
        <w:t xml:space="preserve"> - قائمة المخرجات المنجزة في المرحلة مع حالة كل مخرج (بأرقام D-xx)</w:t>
        <w:br/>
        <w:t xml:space="preserve"> - نتائج مراجعة الجودة الداخلية (QA) لكل مخرج مع تقييم مقابل معايير القبول المحددة في مصفوفة RACI</w:t>
        <w:br/>
        <w:t xml:space="preserve"> - ملاحظات العميل على المسودات وجدول تتبع يوضح كيفية معالجة كل ملاحظة</w:t>
        <w:br/>
        <w:t xml:space="preserve"> - تقييم الجاهزية للانتقال إلى المرحلة التالية (جاهز / جاهز بتحفظات / غير جاهز)</w:t>
        <w:br/>
        <w:t xml:space="preserve"> - المخاطر المتوقعة في المرحلة القادمة وخطط التخفيف المحدثة</w:t>
        <w:br/>
        <w:t xml:space="preserve"> - تقرير بناء القدرات للمرحلة (SI-8): الأنشطة التدريبية المنفذة والنتائج</w:t>
        <w:br/>
        <w:t xml:space="preserve"> - طلب اعتماد رسمي من اللجنة التوجيهية</w:t>
        <w:br/>
        <w:t xml:space="preserve"> ---</w:t>
        <w:br/>
        <w:t xml:space="preserve"> ### 5. إدارة المخاطر (Risk Management)</w:t>
        <w:br/>
        <w:t xml:space="preserve"> #### 5.1 الهيكل التنظيمي لإدارة المخاطر</w:t>
        <w:br/>
        <w:t xml:space="preserve"> يتولى مدير مشروع SG مسؤولية إدارة المخاطر التشغيلية اليومية وتحديث سجل المخاطر أسبوعياً. مدير الارتباط SG يشرف على المخاطر الاستراتيجية ويراجع سجل المخاطر نصف شهرياً. اللجنة التوجيهية تراجع أعلى 5 مخاطر شهرياً وتتخذ القرارات بشأن المخاطر الحرجة. #### 5.2 مصفوفة الخطورة (Severity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أثر منخفض (1): تأخر &lt; 3 أيام، لا يؤثر على مخرج تعاقدي</w:t>
            </w:r>
          </w:p>
        </w:tc>
        <w:tc>
          <w:tcPr>
            <w:tcW w:type="dxa" w:w="1728"/>
          </w:tcPr>
          <w:p>
            <w:r>
              <w:rPr>
                <w:b/>
                <w:sz w:val="18"/>
              </w:rPr>
              <w:t>أثر متوسط (2): تأخر 3-7 أيام، يؤثر على مخرج فرعي</w:t>
            </w:r>
          </w:p>
        </w:tc>
        <w:tc>
          <w:tcPr>
            <w:tcW w:type="dxa" w:w="1728"/>
          </w:tcPr>
          <w:p>
            <w:r>
              <w:rPr>
                <w:b/>
                <w:sz w:val="18"/>
              </w:rPr>
              <w:t>أثر عالٍ (3): تأخر 1-3 أسابيع، يؤثر على مخرج تعاقدي</w:t>
            </w:r>
          </w:p>
        </w:tc>
        <w:tc>
          <w:tcPr>
            <w:tcW w:type="dxa" w:w="1728"/>
          </w:tcPr>
          <w:p>
            <w:r>
              <w:rPr>
                <w:b/>
                <w:sz w:val="18"/>
              </w:rPr>
              <w:t>أثر حرج (4): تأخر &gt; 3 أسابيع، يهدد بوابة حوكمة أو مسار حرج</w:t>
            </w:r>
          </w:p>
        </w:tc>
        <w:tc>
          <w:tcPr>
            <w:tcW w:type="dxa" w:w="1728"/>
          </w:tcPr>
          <w:p/>
        </w:tc>
      </w:tr>
      <w:tr>
        <w:tc>
          <w:tcPr>
            <w:tcW w:type="dxa" w:w="1728"/>
          </w:tcPr>
          <w:p>
            <w:r>
              <w:rPr>
                <w:sz w:val="18"/>
              </w:rPr>
              <w:t>**احتمال عالٍ (4)**</w:t>
            </w:r>
          </w:p>
        </w:tc>
        <w:tc>
          <w:tcPr>
            <w:tcW w:type="dxa" w:w="1728"/>
          </w:tcPr>
          <w:p>
            <w:r>
              <w:rPr>
                <w:sz w:val="18"/>
              </w:rPr>
              <w:t>متوسط (4)</w:t>
            </w:r>
          </w:p>
        </w:tc>
        <w:tc>
          <w:tcPr>
            <w:tcW w:type="dxa" w:w="1728"/>
          </w:tcPr>
          <w:p>
            <w:r>
              <w:rPr>
                <w:sz w:val="18"/>
              </w:rPr>
              <w:t>عالٍ (8)</w:t>
            </w:r>
          </w:p>
        </w:tc>
        <w:tc>
          <w:tcPr>
            <w:tcW w:type="dxa" w:w="1728"/>
          </w:tcPr>
          <w:p>
            <w:r>
              <w:rPr>
                <w:sz w:val="18"/>
              </w:rPr>
              <w:t>حرج (12)</w:t>
            </w:r>
          </w:p>
        </w:tc>
        <w:tc>
          <w:tcPr>
            <w:tcW w:type="dxa" w:w="1728"/>
          </w:tcPr>
          <w:p>
            <w:r>
              <w:rPr>
                <w:sz w:val="18"/>
              </w:rPr>
              <w:t>حرج (16)</w:t>
            </w:r>
          </w:p>
        </w:tc>
      </w:tr>
      <w:tr>
        <w:tc>
          <w:tcPr>
            <w:tcW w:type="dxa" w:w="1728"/>
          </w:tcPr>
          <w:p>
            <w:r>
              <w:rPr>
                <w:sz w:val="18"/>
              </w:rPr>
              <w:t>**احتمال متوسط (3)**</w:t>
            </w:r>
          </w:p>
        </w:tc>
        <w:tc>
          <w:tcPr>
            <w:tcW w:type="dxa" w:w="1728"/>
          </w:tcPr>
          <w:p>
            <w:r>
              <w:rPr>
                <w:sz w:val="18"/>
              </w:rPr>
              <w:t>منخفض (3)</w:t>
            </w:r>
          </w:p>
        </w:tc>
        <w:tc>
          <w:tcPr>
            <w:tcW w:type="dxa" w:w="1728"/>
          </w:tcPr>
          <w:p>
            <w:r>
              <w:rPr>
                <w:sz w:val="18"/>
              </w:rPr>
              <w:t>متوسط (6)</w:t>
            </w:r>
          </w:p>
        </w:tc>
        <w:tc>
          <w:tcPr>
            <w:tcW w:type="dxa" w:w="1728"/>
          </w:tcPr>
          <w:p>
            <w:r>
              <w:rPr>
                <w:sz w:val="18"/>
              </w:rPr>
              <w:t>عالٍ (9)</w:t>
            </w:r>
          </w:p>
        </w:tc>
        <w:tc>
          <w:tcPr>
            <w:tcW w:type="dxa" w:w="1728"/>
          </w:tcPr>
          <w:p>
            <w:r>
              <w:rPr>
                <w:sz w:val="18"/>
              </w:rPr>
              <w:t>حرج (12)</w:t>
            </w:r>
          </w:p>
        </w:tc>
      </w:tr>
      <w:tr>
        <w:tc>
          <w:tcPr>
            <w:tcW w:type="dxa" w:w="1728"/>
          </w:tcPr>
          <w:p>
            <w:r>
              <w:rPr>
                <w:sz w:val="18"/>
              </w:rPr>
              <w:t>**احتمال منخفض (2)**</w:t>
            </w:r>
          </w:p>
        </w:tc>
        <w:tc>
          <w:tcPr>
            <w:tcW w:type="dxa" w:w="1728"/>
          </w:tcPr>
          <w:p>
            <w:r>
              <w:rPr>
                <w:sz w:val="18"/>
              </w:rPr>
              <w:t>منخفض (2)</w:t>
            </w:r>
          </w:p>
        </w:tc>
        <w:tc>
          <w:tcPr>
            <w:tcW w:type="dxa" w:w="1728"/>
          </w:tcPr>
          <w:p>
            <w:r>
              <w:rPr>
                <w:sz w:val="18"/>
              </w:rPr>
              <w:t>منخفض (4)</w:t>
            </w:r>
          </w:p>
        </w:tc>
        <w:tc>
          <w:tcPr>
            <w:tcW w:type="dxa" w:w="1728"/>
          </w:tcPr>
          <w:p>
            <w:r>
              <w:rPr>
                <w:sz w:val="18"/>
              </w:rPr>
              <w:t>متوسط (6)</w:t>
            </w:r>
          </w:p>
        </w:tc>
        <w:tc>
          <w:tcPr>
            <w:tcW w:type="dxa" w:w="1728"/>
          </w:tcPr>
          <w:p>
            <w:r>
              <w:rPr>
                <w:sz w:val="18"/>
              </w:rPr>
              <w:t>عالٍ (8)</w:t>
            </w:r>
          </w:p>
        </w:tc>
      </w:tr>
      <w:tr>
        <w:tc>
          <w:tcPr>
            <w:tcW w:type="dxa" w:w="1728"/>
          </w:tcPr>
          <w:p>
            <w:r>
              <w:rPr>
                <w:sz w:val="18"/>
              </w:rPr>
              <w:t>**احتمال نادر (1)**</w:t>
            </w:r>
          </w:p>
        </w:tc>
        <w:tc>
          <w:tcPr>
            <w:tcW w:type="dxa" w:w="1728"/>
          </w:tcPr>
          <w:p>
            <w:r>
              <w:rPr>
                <w:sz w:val="18"/>
              </w:rPr>
              <w:t>منخفض (1)</w:t>
            </w:r>
          </w:p>
        </w:tc>
        <w:tc>
          <w:tcPr>
            <w:tcW w:type="dxa" w:w="1728"/>
          </w:tcPr>
          <w:p>
            <w:r>
              <w:rPr>
                <w:sz w:val="18"/>
              </w:rPr>
              <w:t>منخفض (2)</w:t>
            </w:r>
          </w:p>
        </w:tc>
        <w:tc>
          <w:tcPr>
            <w:tcW w:type="dxa" w:w="1728"/>
          </w:tcPr>
          <w:p>
            <w:r>
              <w:rPr>
                <w:sz w:val="18"/>
              </w:rPr>
              <w:t>منخفض (3)</w:t>
            </w:r>
          </w:p>
        </w:tc>
        <w:tc>
          <w:tcPr>
            <w:tcW w:type="dxa" w:w="1728"/>
          </w:tcPr>
          <w:p>
            <w:r>
              <w:rPr>
                <w:sz w:val="18"/>
              </w:rPr>
              <w:t>متوسط (4)</w:t>
            </w:r>
          </w:p>
        </w:tc>
      </w:tr>
    </w:tbl>
    <w:p/>
    <w:p>
      <w:r>
        <w:t>**عتبات التصعيد المرتبطة بإطار التصعيد:**</w:t>
        <w:br/>
        <w:t xml:space="preserve"> - المخاطر الحرجة (12-16): تُصعد فوراً للجنة التوجيهية (المستوى 3) مع طلب اجتماع طارئ</w:t>
        <w:br/>
        <w:t xml:space="preserve"> - المخاطر العالية (8-9): تُصعد لراعي المشروع (المستوى 2) خلال 48 ساعة</w:t>
        <w:br/>
        <w:t xml:space="preserve"> - المخاطر المتوسطة (4-6): يديرها مدير المشروع (المستوى 1) مع تقرير أسبوعي</w:t>
        <w:br/>
        <w:t xml:space="preserve"> - المخاطر المنخفضة (1-3): تُراقب دورياً وتُحدث في السجل الأسبوعي</w:t>
        <w:br/>
        <w:t xml:space="preserve"> #### 5.3 أعلى 5 مخاطر وخطط التخفيف</w:t>
        <w:br/>
        <w:t xml:space="preserve"> **المخاطرة 1: تأخر الحصول على البيانات والمعلومات من الجهات ذات العلاقة**</w:t>
        <w:br/>
        <w:t xml:space="preserve"> - **الخطورة:** حرج (احتمال عالٍ × أثر عالٍ = 12)</w:t>
        <w:br/>
        <w:t xml:space="preserve"> - **المخرجات المتأثرة:** D-6 (الحصر القطاعي)، D-8 (خارطة أصحاب المصلحة)، D-9 (الوضع الراهن)، D-16 (الاحتياجات التنموية)</w:t>
        <w:br/>
        <w:t xml:space="preserve"> - **الوصف:** يتطلب حصر المنتجات والخدمات القائمة وتحليل الوضع الراهن بيانات من جهات متعددة (منصات التبرع، الجمعيات الأهلية، الهيئة العامة للأوقاف، وزارة الموارد البشرية والتنمية الاجتماعية). تأخر هذه البيانات يؤثر مباشرة على المسار الحرج ويهدد بوابة الحوكمة G2. - **خطة التخفيف:** (أ) إعداد قائمة شاملة بالبيانات المطلوبة ومصادرها وأولوياتها في الأسبوع الأول من المرحلة 1 ضمن D-1؛ (ب) الحصول على خطابات دعم رسمية من المركز الوطني لتسهيل التعاون مع الجهات؛ (ج) تحديد مصادر بيانات بديلة (تقارير منشورة، قواعد بيانات عامة، مصادر دولية) كخطة طوارئ؛ (د) بدء جمع البيانات المتاحة علنياً بالتوازي مع طلب البيانات الرسمية؛ (هـ) تخصيص هامش زمني أسبوعين في المرحلة 2 لاستيعاب التأخيرات المحتملة</w:t>
        <w:br/>
        <w:t xml:space="preserve"> - **المسؤول:** مدير مشروع SG + مكتب إدارة المشروع (العميل)</w:t>
        <w:br/>
        <w:t xml:space="preserve"> **المخاطرة 2: صعوبة تنسيق ورش العمل مع أصحاب المصلحة المتعددين عبر 5 قطاعات**</w:t>
        <w:br/>
        <w:t xml:space="preserve"> - **الخطورة:** عالٍ (احتمال عالٍ × أثر متوسط = 8)</w:t>
        <w:br/>
        <w:t xml:space="preserve"> - **المخرجات المتأثرة:** D-11 (نتائج ورش العمل)، D-8 (خارطة أصحاب المصلحة)</w:t>
        <w:br/>
        <w:t xml:space="preserve"> - **الوصف:** يتطلب المشروع ورش عمل تشاركية مع ممثلين من 5 قطاعات على الأقل. أدوات مشاركة أصحاب المصلحة المتعددين [EXT-004] توفر 68 أداة بديلة يمكن تكييفها حسب الظروف. - **خطة التخفيف:** (أ) جدولة ورش العمل مبكراً (قبل 4 أسابيع على الأقل) مع تأكيد الحضور قبل أسبوعين؛ (ب) تصميم ورش عمل بصيغ مرنة (حضوري + افتراضي)؛ (ج) إعداد استبيانات إلكترونية ومقابلات فردية كبديل؛ (د) تخصيص ورش منفصلة لكل قطاع (5 ورش قطاعية + ورشة تكاملية)؛ (هـ) تحديد حد أدنى للمشاركة (8-12 مشاركاً لكل ورشة قطاعية) مع خطة بديلة</w:t>
        <w:br/>
        <w:t xml:space="preserve"> - **المسؤول:** مدير مشروع SG + مكتب إدارة المشروع (العميل)</w:t>
        <w:br/>
        <w:t xml:space="preserve"> **المخاطرة 3: عدم كفاية المقارنات المعيارية الدولية (أقل من 5 دول بعمق كافٍ)**</w:t>
        <w:br/>
        <w:t xml:space="preserve"> - **الخطورة:** عالٍ (احتمال متوسط × أثر عالٍ = 9)</w:t>
        <w:br/>
        <w:t xml:space="preserve"> - **المخرجات المتأثرة:** D-7 (الممارسات العالمية الرائدة)، D-12 (الممارسات المحلية/الدولية)</w:t>
        <w:br/>
        <w:t xml:space="preserve"> - **الوصف:** يتطلب نطاق العمل (SI-3) دراسة ممارسات 5 دول على الأقل (DIRECT_RFP_FACT). الحزمة البحثية الحالية تغطي الولايات المتحدة [EXT-001]، أستراليا [EXT-005]، وإندونيسيا [EXT-007] — مما يترك فجوة في دولتين إضافيتين على الأقل. - **خطة التخفيف:** (أ) تحديد 7-8 دول مرشحة في المرحلة 1 واختيار أفضل 5 بناءً على معايير: نضج القطاع غير الربحي، توفر البيانات، قابلية نقل الممارسات، تنوع جغرافي؛ (ب) الاستعانة بخبراء دوليين متخصصين لكل دولة؛ (ج) استخدام مصادر متعددة (تقارير OECD، البنك الدولي، IFC، تقارير حكومية، أبحاث أكاديمية)؛ (د) اعتماد الدول المرشحة من اللجنة التوجيهية في بوابة G1؛ (هـ) الدول المرشحة الإضافية: المملكة المتحدة (قطاع خيري متقدم)، كندا (نموذج تنظيمي متطور)، ماليزيا (سياق إسلامي مشابه)، تركيا (نموذج أوقاف متطور)</w:t>
        <w:br/>
        <w:t xml:space="preserve"> - **المسؤول:** فريق التحليل SG</w:t>
        <w:br/>
        <w:t xml:space="preserve"> **المخاطرة 4: رفض مخرجات مرحلة كاملة عند بوابة الحوكمة**</w:t>
        <w:br/>
        <w:t xml:space="preserve"> - **الخطورة:** عالٍ (احتمال منخفض × أثر حرج = 8)</w:t>
        <w:br/>
        <w:t xml:space="preserve"> - **المخرجات المتأثرة:** جميع مخرجات المرحلة المرفوضة + تأثير تتابعي على المراحل اللاحقة</w:t>
        <w:br/>
        <w:t xml:space="preserve"> - **خطة التخفيف:** (أ) تقديم مسودات أولية للمخرجات الرئيسية قبل بوابة الحوكمة بأسبوعين للحصول على ملاحظات مبكرة؛ (ب) عقد اجتماعات مراجعة تقنية مع خبراء الموضوع من العميل قبل التقديم الرسمي؛ (ج) تضمين هامش زمني (Buffer) بين نهاية كل مرحلة وبوابة الحوكمة: أسبوع بعد G1 وG2، و3 أيام بعد G3 وG4؛ (د) توثيق جميع التوجيهات والملاحظات المبكرة في جدول تتبع؛ (هـ) في حال الرفض: تحديد الملاحظات بدقة، وضع خطة تعديل بمهلة أسبوعين، إعادة التقديم — وإذا لم تُعتمد بعد دورتي مراجعة تُصعد للمستوى الرابع</w:t>
        <w:br/>
        <w:t xml:space="preserve"> - **المسؤول:** مدير الارتباط SG</w:t>
        <w:br/>
        <w:t xml:space="preserve"> **المخاطرة 5: تغيير أولويات المركز أو إعادة هيكلة تنظيمية أثناء المشروع**</w:t>
        <w:br/>
        <w:t xml:space="preserve"> - **الخطورة:** متوسط (احتمال متوسط × أثر متوسط = 6)</w:t>
        <w:br/>
        <w:t xml:space="preserve"> - **المخرجات المتأثرة:** جميع المخرجات المتبقية عند حدوث التغيير</w:t>
        <w:br/>
        <w:t xml:space="preserve"> - **خطة التخفيف:** (أ) ربط المشروع بالأهداف الاستراتيجية للمركز ورؤية 2030 (وليس بأشخاص محددين) في ميثاق المشروع (D-5)؛ (ب) توثيق جميع القرارات والتوجيهات في محاضر رسمية معتمدة؛ (ج) تصميم المنهجية بمرونة تسمح بإعادة ترتيب الأولويات القطاعية دون إعادة العمل من الصفر؛ (د) تفعيل إطار طلبات التغيير لأي تعديل في التوجيه مع تقييم الأثر الزمني والمالي</w:t>
        <w:br/>
        <w:t xml:space="preserve"> - **المسؤول:** اللجنة التوجيهية</w:t>
        <w:br/>
        <w:t xml:space="preserve"> #### 5.4 آلية المراجعة الدورية للمخاطر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التكرار</w:t>
            </w:r>
          </w:p>
        </w:tc>
        <w:tc>
          <w:tcPr>
            <w:tcW w:type="dxa" w:w="2160"/>
          </w:tcPr>
          <w:p>
            <w:r>
              <w:rPr>
                <w:b/>
                <w:sz w:val="18"/>
              </w:rPr>
              <w:t>النشاط</w:t>
            </w:r>
          </w:p>
        </w:tc>
        <w:tc>
          <w:tcPr>
            <w:tcW w:type="dxa" w:w="2160"/>
          </w:tcPr>
          <w:p>
            <w:r>
              <w:rPr>
                <w:b/>
                <w:sz w:val="18"/>
              </w:rPr>
              <w:t>المسؤول</w:t>
            </w:r>
          </w:p>
        </w:tc>
        <w:tc>
          <w:tcPr>
            <w:tcW w:type="dxa" w:w="2160"/>
          </w:tcPr>
          <w:p>
            <w:r>
              <w:rPr>
                <w:b/>
                <w:sz w:val="18"/>
              </w:rPr>
              <w:t>المخرج</w:t>
            </w:r>
          </w:p>
        </w:tc>
      </w:tr>
      <w:tr>
        <w:tc>
          <w:tcPr>
            <w:tcW w:type="dxa" w:w="2160"/>
          </w:tcPr>
          <w:p>
            <w:r>
              <w:rPr>
                <w:sz w:val="18"/>
              </w:rPr>
              <w:t>أسبوعياً</w:t>
            </w:r>
          </w:p>
        </w:tc>
        <w:tc>
          <w:tcPr>
            <w:tcW w:type="dxa" w:w="2160"/>
          </w:tcPr>
          <w:p>
            <w:r>
              <w:rPr>
                <w:sz w:val="18"/>
              </w:rPr>
              <w:t>مراجعة سجل المخاطر، تحديث حالة المخاطر القائمة، إضافة مخاطر جديدة</w:t>
            </w:r>
          </w:p>
        </w:tc>
        <w:tc>
          <w:tcPr>
            <w:tcW w:type="dxa" w:w="2160"/>
          </w:tcPr>
          <w:p>
            <w:r>
              <w:rPr>
                <w:sz w:val="18"/>
              </w:rPr>
              <w:t>مدير مشروع SG</w:t>
            </w:r>
          </w:p>
        </w:tc>
        <w:tc>
          <w:tcPr>
            <w:tcW w:type="dxa" w:w="2160"/>
          </w:tcPr>
          <w:p>
            <w:r>
              <w:rPr>
                <w:sz w:val="18"/>
              </w:rPr>
              <w:t>سجل مخاطر محدث ضمن التقرير الأسبوعي</w:t>
            </w:r>
          </w:p>
        </w:tc>
      </w:tr>
      <w:tr>
        <w:tc>
          <w:tcPr>
            <w:tcW w:type="dxa" w:w="2160"/>
          </w:tcPr>
          <w:p>
            <w:r>
              <w:rPr>
                <w:sz w:val="18"/>
              </w:rPr>
              <w:t>نصف شهري</w:t>
            </w:r>
          </w:p>
        </w:tc>
        <w:tc>
          <w:tcPr>
            <w:tcW w:type="dxa" w:w="2160"/>
          </w:tcPr>
          <w:p>
            <w:r>
              <w:rPr>
                <w:sz w:val="18"/>
              </w:rPr>
              <w:t>مناقشة المخاطر العالية والحرجة في الاجتماع التشغيلي</w:t>
            </w:r>
          </w:p>
        </w:tc>
        <w:tc>
          <w:tcPr>
            <w:tcW w:type="dxa" w:w="2160"/>
          </w:tcPr>
          <w:p>
            <w:r>
              <w:rPr>
                <w:sz w:val="18"/>
              </w:rPr>
              <w:t>مدير المشروع من الطرفين</w:t>
            </w:r>
          </w:p>
        </w:tc>
        <w:tc>
          <w:tcPr>
            <w:tcW w:type="dxa" w:w="2160"/>
          </w:tcPr>
          <w:p>
            <w:r>
              <w:rPr>
                <w:sz w:val="18"/>
              </w:rPr>
              <w:t>قرارات تخفيف محدثة</w:t>
            </w:r>
          </w:p>
        </w:tc>
      </w:tr>
      <w:tr>
        <w:tc>
          <w:tcPr>
            <w:tcW w:type="dxa" w:w="2160"/>
          </w:tcPr>
          <w:p>
            <w:r>
              <w:rPr>
                <w:sz w:val="18"/>
              </w:rPr>
              <w:t>شهرياً</w:t>
            </w:r>
          </w:p>
        </w:tc>
        <w:tc>
          <w:tcPr>
            <w:tcW w:type="dxa" w:w="2160"/>
          </w:tcPr>
          <w:p>
            <w:r>
              <w:rPr>
                <w:sz w:val="18"/>
              </w:rPr>
              <w:t>تقرير المخاطر الشامل للجنة التوجيهية مع تحليل الاتجاهات</w:t>
            </w:r>
          </w:p>
        </w:tc>
        <w:tc>
          <w:tcPr>
            <w:tcW w:type="dxa" w:w="2160"/>
          </w:tcPr>
          <w:p>
            <w:r>
              <w:rPr>
                <w:sz w:val="18"/>
              </w:rPr>
              <w:t>مدير الارتباط SG</w:t>
            </w:r>
          </w:p>
        </w:tc>
        <w:tc>
          <w:tcPr>
            <w:tcW w:type="dxa" w:w="2160"/>
          </w:tcPr>
          <w:p>
            <w:r>
              <w:rPr>
                <w:sz w:val="18"/>
              </w:rPr>
              <w:t>تقرير مخاطر ضمن لوحة المتابعة الشهرية</w:t>
            </w:r>
          </w:p>
        </w:tc>
      </w:tr>
      <w:tr>
        <w:tc>
          <w:tcPr>
            <w:tcW w:type="dxa" w:w="2160"/>
          </w:tcPr>
          <w:p>
            <w:r>
              <w:rPr>
                <w:sz w:val="18"/>
              </w:rPr>
              <w:t>ربع سنوي</w:t>
            </w:r>
          </w:p>
        </w:tc>
        <w:tc>
          <w:tcPr>
            <w:tcW w:type="dxa" w:w="2160"/>
          </w:tcPr>
          <w:p>
            <w:r>
              <w:rPr>
                <w:sz w:val="18"/>
              </w:rPr>
              <w:t>مراجعة شاملة لفعالية خطط التخفيف وتحديث مصفوفة الخطورة</w:t>
            </w:r>
          </w:p>
        </w:tc>
        <w:tc>
          <w:tcPr>
            <w:tcW w:type="dxa" w:w="2160"/>
          </w:tcPr>
          <w:p>
            <w:r>
              <w:rPr>
                <w:sz w:val="18"/>
              </w:rPr>
              <w:t>مدير الارتباط + اللجنة التوجيهية</w:t>
            </w:r>
          </w:p>
        </w:tc>
        <w:tc>
          <w:tcPr>
            <w:tcW w:type="dxa" w:w="2160"/>
          </w:tcPr>
          <w:p>
            <w:r>
              <w:rPr>
                <w:sz w:val="18"/>
              </w:rPr>
              <w:t>تقرير مراجعة ربع سنوي</w:t>
            </w:r>
          </w:p>
        </w:tc>
      </w:tr>
    </w:tbl>
    <w:p/>
    <w:p>
      <w:r>
        <w:t>#### 5.5 نهج الميزانية الاحتياطية للمخاطر (Contingency Budget Approach)</w:t>
        <w:br/>
        <w:t xml:space="preserve"> يُخصص هامش طوارئ زمني (وليس مالياً — إذ أن الميزانية محددة بالعرض المالي) على النحو التالي:</w:t>
        <w:br/>
        <w:t xml:space="preserve"> - **هامش زمني مرحلي:** أسبوع واحد بعد بوابتي G1 وG2، و3 أيام بعد بوابتي G3 وG4 — مخصص لمعالجة ملاحظات اللجنة التوجيهية دون التأثير على بداية المرحلة التالية</w:t>
        <w:br/>
        <w:t xml:space="preserve"> - **هامش زمني للمسار الحرج:** أسبوعان مدمجان في المرحلة 2 (الأكثر كثافة) لاستيعاب تأخيرات البيانات</w:t>
        <w:br/>
        <w:t xml:space="preserve"> - **مرونة الموارد:** تصميم هرمي للفريق يسمح بتكثيف الموارد في المراحل الحرجة (المرحلة 2) وتخفيفها في المراحل الأقل كثافة (المرحلة 5)</w:t>
        <w:br/>
        <w:t xml:space="preserve"> ---</w:t>
        <w:br/>
        <w:t xml:space="preserve"> ### 6. ضمان الجودة (Quality Assurance)</w:t>
        <w:br/>
        <w:t xml:space="preserve"> #### 6.1 دورة مراجعة المخرجات (Review Cycle)</w:t>
        <w:br/>
        <w:t xml:space="preserve"> يمر كل مخرج من المخرجات الـ 23 بدورة مراجعة من 5 مراحل. هذا التصميم يفصل بين الإنتاج والمراجعة الداخلية والمراجعة الخارجية [EXT-002]:</w:t>
        <w:br/>
        <w:t xml:space="preserve"> **المرحلة 1 — الإعداد الأولي (Draft Preparation):**</w:t>
        <w:br/>
        <w:t xml:space="preserve"> - المنفذ: فريق التحليل SG (R في مصفوفة RACI)</w:t>
        <w:br/>
        <w:t xml:space="preserve"> - المدة: حسب تعقيد المخرج — محدد في الجدول الزمني التفصيلي لكل مرحلة</w:t>
        <w:br/>
        <w:t xml:space="preserve"> - المخرج: مسودة أولية (Draft v0.1)</w:t>
        <w:br/>
        <w:t xml:space="preserve"> - معيار الانتقال: اكتمال جميع عناصر المخرج المحددة في نطاق العمل</w:t>
        <w:br/>
        <w:t xml:space="preserve"> **المرحلة 2 — مراجعة الجودة الداخلية (Internal QA Review):**</w:t>
        <w:br/>
        <w:t xml:space="preserve"> - المنفذ: مدير الارتباط SG (A — جودة في مصفوفة RACI) — مراجعة مستقلة عن فريق التنفيذ</w:t>
        <w:br/>
        <w:t xml:space="preserve"> - المدة: 3 أيام عمل كحد أقصى</w:t>
        <w:br/>
        <w:t xml:space="preserve"> - معايير المراجعة الداخلية: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المعيار</w:t>
            </w:r>
          </w:p>
        </w:tc>
        <w:tc>
          <w:tcPr>
            <w:tcW w:type="dxa" w:w="2880"/>
          </w:tcPr>
          <w:p>
            <w:r>
              <w:rPr>
                <w:b/>
                <w:sz w:val="18"/>
              </w:rPr>
              <w:t>السؤال المحوري</w:t>
            </w:r>
          </w:p>
        </w:tc>
        <w:tc>
          <w:tcPr>
            <w:tcW w:type="dxa" w:w="2880"/>
          </w:tcPr>
          <w:p>
            <w:r>
              <w:rPr>
                <w:b/>
                <w:sz w:val="18"/>
              </w:rPr>
              <w:t>عتبة القبول</w:t>
            </w:r>
          </w:p>
        </w:tc>
      </w:tr>
      <w:tr>
        <w:tc>
          <w:tcPr>
            <w:tcW w:type="dxa" w:w="2880"/>
          </w:tcPr>
          <w:p>
            <w:r>
              <w:rPr>
                <w:sz w:val="18"/>
              </w:rPr>
              <w:t>الاكتمال</w:t>
            </w:r>
          </w:p>
        </w:tc>
        <w:tc>
          <w:tcPr>
            <w:tcW w:type="dxa" w:w="2880"/>
          </w:tcPr>
          <w:p>
            <w:r>
              <w:rPr>
                <w:sz w:val="18"/>
              </w:rPr>
              <w:t>هل يغطي المخرج جميع العناصر المحددة في وصفه بنطاق العمل؟</w:t>
            </w:r>
          </w:p>
        </w:tc>
        <w:tc>
          <w:tcPr>
            <w:tcW w:type="dxa" w:w="2880"/>
          </w:tcPr>
          <w:p>
            <w:r>
              <w:rPr>
                <w:sz w:val="18"/>
              </w:rPr>
              <w:t>100% من العناصر المطلوبة</w:t>
            </w:r>
          </w:p>
        </w:tc>
      </w:tr>
      <w:tr>
        <w:tc>
          <w:tcPr>
            <w:tcW w:type="dxa" w:w="2880"/>
          </w:tcPr>
          <w:p>
            <w:r>
              <w:rPr>
                <w:sz w:val="18"/>
              </w:rPr>
              <w:t>الدقة</w:t>
            </w:r>
          </w:p>
        </w:tc>
        <w:tc>
          <w:tcPr>
            <w:tcW w:type="dxa" w:w="2880"/>
          </w:tcPr>
          <w:p>
            <w:r>
              <w:rPr>
                <w:sz w:val="18"/>
              </w:rPr>
              <w:t>هل البيانات والتحليلات صحيحة ومرجعية المصدر؟</w:t>
            </w:r>
          </w:p>
        </w:tc>
        <w:tc>
          <w:tcPr>
            <w:tcW w:type="dxa" w:w="2880"/>
          </w:tcPr>
          <w:p>
            <w:r>
              <w:rPr>
                <w:sz w:val="18"/>
              </w:rPr>
              <w:t>جميع البيانات موثقة المصدر</w:t>
            </w:r>
          </w:p>
        </w:tc>
      </w:tr>
      <w:tr>
        <w:tc>
          <w:tcPr>
            <w:tcW w:type="dxa" w:w="2880"/>
          </w:tcPr>
          <w:p>
            <w:r>
              <w:rPr>
                <w:sz w:val="18"/>
              </w:rPr>
              <w:t>الاتساق</w:t>
            </w:r>
          </w:p>
        </w:tc>
        <w:tc>
          <w:tcPr>
            <w:tcW w:type="dxa" w:w="2880"/>
          </w:tcPr>
          <w:p>
            <w:r>
              <w:rPr>
                <w:sz w:val="18"/>
              </w:rPr>
              <w:t>هل يتوافق المخرج مع المخرجات السابقة والمنهجية المعتمدة في D-1؟</w:t>
            </w:r>
          </w:p>
        </w:tc>
        <w:tc>
          <w:tcPr>
            <w:tcW w:type="dxa" w:w="2880"/>
          </w:tcPr>
          <w:p>
            <w:r>
              <w:rPr>
                <w:sz w:val="18"/>
              </w:rPr>
              <w:t>توافق كامل — لا تناقضات</w:t>
            </w:r>
          </w:p>
        </w:tc>
      </w:tr>
      <w:tr>
        <w:tc>
          <w:tcPr>
            <w:tcW w:type="dxa" w:w="2880"/>
          </w:tcPr>
          <w:p>
            <w:r>
              <w:rPr>
                <w:sz w:val="18"/>
              </w:rPr>
              <w:t>التغطية القطاعية</w:t>
            </w:r>
          </w:p>
        </w:tc>
        <w:tc>
          <w:tcPr>
            <w:tcW w:type="dxa" w:w="2880"/>
          </w:tcPr>
          <w:p>
            <w:r>
              <w:rPr>
                <w:sz w:val="18"/>
              </w:rPr>
              <w:t>هل يغطي 5 قطاعات ذات أولوية كحد أدنى (حيث ينطبق)؟</w:t>
            </w:r>
          </w:p>
        </w:tc>
        <w:tc>
          <w:tcPr>
            <w:tcW w:type="dxa" w:w="2880"/>
          </w:tcPr>
          <w:p>
            <w:r>
              <w:rPr>
                <w:sz w:val="18"/>
              </w:rPr>
              <w:t>5 قطاعات على الأقل (DIRECT_RFP_FACT: SI-2)</w:t>
            </w:r>
          </w:p>
        </w:tc>
      </w:tr>
      <w:tr>
        <w:tc>
          <w:tcPr>
            <w:tcW w:type="dxa" w:w="2880"/>
          </w:tcPr>
          <w:p>
            <w:r>
              <w:rPr>
                <w:sz w:val="18"/>
              </w:rPr>
              <w:t>التغطية الدولية</w:t>
            </w:r>
          </w:p>
        </w:tc>
        <w:tc>
          <w:tcPr>
            <w:tcW w:type="dxa" w:w="2880"/>
          </w:tcPr>
          <w:p>
            <w:r>
              <w:rPr>
                <w:sz w:val="18"/>
              </w:rPr>
              <w:t>هل يغطي 5 دول كحد أدنى في المقارنات المعيارية (حيث ينطبق)؟</w:t>
            </w:r>
          </w:p>
        </w:tc>
        <w:tc>
          <w:tcPr>
            <w:tcW w:type="dxa" w:w="2880"/>
          </w:tcPr>
          <w:p>
            <w:r>
              <w:rPr>
                <w:sz w:val="18"/>
              </w:rPr>
              <w:t>5 دول على الأقل (DIRECT_RFP_FACT: SI-3)</w:t>
            </w:r>
          </w:p>
        </w:tc>
      </w:tr>
      <w:tr>
        <w:tc>
          <w:tcPr>
            <w:tcW w:type="dxa" w:w="2880"/>
          </w:tcPr>
          <w:p>
            <w:r>
              <w:rPr>
                <w:sz w:val="18"/>
              </w:rPr>
              <w:t>اللغة والتنسيق</w:t>
            </w:r>
          </w:p>
        </w:tc>
        <w:tc>
          <w:tcPr>
            <w:tcW w:type="dxa" w:w="2880"/>
          </w:tcPr>
          <w:p>
            <w:r>
              <w:rPr>
                <w:sz w:val="18"/>
              </w:rPr>
              <w:t>هل المخرج باللغة العربية، بتنسيق احترافي، خالٍ من الأخطاء؟</w:t>
            </w:r>
          </w:p>
        </w:tc>
        <w:tc>
          <w:tcPr>
            <w:tcW w:type="dxa" w:w="2880"/>
          </w:tcPr>
          <w:p>
            <w:r>
              <w:rPr>
                <w:sz w:val="18"/>
              </w:rPr>
              <w:t>مراجعة لغوية معتمدة (DIRECT_RFP_FACT: CR-1)</w:t>
            </w:r>
          </w:p>
        </w:tc>
      </w:tr>
      <w:tr>
        <w:tc>
          <w:tcPr>
            <w:tcW w:type="dxa" w:w="2880"/>
          </w:tcPr>
          <w:p>
            <w:r>
              <w:rPr>
                <w:sz w:val="18"/>
              </w:rPr>
              <w:t>قابلية التنفيذ</w:t>
            </w:r>
          </w:p>
        </w:tc>
        <w:tc>
          <w:tcPr>
            <w:tcW w:type="dxa" w:w="2880"/>
          </w:tcPr>
          <w:p>
            <w:r>
              <w:rPr>
                <w:sz w:val="18"/>
              </w:rPr>
              <w:t>هل التوصيات عملية مع تحديد المسؤوليات والجداول (حيث ينطبق)؟</w:t>
            </w:r>
          </w:p>
        </w:tc>
        <w:tc>
          <w:tcPr>
            <w:tcW w:type="dxa" w:w="2880"/>
          </w:tcPr>
          <w:p>
            <w:r>
              <w:rPr>
                <w:sz w:val="18"/>
              </w:rPr>
              <w:t>تقييم من مراجع مستقل</w:t>
            </w:r>
          </w:p>
        </w:tc>
      </w:tr>
    </w:tbl>
    <w:p/>
    <w:p>
      <w:r>
        <w:t>- المخرج: مسودة معدلة (Draft v0.2) + تقرير مراجعة داخلي</w:t>
        <w:br/>
        <w:t xml:space="preserve"> **المرحلة 3 — تقديم للعميل (Client Submission):**</w:t>
        <w:br/>
        <w:t xml:space="preserve"> - المنفذ: مدير مشروع SG</w:t>
        <w:br/>
        <w:t xml:space="preserve"> - الآلية: تقديم المسودة المعدلة لمكتب إدارة المشروع (العميل) مع عرض تقديمي يشرح المنهجية والنتائج الرئيسية والقرارات المطلوبة</w:t>
        <w:br/>
        <w:t xml:space="preserve"> - المدة المتاحة للعميل للمراجعة:</w:t>
        <w:br/>
        <w:t xml:space="preserve"> - 5 أيام عمل للمخرجات العادية (D-2, D-3, D-5, D-8, D-10, D-11, D-14, D-15, D-23)</w:t>
        <w:br/>
        <w:t xml:space="preserve"> - 10 أيام عمل للمخرجات الاستراتيجية (D-1, D-4, D-6, D-7, D-9, D-12, D-13, D-16, D-17, D-18, D-19, D-20, D-21, D-22)</w:t>
        <w:br/>
        <w:t xml:space="preserve"> **المرحلة 4 — المراجعة والتعديل (Revision):**</w:t>
        <w:br/>
        <w:t xml:space="preserve"> - المنفذ: فريق التحليل SG بتوجيه من مدير الارتباط</w:t>
        <w:br/>
        <w:t xml:space="preserve"> - المدة: 5 أيام عمل كحد أقصى بعد استلام ملاحظات العميل</w:t>
        <w:br/>
        <w:t xml:space="preserve"> - الآلية: معالجة جميع الملاحظات مع توثيق كيفية معالجة كل ملاحظة في جدول تتبع (Comment Tracker)</w:t>
        <w:br/>
        <w:t xml:space="preserve"> - المخرج: نسخة نهائية (Final v1.0) + جدول تتبع الملاحظات المكتمل</w:t>
        <w:br/>
        <w:t xml:space="preserve"> **المرحلة 5 — الاعتماد الرسمي (Sign-off):**</w:t>
        <w:br/>
        <w:t xml:space="preserve"> - المنفذ: مكتب إدارة المشروع (العميل) للمخرجات العادية؛ اللجنة التوجيهية للمخرجات الاستراتيجية عند بوابات الحوكمة</w:t>
        <w:br/>
        <w:t xml:space="preserve"> - **القاعدة الحاكمة:** لا يُعتبر أي مخرج مكتملاً تعاقدياً إلا بعد الحصول على الاعتماد الرسمي المكتوب. #### 6.2 مصفوفة إنتاج المخرجات (Deliverable Production Crosswalk — D-1 إلى D-23)</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8"/>
              </w:rPr>
              <w:t>المخرج</w:t>
            </w:r>
          </w:p>
        </w:tc>
        <w:tc>
          <w:tcPr>
            <w:tcW w:type="dxa" w:w="720"/>
          </w:tcPr>
          <w:p>
            <w:r>
              <w:rPr>
                <w:b/>
                <w:sz w:val="18"/>
              </w:rPr>
              <w:t>المرحلة</w:t>
            </w:r>
          </w:p>
        </w:tc>
        <w:tc>
          <w:tcPr>
            <w:tcW w:type="dxa" w:w="720"/>
          </w:tcPr>
          <w:p>
            <w:r>
              <w:rPr>
                <w:b/>
                <w:sz w:val="18"/>
              </w:rPr>
              <w:t>شهر البدء</w:t>
            </w:r>
          </w:p>
        </w:tc>
        <w:tc>
          <w:tcPr>
            <w:tcW w:type="dxa" w:w="720"/>
          </w:tcPr>
          <w:p>
            <w:r>
              <w:rPr>
                <w:b/>
                <w:sz w:val="18"/>
              </w:rPr>
              <w:t>شهر التقديم</w:t>
            </w:r>
          </w:p>
        </w:tc>
        <w:tc>
          <w:tcPr>
            <w:tcW w:type="dxa" w:w="720"/>
          </w:tcPr>
          <w:p>
            <w:r>
              <w:rPr>
                <w:b/>
                <w:sz w:val="18"/>
              </w:rPr>
              <w:t>شهر الاعتماد</w:t>
            </w:r>
          </w:p>
        </w:tc>
        <w:tc>
          <w:tcPr>
            <w:tcW w:type="dxa" w:w="720"/>
          </w:tcPr>
          <w:p>
            <w:r>
              <w:rPr>
                <w:b/>
                <w:sz w:val="18"/>
              </w:rPr>
              <w:t>بوابة الحوكمة</w:t>
            </w:r>
          </w:p>
        </w:tc>
        <w:tc>
          <w:tcPr>
            <w:tcW w:type="dxa" w:w="720"/>
          </w:tcPr>
          <w:p>
            <w:r>
              <w:rPr>
                <w:b/>
                <w:sz w:val="18"/>
              </w:rPr>
              <w:t>الدور المنفذ (R)</w:t>
            </w:r>
          </w:p>
        </w:tc>
        <w:tc>
          <w:tcPr>
            <w:tcW w:type="dxa" w:w="720"/>
          </w:tcPr>
          <w:p>
            <w:r>
              <w:rPr>
                <w:b/>
                <w:sz w:val="18"/>
              </w:rPr>
              <w:t>المراجع الداخلي (A-جودة)</w:t>
            </w:r>
          </w:p>
        </w:tc>
        <w:tc>
          <w:tcPr>
            <w:tcW w:type="dxa" w:w="720"/>
          </w:tcPr>
          <w:p>
            <w:r>
              <w:rPr>
                <w:b/>
                <w:sz w:val="18"/>
              </w:rPr>
              <w:t>مراجعة أقران</w:t>
            </w:r>
          </w:p>
        </w:tc>
        <w:tc>
          <w:tcPr>
            <w:tcW w:type="dxa" w:w="720"/>
          </w:tcPr>
          <w:p>
            <w:r>
              <w:rPr>
                <w:b/>
                <w:sz w:val="18"/>
              </w:rPr>
              <w:t>مدة مراجعة العميل</w:t>
            </w:r>
          </w:p>
        </w:tc>
        <w:tc>
          <w:tcPr>
            <w:tcW w:type="dxa" w:w="720"/>
          </w:tcPr>
          <w:p>
            <w:r>
              <w:rPr>
                <w:b/>
                <w:sz w:val="18"/>
              </w:rPr>
              <w:t>دورة التعديل</w:t>
            </w:r>
          </w:p>
        </w:tc>
        <w:tc>
          <w:tcPr>
            <w:tcW w:type="dxa" w:w="720"/>
          </w:tcPr>
          <w:p>
            <w:r>
              <w:rPr>
                <w:b/>
                <w:sz w:val="18"/>
              </w:rPr>
              <w:t>معيار القبول الرئيسي</w:t>
            </w:r>
          </w:p>
        </w:tc>
      </w:tr>
      <w:tr>
        <w:tc>
          <w:tcPr>
            <w:tcW w:type="dxa" w:w="720"/>
          </w:tcPr>
          <w:p>
            <w:r>
              <w:rPr>
                <w:sz w:val="18"/>
              </w:rPr>
              <w:t>D-1</w:t>
            </w:r>
          </w:p>
        </w:tc>
        <w:tc>
          <w:tcPr>
            <w:tcW w:type="dxa" w:w="720"/>
          </w:tcPr>
          <w:p>
            <w:r>
              <w:rPr>
                <w:sz w:val="18"/>
              </w:rPr>
              <w:t>1</w:t>
            </w:r>
          </w:p>
        </w:tc>
        <w:tc>
          <w:tcPr>
            <w:tcW w:type="dxa" w:w="720"/>
          </w:tcPr>
          <w:p>
            <w:r>
              <w:rPr>
                <w:sz w:val="18"/>
              </w:rPr>
              <w:t>1</w:t>
            </w:r>
          </w:p>
        </w:tc>
        <w:tc>
          <w:tcPr>
            <w:tcW w:type="dxa" w:w="720"/>
          </w:tcPr>
          <w:p>
            <w:r>
              <w:rPr>
                <w:sz w:val="18"/>
              </w:rPr>
              <w:t>1.5</w:t>
            </w:r>
          </w:p>
        </w:tc>
        <w:tc>
          <w:tcPr>
            <w:tcW w:type="dxa" w:w="720"/>
          </w:tcPr>
          <w:p>
            <w:r>
              <w:rPr>
                <w:sz w:val="18"/>
              </w:rPr>
              <w:t>2 (G1)</w:t>
            </w:r>
          </w:p>
        </w:tc>
        <w:tc>
          <w:tcPr>
            <w:tcW w:type="dxa" w:w="720"/>
          </w:tcPr>
          <w:p>
            <w:r>
              <w:rPr>
                <w:sz w:val="18"/>
              </w:rPr>
              <w:t>G1</w:t>
            </w:r>
          </w:p>
        </w:tc>
        <w:tc>
          <w:tcPr>
            <w:tcW w:type="dxa" w:w="720"/>
          </w:tcPr>
          <w:p>
            <w:r>
              <w:rPr>
                <w:sz w:val="18"/>
              </w:rPr>
              <w:t>مدير المشروع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تغطية كمي+نوعي؛ خطة بيانات بمصادر ومواعيد</w:t>
            </w:r>
          </w:p>
        </w:tc>
      </w:tr>
      <w:tr>
        <w:tc>
          <w:tcPr>
            <w:tcW w:type="dxa" w:w="720"/>
          </w:tcPr>
          <w:p>
            <w:r>
              <w:rPr>
                <w:sz w:val="18"/>
              </w:rPr>
              <w:t>D-2</w:t>
            </w:r>
          </w:p>
        </w:tc>
        <w:tc>
          <w:tcPr>
            <w:tcW w:type="dxa" w:w="720"/>
          </w:tcPr>
          <w:p>
            <w:r>
              <w:rPr>
                <w:sz w:val="18"/>
              </w:rPr>
              <w:t>1</w:t>
            </w:r>
          </w:p>
        </w:tc>
        <w:tc>
          <w:tcPr>
            <w:tcW w:type="dxa" w:w="720"/>
          </w:tcPr>
          <w:p>
            <w:r>
              <w:rPr>
                <w:sz w:val="18"/>
              </w:rPr>
              <w:t>1</w:t>
            </w:r>
          </w:p>
        </w:tc>
        <w:tc>
          <w:tcPr>
            <w:tcW w:type="dxa" w:w="720"/>
          </w:tcPr>
          <w:p>
            <w:r>
              <w:rPr>
                <w:sz w:val="18"/>
              </w:rPr>
              <w:t>1.5</w:t>
            </w:r>
          </w:p>
        </w:tc>
        <w:tc>
          <w:tcPr>
            <w:tcW w:type="dxa" w:w="720"/>
          </w:tcPr>
          <w:p>
            <w:r>
              <w:rPr>
                <w:sz w:val="18"/>
              </w:rPr>
              <w:t>2 (G1)</w:t>
            </w:r>
          </w:p>
        </w:tc>
        <w:tc>
          <w:tcPr>
            <w:tcW w:type="dxa" w:w="720"/>
          </w:tcPr>
          <w:p>
            <w:r>
              <w:rPr>
                <w:sz w:val="18"/>
              </w:rPr>
              <w:t>G1</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خبير/قطاع؛ سيرة ذاتية؛ تبرير الاختيار</w:t>
            </w:r>
          </w:p>
        </w:tc>
      </w:tr>
      <w:tr>
        <w:tc>
          <w:tcPr>
            <w:tcW w:type="dxa" w:w="720"/>
          </w:tcPr>
          <w:p>
            <w:r>
              <w:rPr>
                <w:sz w:val="18"/>
              </w:rPr>
              <w:t>D-3</w:t>
            </w:r>
          </w:p>
        </w:tc>
        <w:tc>
          <w:tcPr>
            <w:tcW w:type="dxa" w:w="720"/>
          </w:tcPr>
          <w:p>
            <w:r>
              <w:rPr>
                <w:sz w:val="18"/>
              </w:rPr>
              <w:t>1</w:t>
            </w:r>
          </w:p>
        </w:tc>
        <w:tc>
          <w:tcPr>
            <w:tcW w:type="dxa" w:w="720"/>
          </w:tcPr>
          <w:p>
            <w:r>
              <w:rPr>
                <w:sz w:val="18"/>
              </w:rPr>
              <w:t>1</w:t>
            </w:r>
          </w:p>
        </w:tc>
        <w:tc>
          <w:tcPr>
            <w:tcW w:type="dxa" w:w="720"/>
          </w:tcPr>
          <w:p>
            <w:r>
              <w:rPr>
                <w:sz w:val="18"/>
              </w:rPr>
              <w:t>1.5</w:t>
            </w:r>
          </w:p>
        </w:tc>
        <w:tc>
          <w:tcPr>
            <w:tcW w:type="dxa" w:w="720"/>
          </w:tcPr>
          <w:p>
            <w:r>
              <w:rPr>
                <w:sz w:val="18"/>
              </w:rPr>
              <w:t>2 (G1)</w:t>
            </w:r>
          </w:p>
        </w:tc>
        <w:tc>
          <w:tcPr>
            <w:tcW w:type="dxa" w:w="720"/>
          </w:tcPr>
          <w:p>
            <w:r>
              <w:rPr>
                <w:sz w:val="18"/>
              </w:rPr>
              <w:t>G1</w:t>
            </w:r>
          </w:p>
        </w:tc>
        <w:tc>
          <w:tcPr>
            <w:tcW w:type="dxa" w:w="720"/>
          </w:tcPr>
          <w:p>
            <w:r>
              <w:rPr>
                <w:sz w:val="18"/>
              </w:rPr>
              <w:t>مدير المشروع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12 شهراً؛ معالم؛ مسار حرج</w:t>
            </w:r>
          </w:p>
        </w:tc>
      </w:tr>
      <w:tr>
        <w:tc>
          <w:tcPr>
            <w:tcW w:type="dxa" w:w="720"/>
          </w:tcPr>
          <w:p>
            <w:r>
              <w:rPr>
                <w:sz w:val="18"/>
              </w:rPr>
              <w:t>D-4</w:t>
            </w:r>
          </w:p>
        </w:tc>
        <w:tc>
          <w:tcPr>
            <w:tcW w:type="dxa" w:w="720"/>
          </w:tcPr>
          <w:p>
            <w:r>
              <w:rPr>
                <w:sz w:val="18"/>
              </w:rPr>
              <w:t>1</w:t>
            </w:r>
          </w:p>
        </w:tc>
        <w:tc>
          <w:tcPr>
            <w:tcW w:type="dxa" w:w="720"/>
          </w:tcPr>
          <w:p>
            <w:r>
              <w:rPr>
                <w:sz w:val="18"/>
              </w:rPr>
              <w:t>1</w:t>
            </w:r>
          </w:p>
        </w:tc>
        <w:tc>
          <w:tcPr>
            <w:tcW w:type="dxa" w:w="720"/>
          </w:tcPr>
          <w:p>
            <w:r>
              <w:rPr>
                <w:sz w:val="18"/>
              </w:rPr>
              <w:t>1</w:t>
            </w:r>
          </w:p>
        </w:tc>
        <w:tc>
          <w:tcPr>
            <w:tcW w:type="dxa" w:w="720"/>
          </w:tcPr>
          <w:p>
            <w:r>
              <w:rPr>
                <w:sz w:val="18"/>
              </w:rPr>
              <w:t>2 (G1)</w:t>
            </w:r>
          </w:p>
        </w:tc>
        <w:tc>
          <w:tcPr>
            <w:tcW w:type="dxa" w:w="720"/>
          </w:tcPr>
          <w:p>
            <w:r>
              <w:rPr>
                <w:sz w:val="18"/>
              </w:rPr>
              <w:t>G1</w:t>
            </w:r>
          </w:p>
        </w:tc>
        <w:tc>
          <w:tcPr>
            <w:tcW w:type="dxa" w:w="720"/>
          </w:tcPr>
          <w:p>
            <w:r>
              <w:rPr>
                <w:sz w:val="18"/>
              </w:rPr>
              <w:t>مدير المشروع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RACI؛ تصعيد؛ دورة مراجعة؛ معايير قبول</w:t>
            </w:r>
          </w:p>
        </w:tc>
      </w:tr>
      <w:tr>
        <w:tc>
          <w:tcPr>
            <w:tcW w:type="dxa" w:w="720"/>
          </w:tcPr>
          <w:p>
            <w:r>
              <w:rPr>
                <w:sz w:val="18"/>
              </w:rPr>
              <w:t>D-5</w:t>
            </w:r>
          </w:p>
        </w:tc>
        <w:tc>
          <w:tcPr>
            <w:tcW w:type="dxa" w:w="720"/>
          </w:tcPr>
          <w:p>
            <w:r>
              <w:rPr>
                <w:sz w:val="18"/>
              </w:rPr>
              <w:t>1</w:t>
            </w:r>
          </w:p>
        </w:tc>
        <w:tc>
          <w:tcPr>
            <w:tcW w:type="dxa" w:w="720"/>
          </w:tcPr>
          <w:p>
            <w:r>
              <w:rPr>
                <w:sz w:val="18"/>
              </w:rPr>
              <w:t>1</w:t>
            </w:r>
          </w:p>
        </w:tc>
        <w:tc>
          <w:tcPr>
            <w:tcW w:type="dxa" w:w="720"/>
          </w:tcPr>
          <w:p>
            <w:r>
              <w:rPr>
                <w:sz w:val="18"/>
              </w:rPr>
              <w:t>1</w:t>
            </w:r>
          </w:p>
        </w:tc>
        <w:tc>
          <w:tcPr>
            <w:tcW w:type="dxa" w:w="720"/>
          </w:tcPr>
          <w:p>
            <w:r>
              <w:rPr>
                <w:sz w:val="18"/>
              </w:rPr>
              <w:t>2 (G1)</w:t>
            </w:r>
          </w:p>
        </w:tc>
        <w:tc>
          <w:tcPr>
            <w:tcW w:type="dxa" w:w="720"/>
          </w:tcPr>
          <w:p>
            <w:r>
              <w:rPr>
                <w:sz w:val="18"/>
              </w:rPr>
              <w:t>G1</w:t>
            </w:r>
          </w:p>
        </w:tc>
        <w:tc>
          <w:tcPr>
            <w:tcW w:type="dxa" w:w="720"/>
          </w:tcPr>
          <w:p>
            <w:r>
              <w:rPr>
                <w:sz w:val="18"/>
              </w:rPr>
              <w:t>مدير المشروع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نطاق؛ أهداف؛ مخاطر؛ توقيع الطرفين</w:t>
            </w:r>
          </w:p>
        </w:tc>
      </w:tr>
      <w:tr>
        <w:tc>
          <w:tcPr>
            <w:tcW w:type="dxa" w:w="720"/>
          </w:tcPr>
          <w:p>
            <w:r>
              <w:rPr>
                <w:sz w:val="18"/>
              </w:rPr>
              <w:t>D-6</w:t>
            </w:r>
          </w:p>
        </w:tc>
        <w:tc>
          <w:tcPr>
            <w:tcW w:type="dxa" w:w="720"/>
          </w:tcPr>
          <w:p>
            <w:r>
              <w:rPr>
                <w:sz w:val="18"/>
              </w:rPr>
              <w:t>2</w:t>
            </w:r>
          </w:p>
        </w:tc>
        <w:tc>
          <w:tcPr>
            <w:tcW w:type="dxa" w:w="720"/>
          </w:tcPr>
          <w:p>
            <w:r>
              <w:rPr>
                <w:sz w:val="18"/>
              </w:rPr>
              <w:t>2.5</w:t>
            </w:r>
          </w:p>
        </w:tc>
        <w:tc>
          <w:tcPr>
            <w:tcW w:type="dxa" w:w="720"/>
          </w:tcPr>
          <w:p>
            <w:r>
              <w:rPr>
                <w:sz w:val="18"/>
              </w:rPr>
              <w:t>4</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5 قطاعات+؛ تصنيف دولي [EXT-003]</w:t>
            </w:r>
          </w:p>
        </w:tc>
      </w:tr>
      <w:tr>
        <w:tc>
          <w:tcPr>
            <w:tcW w:type="dxa" w:w="720"/>
          </w:tcPr>
          <w:p>
            <w:r>
              <w:rPr>
                <w:sz w:val="18"/>
              </w:rPr>
              <w:t>D-7</w:t>
            </w:r>
          </w:p>
        </w:tc>
        <w:tc>
          <w:tcPr>
            <w:tcW w:type="dxa" w:w="720"/>
          </w:tcPr>
          <w:p>
            <w:r>
              <w:rPr>
                <w:sz w:val="18"/>
              </w:rPr>
              <w:t>2</w:t>
            </w:r>
          </w:p>
        </w:tc>
        <w:tc>
          <w:tcPr>
            <w:tcW w:type="dxa" w:w="720"/>
          </w:tcPr>
          <w:p>
            <w:r>
              <w:rPr>
                <w:sz w:val="18"/>
              </w:rPr>
              <w:t>2.5</w:t>
            </w:r>
          </w:p>
        </w:tc>
        <w:tc>
          <w:tcPr>
            <w:tcW w:type="dxa" w:w="720"/>
          </w:tcPr>
          <w:p>
            <w:r>
              <w:rPr>
                <w:sz w:val="18"/>
              </w:rPr>
              <w:t>4.5</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نعم</w:t>
            </w:r>
          </w:p>
        </w:tc>
        <w:tc>
          <w:tcPr>
            <w:tcW w:type="dxa" w:w="720"/>
          </w:tcPr>
          <w:p>
            <w:r>
              <w:rPr>
                <w:sz w:val="18"/>
              </w:rPr>
              <w:t>10 أيام</w:t>
            </w:r>
          </w:p>
        </w:tc>
        <w:tc>
          <w:tcPr>
            <w:tcW w:type="dxa" w:w="720"/>
          </w:tcPr>
          <w:p>
            <w:r>
              <w:rPr>
                <w:sz w:val="18"/>
              </w:rPr>
              <w:t>5 أيام</w:t>
            </w:r>
          </w:p>
        </w:tc>
        <w:tc>
          <w:tcPr>
            <w:tcW w:type="dxa" w:w="720"/>
          </w:tcPr>
          <w:p>
            <w:r>
              <w:rPr>
                <w:sz w:val="18"/>
              </w:rPr>
              <w:t>5 دول+؛ تبرير الاختيار؛ تحليل مقارن</w:t>
            </w:r>
          </w:p>
        </w:tc>
      </w:tr>
      <w:tr>
        <w:tc>
          <w:tcPr>
            <w:tcW w:type="dxa" w:w="720"/>
          </w:tcPr>
          <w:p>
            <w:r>
              <w:rPr>
                <w:sz w:val="18"/>
              </w:rPr>
              <w:t>D-8</w:t>
            </w:r>
          </w:p>
        </w:tc>
        <w:tc>
          <w:tcPr>
            <w:tcW w:type="dxa" w:w="720"/>
          </w:tcPr>
          <w:p>
            <w:r>
              <w:rPr>
                <w:sz w:val="18"/>
              </w:rPr>
              <w:t>2</w:t>
            </w:r>
          </w:p>
        </w:tc>
        <w:tc>
          <w:tcPr>
            <w:tcW w:type="dxa" w:w="720"/>
          </w:tcPr>
          <w:p>
            <w:r>
              <w:rPr>
                <w:sz w:val="18"/>
              </w:rPr>
              <w:t>2.5</w:t>
            </w:r>
          </w:p>
        </w:tc>
        <w:tc>
          <w:tcPr>
            <w:tcW w:type="dxa" w:w="720"/>
          </w:tcPr>
          <w:p>
            <w:r>
              <w:rPr>
                <w:sz w:val="18"/>
              </w:rPr>
              <w:t>3.5</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قائمون+محتملون؛ تأثير/اهتمام [EXT-004]</w:t>
            </w:r>
          </w:p>
        </w:tc>
      </w:tr>
      <w:tr>
        <w:tc>
          <w:tcPr>
            <w:tcW w:type="dxa" w:w="720"/>
          </w:tcPr>
          <w:p>
            <w:r>
              <w:rPr>
                <w:sz w:val="18"/>
              </w:rPr>
              <w:t>D-9</w:t>
            </w:r>
          </w:p>
        </w:tc>
        <w:tc>
          <w:tcPr>
            <w:tcW w:type="dxa" w:w="720"/>
          </w:tcPr>
          <w:p>
            <w:r>
              <w:rPr>
                <w:sz w:val="18"/>
              </w:rPr>
              <w:t>2</w:t>
            </w:r>
          </w:p>
        </w:tc>
        <w:tc>
          <w:tcPr>
            <w:tcW w:type="dxa" w:w="720"/>
          </w:tcPr>
          <w:p>
            <w:r>
              <w:rPr>
                <w:sz w:val="18"/>
              </w:rPr>
              <w:t>3</w:t>
            </w:r>
          </w:p>
        </w:tc>
        <w:tc>
          <w:tcPr>
            <w:tcW w:type="dxa" w:w="720"/>
          </w:tcPr>
          <w:p>
            <w:r>
              <w:rPr>
                <w:sz w:val="18"/>
              </w:rPr>
              <w:t>4.5</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تبرع/تطوع/وقف/استقبال؛ بيانات كمية</w:t>
            </w:r>
          </w:p>
        </w:tc>
      </w:tr>
      <w:tr>
        <w:tc>
          <w:tcPr>
            <w:tcW w:type="dxa" w:w="720"/>
          </w:tcPr>
          <w:p>
            <w:r>
              <w:rPr>
                <w:sz w:val="18"/>
              </w:rPr>
              <w:t>D-10</w:t>
            </w:r>
          </w:p>
        </w:tc>
        <w:tc>
          <w:tcPr>
            <w:tcW w:type="dxa" w:w="720"/>
          </w:tcPr>
          <w:p>
            <w:r>
              <w:rPr>
                <w:sz w:val="18"/>
              </w:rPr>
              <w:t>2</w:t>
            </w:r>
          </w:p>
        </w:tc>
        <w:tc>
          <w:tcPr>
            <w:tcW w:type="dxa" w:w="720"/>
          </w:tcPr>
          <w:p>
            <w:r>
              <w:rPr>
                <w:sz w:val="18"/>
              </w:rPr>
              <w:t>3.5</w:t>
            </w:r>
          </w:p>
        </w:tc>
        <w:tc>
          <w:tcPr>
            <w:tcW w:type="dxa" w:w="720"/>
          </w:tcPr>
          <w:p>
            <w:r>
              <w:rPr>
                <w:sz w:val="18"/>
              </w:rPr>
              <w:t>5</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SWOT لكل فئة؛ فجوات وفرص</w:t>
            </w:r>
          </w:p>
        </w:tc>
      </w:tr>
      <w:tr>
        <w:tc>
          <w:tcPr>
            <w:tcW w:type="dxa" w:w="720"/>
          </w:tcPr>
          <w:p>
            <w:r>
              <w:rPr>
                <w:sz w:val="18"/>
              </w:rPr>
              <w:t>D-11</w:t>
            </w:r>
          </w:p>
        </w:tc>
        <w:tc>
          <w:tcPr>
            <w:tcW w:type="dxa" w:w="720"/>
          </w:tcPr>
          <w:p>
            <w:r>
              <w:rPr>
                <w:sz w:val="18"/>
              </w:rPr>
              <w:t>2</w:t>
            </w:r>
          </w:p>
        </w:tc>
        <w:tc>
          <w:tcPr>
            <w:tcW w:type="dxa" w:w="720"/>
          </w:tcPr>
          <w:p>
            <w:r>
              <w:rPr>
                <w:sz w:val="18"/>
              </w:rPr>
              <w:t>3</w:t>
            </w:r>
          </w:p>
        </w:tc>
        <w:tc>
          <w:tcPr>
            <w:tcW w:type="dxa" w:w="720"/>
          </w:tcPr>
          <w:p>
            <w:r>
              <w:rPr>
                <w:sz w:val="18"/>
              </w:rPr>
              <w:t>5</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ورشة/قطاع؛ توثيق مشاركين ونتائج</w:t>
            </w:r>
          </w:p>
        </w:tc>
      </w:tr>
      <w:tr>
        <w:tc>
          <w:tcPr>
            <w:tcW w:type="dxa" w:w="720"/>
          </w:tcPr>
          <w:p>
            <w:r>
              <w:rPr>
                <w:sz w:val="18"/>
              </w:rPr>
              <w:t>D-12</w:t>
            </w:r>
          </w:p>
        </w:tc>
        <w:tc>
          <w:tcPr>
            <w:tcW w:type="dxa" w:w="720"/>
          </w:tcPr>
          <w:p>
            <w:r>
              <w:rPr>
                <w:sz w:val="18"/>
              </w:rPr>
              <w:t>2</w:t>
            </w:r>
          </w:p>
        </w:tc>
        <w:tc>
          <w:tcPr>
            <w:tcW w:type="dxa" w:w="720"/>
          </w:tcPr>
          <w:p>
            <w:r>
              <w:rPr>
                <w:sz w:val="18"/>
              </w:rPr>
              <w:t>3.5</w:t>
            </w:r>
          </w:p>
        </w:tc>
        <w:tc>
          <w:tcPr>
            <w:tcW w:type="dxa" w:w="720"/>
          </w:tcPr>
          <w:p>
            <w:r>
              <w:rPr>
                <w:sz w:val="18"/>
              </w:rPr>
              <w:t>5</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تكامل مع D-7 وD-9؛ ممارسات قابلة للنقل</w:t>
            </w:r>
          </w:p>
        </w:tc>
      </w:tr>
      <w:tr>
        <w:tc>
          <w:tcPr>
            <w:tcW w:type="dxa" w:w="720"/>
          </w:tcPr>
          <w:p>
            <w:r>
              <w:rPr>
                <w:sz w:val="18"/>
              </w:rPr>
              <w:t>D-13</w:t>
            </w:r>
          </w:p>
        </w:tc>
        <w:tc>
          <w:tcPr>
            <w:tcW w:type="dxa" w:w="720"/>
          </w:tcPr>
          <w:p>
            <w:r>
              <w:rPr>
                <w:sz w:val="18"/>
              </w:rPr>
              <w:t>2</w:t>
            </w:r>
          </w:p>
        </w:tc>
        <w:tc>
          <w:tcPr>
            <w:tcW w:type="dxa" w:w="720"/>
          </w:tcPr>
          <w:p>
            <w:r>
              <w:rPr>
                <w:sz w:val="18"/>
              </w:rPr>
              <w:t>4</w:t>
            </w:r>
          </w:p>
        </w:tc>
        <w:tc>
          <w:tcPr>
            <w:tcW w:type="dxa" w:w="720"/>
          </w:tcPr>
          <w:p>
            <w:r>
              <w:rPr>
                <w:sz w:val="18"/>
              </w:rPr>
              <w:t>5</w:t>
            </w:r>
          </w:p>
        </w:tc>
        <w:tc>
          <w:tcPr>
            <w:tcW w:type="dxa" w:w="720"/>
          </w:tcPr>
          <w:p>
            <w:r>
              <w:rPr>
                <w:sz w:val="18"/>
              </w:rPr>
              <w:t>5.5 (G2)</w:t>
            </w:r>
          </w:p>
        </w:tc>
        <w:tc>
          <w:tcPr>
            <w:tcW w:type="dxa" w:w="720"/>
          </w:tcPr>
          <w:p>
            <w:r>
              <w:rPr>
                <w:sz w:val="18"/>
              </w:rPr>
              <w:t>G2</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نعم</w:t>
            </w:r>
          </w:p>
        </w:tc>
        <w:tc>
          <w:tcPr>
            <w:tcW w:type="dxa" w:w="720"/>
          </w:tcPr>
          <w:p>
            <w:r>
              <w:rPr>
                <w:sz w:val="18"/>
              </w:rPr>
              <w:t>10 أيام</w:t>
            </w:r>
          </w:p>
        </w:tc>
        <w:tc>
          <w:tcPr>
            <w:tcW w:type="dxa" w:w="720"/>
          </w:tcPr>
          <w:p>
            <w:r>
              <w:rPr>
                <w:sz w:val="18"/>
              </w:rPr>
              <w:t>5 أيام</w:t>
            </w:r>
          </w:p>
        </w:tc>
        <w:tc>
          <w:tcPr>
            <w:tcW w:type="dxa" w:w="720"/>
          </w:tcPr>
          <w:p>
            <w:r>
              <w:rPr>
                <w:sz w:val="18"/>
              </w:rPr>
              <w:t>مبوبة بقطاع/نشاط؛ عنصر ابتكار؛ ثلثا اللجنة</w:t>
            </w:r>
          </w:p>
        </w:tc>
      </w:tr>
      <w:tr>
        <w:tc>
          <w:tcPr>
            <w:tcW w:type="dxa" w:w="720"/>
          </w:tcPr>
          <w:p>
            <w:r>
              <w:rPr>
                <w:sz w:val="18"/>
              </w:rPr>
              <w:t>D-14</w:t>
            </w:r>
          </w:p>
        </w:tc>
        <w:tc>
          <w:tcPr>
            <w:tcW w:type="dxa" w:w="720"/>
          </w:tcPr>
          <w:p>
            <w:r>
              <w:rPr>
                <w:sz w:val="18"/>
              </w:rPr>
              <w:t>2</w:t>
            </w:r>
          </w:p>
        </w:tc>
        <w:tc>
          <w:tcPr>
            <w:tcW w:type="dxa" w:w="720"/>
          </w:tcPr>
          <w:p>
            <w:r>
              <w:rPr>
                <w:sz w:val="18"/>
              </w:rPr>
              <w:t>5</w:t>
            </w:r>
          </w:p>
        </w:tc>
        <w:tc>
          <w:tcPr>
            <w:tcW w:type="dxa" w:w="720"/>
          </w:tcPr>
          <w:p>
            <w:r>
              <w:rPr>
                <w:sz w:val="18"/>
              </w:rPr>
              <w:t>5.5</w:t>
            </w:r>
          </w:p>
        </w:tc>
        <w:tc>
          <w:tcPr>
            <w:tcW w:type="dxa" w:w="720"/>
          </w:tcPr>
          <w:p>
            <w:r>
              <w:rPr>
                <w:sz w:val="18"/>
              </w:rPr>
              <w:t>5.5 (G2)</w:t>
            </w:r>
          </w:p>
        </w:tc>
        <w:tc>
          <w:tcPr>
            <w:tcW w:type="dxa" w:w="720"/>
          </w:tcPr>
          <w:p>
            <w:r>
              <w:rPr>
                <w:sz w:val="18"/>
              </w:rPr>
              <w:t>G2</w:t>
            </w:r>
          </w:p>
        </w:tc>
        <w:tc>
          <w:tcPr>
            <w:tcW w:type="dxa" w:w="720"/>
          </w:tcPr>
          <w:p>
            <w:r>
              <w:rPr>
                <w:sz w:val="18"/>
              </w:rPr>
              <w:t>مدير المشروع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≤10 صفحات؛ تغطية كاملة؛ توصيات للمرحلة 3</w:t>
            </w:r>
          </w:p>
        </w:tc>
      </w:tr>
      <w:tr>
        <w:tc>
          <w:tcPr>
            <w:tcW w:type="dxa" w:w="720"/>
          </w:tcPr>
          <w:p>
            <w:r>
              <w:rPr>
                <w:sz w:val="18"/>
              </w:rPr>
              <w:t>D-15</w:t>
            </w:r>
          </w:p>
        </w:tc>
        <w:tc>
          <w:tcPr>
            <w:tcW w:type="dxa" w:w="720"/>
          </w:tcPr>
          <w:p>
            <w:r>
              <w:rPr>
                <w:sz w:val="18"/>
              </w:rPr>
              <w:t>3</w:t>
            </w:r>
          </w:p>
        </w:tc>
        <w:tc>
          <w:tcPr>
            <w:tcW w:type="dxa" w:w="720"/>
          </w:tcPr>
          <w:p>
            <w:r>
              <w:rPr>
                <w:sz w:val="18"/>
              </w:rPr>
              <w:t>5</w:t>
            </w:r>
          </w:p>
        </w:tc>
        <w:tc>
          <w:tcPr>
            <w:tcW w:type="dxa" w:w="720"/>
          </w:tcPr>
          <w:p>
            <w:r>
              <w:rPr>
                <w:sz w:val="18"/>
              </w:rPr>
              <w:t>6</w:t>
            </w:r>
          </w:p>
        </w:tc>
        <w:tc>
          <w:tcPr>
            <w:tcW w:type="dxa" w:w="720"/>
          </w:tcPr>
          <w:p>
            <w:r>
              <w:rPr>
                <w:sz w:val="18"/>
              </w:rPr>
              <w:t>8 (G3)</w:t>
            </w:r>
          </w:p>
        </w:tc>
        <w:tc>
          <w:tcPr>
            <w:tcW w:type="dxa" w:w="720"/>
          </w:tcPr>
          <w:p>
            <w:r>
              <w:rPr>
                <w:sz w:val="18"/>
              </w:rPr>
              <w:t>G3</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واضحة وقابلة للتكرار؛ اتساق مع D-1</w:t>
            </w:r>
          </w:p>
        </w:tc>
      </w:tr>
      <w:tr>
        <w:tc>
          <w:tcPr>
            <w:tcW w:type="dxa" w:w="720"/>
          </w:tcPr>
          <w:p>
            <w:r>
              <w:rPr>
                <w:sz w:val="18"/>
              </w:rPr>
              <w:t>D-16</w:t>
            </w:r>
          </w:p>
        </w:tc>
        <w:tc>
          <w:tcPr>
            <w:tcW w:type="dxa" w:w="720"/>
          </w:tcPr>
          <w:p>
            <w:r>
              <w:rPr>
                <w:sz w:val="18"/>
              </w:rPr>
              <w:t>3</w:t>
            </w:r>
          </w:p>
        </w:tc>
        <w:tc>
          <w:tcPr>
            <w:tcW w:type="dxa" w:w="720"/>
          </w:tcPr>
          <w:p>
            <w:r>
              <w:rPr>
                <w:sz w:val="18"/>
              </w:rPr>
              <w:t>5.5</w:t>
            </w:r>
          </w:p>
        </w:tc>
        <w:tc>
          <w:tcPr>
            <w:tcW w:type="dxa" w:w="720"/>
          </w:tcPr>
          <w:p>
            <w:r>
              <w:rPr>
                <w:sz w:val="18"/>
              </w:rPr>
              <w:t>7</w:t>
            </w:r>
          </w:p>
        </w:tc>
        <w:tc>
          <w:tcPr>
            <w:tcW w:type="dxa" w:w="720"/>
          </w:tcPr>
          <w:p>
            <w:r>
              <w:rPr>
                <w:sz w:val="18"/>
              </w:rPr>
              <w:t>8 (G3)</w:t>
            </w:r>
          </w:p>
        </w:tc>
        <w:tc>
          <w:tcPr>
            <w:tcW w:type="dxa" w:w="720"/>
          </w:tcPr>
          <w:p>
            <w:r>
              <w:rPr>
                <w:sz w:val="18"/>
              </w:rPr>
              <w:t>G3</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5 قطاعات؛ مستويات أولوية؛ ربط ببيانات D-9</w:t>
            </w:r>
          </w:p>
        </w:tc>
      </w:tr>
      <w:tr>
        <w:tc>
          <w:tcPr>
            <w:tcW w:type="dxa" w:w="720"/>
          </w:tcPr>
          <w:p>
            <w:r>
              <w:rPr>
                <w:sz w:val="18"/>
              </w:rPr>
              <w:t>D-17</w:t>
            </w:r>
          </w:p>
        </w:tc>
        <w:tc>
          <w:tcPr>
            <w:tcW w:type="dxa" w:w="720"/>
          </w:tcPr>
          <w:p>
            <w:r>
              <w:rPr>
                <w:sz w:val="18"/>
              </w:rPr>
              <w:t>3</w:t>
            </w:r>
          </w:p>
        </w:tc>
        <w:tc>
          <w:tcPr>
            <w:tcW w:type="dxa" w:w="720"/>
          </w:tcPr>
          <w:p>
            <w:r>
              <w:rPr>
                <w:sz w:val="18"/>
              </w:rPr>
              <w:t>6</w:t>
            </w:r>
          </w:p>
        </w:tc>
        <w:tc>
          <w:tcPr>
            <w:tcW w:type="dxa" w:w="720"/>
          </w:tcPr>
          <w:p>
            <w:r>
              <w:rPr>
                <w:sz w:val="18"/>
              </w:rPr>
              <w:t>7.5</w:t>
            </w:r>
          </w:p>
        </w:tc>
        <w:tc>
          <w:tcPr>
            <w:tcW w:type="dxa" w:w="720"/>
          </w:tcPr>
          <w:p>
            <w:r>
              <w:rPr>
                <w:sz w:val="18"/>
              </w:rPr>
              <w:t>8 (G3)</w:t>
            </w:r>
          </w:p>
        </w:tc>
        <w:tc>
          <w:tcPr>
            <w:tcW w:type="dxa" w:w="720"/>
          </w:tcPr>
          <w:p>
            <w:r>
              <w:rPr>
                <w:sz w:val="18"/>
              </w:rPr>
              <w:t>G3</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نعم</w:t>
            </w:r>
          </w:p>
        </w:tc>
        <w:tc>
          <w:tcPr>
            <w:tcW w:type="dxa" w:w="720"/>
          </w:tcPr>
          <w:p>
            <w:r>
              <w:rPr>
                <w:sz w:val="18"/>
              </w:rPr>
              <w:t>10 أيام</w:t>
            </w:r>
          </w:p>
        </w:tc>
        <w:tc>
          <w:tcPr>
            <w:tcW w:type="dxa" w:w="720"/>
          </w:tcPr>
          <w:p>
            <w:r>
              <w:rPr>
                <w:sz w:val="18"/>
              </w:rPr>
              <w:t>5 أيام</w:t>
            </w:r>
          </w:p>
        </w:tc>
        <w:tc>
          <w:tcPr>
            <w:tcW w:type="dxa" w:w="720"/>
          </w:tcPr>
          <w:p>
            <w:r>
              <w:rPr>
                <w:sz w:val="18"/>
              </w:rPr>
              <w:t>مصفوفة ربط؛ آثار متوقعة؛ تحليل سببي</w:t>
            </w:r>
          </w:p>
        </w:tc>
      </w:tr>
      <w:tr>
        <w:tc>
          <w:tcPr>
            <w:tcW w:type="dxa" w:w="720"/>
          </w:tcPr>
          <w:p>
            <w:r>
              <w:rPr>
                <w:sz w:val="18"/>
              </w:rPr>
              <w:t>D-18</w:t>
            </w:r>
          </w:p>
        </w:tc>
        <w:tc>
          <w:tcPr>
            <w:tcW w:type="dxa" w:w="720"/>
          </w:tcPr>
          <w:p>
            <w:r>
              <w:rPr>
                <w:sz w:val="18"/>
              </w:rPr>
              <w:t>4</w:t>
            </w:r>
          </w:p>
        </w:tc>
        <w:tc>
          <w:tcPr>
            <w:tcW w:type="dxa" w:w="720"/>
          </w:tcPr>
          <w:p>
            <w:r>
              <w:rPr>
                <w:sz w:val="18"/>
              </w:rPr>
              <w:t>8</w:t>
            </w:r>
          </w:p>
        </w:tc>
        <w:tc>
          <w:tcPr>
            <w:tcW w:type="dxa" w:w="720"/>
          </w:tcPr>
          <w:p>
            <w:r>
              <w:rPr>
                <w:sz w:val="18"/>
              </w:rPr>
              <w:t>9</w:t>
            </w:r>
          </w:p>
        </w:tc>
        <w:tc>
          <w:tcPr>
            <w:tcW w:type="dxa" w:w="720"/>
          </w:tcPr>
          <w:p>
            <w:r>
              <w:rPr>
                <w:sz w:val="18"/>
              </w:rPr>
              <w:t>10.5 (G4)</w:t>
            </w:r>
          </w:p>
        </w:tc>
        <w:tc>
          <w:tcPr>
            <w:tcW w:type="dxa" w:w="720"/>
          </w:tcPr>
          <w:p>
            <w:r>
              <w:rPr>
                <w:sz w:val="18"/>
              </w:rPr>
              <w:t>G4</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معايير شفافة؛ قابلة للتكرار [EXT-007]</w:t>
            </w:r>
          </w:p>
        </w:tc>
      </w:tr>
      <w:tr>
        <w:tc>
          <w:tcPr>
            <w:tcW w:type="dxa" w:w="720"/>
          </w:tcPr>
          <w:p>
            <w:r>
              <w:rPr>
                <w:sz w:val="18"/>
              </w:rPr>
              <w:t>D-19</w:t>
            </w:r>
          </w:p>
        </w:tc>
        <w:tc>
          <w:tcPr>
            <w:tcW w:type="dxa" w:w="720"/>
          </w:tcPr>
          <w:p>
            <w:r>
              <w:rPr>
                <w:sz w:val="18"/>
              </w:rPr>
              <w:t>4</w:t>
            </w:r>
          </w:p>
        </w:tc>
        <w:tc>
          <w:tcPr>
            <w:tcW w:type="dxa" w:w="720"/>
          </w:tcPr>
          <w:p>
            <w:r>
              <w:rPr>
                <w:sz w:val="18"/>
              </w:rPr>
              <w:t>8.5</w:t>
            </w:r>
          </w:p>
        </w:tc>
        <w:tc>
          <w:tcPr>
            <w:tcW w:type="dxa" w:w="720"/>
          </w:tcPr>
          <w:p>
            <w:r>
              <w:rPr>
                <w:sz w:val="18"/>
              </w:rPr>
              <w:t>10</w:t>
            </w:r>
          </w:p>
        </w:tc>
        <w:tc>
          <w:tcPr>
            <w:tcW w:type="dxa" w:w="720"/>
          </w:tcPr>
          <w:p>
            <w:r>
              <w:rPr>
                <w:sz w:val="18"/>
              </w:rPr>
              <w:t>10.5 (G4)</w:t>
            </w:r>
          </w:p>
        </w:tc>
        <w:tc>
          <w:tcPr>
            <w:tcW w:type="dxa" w:w="720"/>
          </w:tcPr>
          <w:p>
            <w:r>
              <w:rPr>
                <w:sz w:val="18"/>
              </w:rPr>
              <w:t>G4</w:t>
            </w:r>
          </w:p>
        </w:tc>
        <w:tc>
          <w:tcPr>
            <w:tcW w:type="dxa" w:w="720"/>
          </w:tcPr>
          <w:p>
            <w:r>
              <w:rPr>
                <w:sz w:val="18"/>
              </w:rPr>
              <w:t>مدير المشروع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مرحلية؛ معالم؛ مسؤوليات؛ مؤشرات</w:t>
            </w:r>
          </w:p>
        </w:tc>
      </w:tr>
      <w:tr>
        <w:tc>
          <w:tcPr>
            <w:tcW w:type="dxa" w:w="720"/>
          </w:tcPr>
          <w:p>
            <w:r>
              <w:rPr>
                <w:sz w:val="18"/>
              </w:rPr>
              <w:t>D-20</w:t>
            </w:r>
          </w:p>
        </w:tc>
        <w:tc>
          <w:tcPr>
            <w:tcW w:type="dxa" w:w="720"/>
          </w:tcPr>
          <w:p>
            <w:r>
              <w:rPr>
                <w:sz w:val="18"/>
              </w:rPr>
              <w:t>4</w:t>
            </w:r>
          </w:p>
        </w:tc>
        <w:tc>
          <w:tcPr>
            <w:tcW w:type="dxa" w:w="720"/>
          </w:tcPr>
          <w:p>
            <w:r>
              <w:rPr>
                <w:sz w:val="18"/>
              </w:rPr>
              <w:t>8.5</w:t>
            </w:r>
          </w:p>
        </w:tc>
        <w:tc>
          <w:tcPr>
            <w:tcW w:type="dxa" w:w="720"/>
          </w:tcPr>
          <w:p>
            <w:r>
              <w:rPr>
                <w:sz w:val="18"/>
              </w:rPr>
              <w:t>10</w:t>
            </w:r>
          </w:p>
        </w:tc>
        <w:tc>
          <w:tcPr>
            <w:tcW w:type="dxa" w:w="720"/>
          </w:tcPr>
          <w:p>
            <w:r>
              <w:rPr>
                <w:sz w:val="18"/>
              </w:rPr>
              <w:t>10.5 (G4)</w:t>
            </w:r>
          </w:p>
        </w:tc>
        <w:tc>
          <w:tcPr>
            <w:tcW w:type="dxa" w:w="720"/>
          </w:tcPr>
          <w:p>
            <w:r>
              <w:rPr>
                <w:sz w:val="18"/>
              </w:rPr>
              <w:t>G4</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أنواع حوافز؛ ربط بمنتج/خدمة؛ تكلفة وأثر</w:t>
            </w:r>
          </w:p>
        </w:tc>
      </w:tr>
      <w:tr>
        <w:tc>
          <w:tcPr>
            <w:tcW w:type="dxa" w:w="720"/>
          </w:tcPr>
          <w:p>
            <w:r>
              <w:rPr>
                <w:sz w:val="18"/>
              </w:rPr>
              <w:t>D-21</w:t>
            </w:r>
          </w:p>
        </w:tc>
        <w:tc>
          <w:tcPr>
            <w:tcW w:type="dxa" w:w="720"/>
          </w:tcPr>
          <w:p>
            <w:r>
              <w:rPr>
                <w:sz w:val="18"/>
              </w:rPr>
              <w:t>4</w:t>
            </w:r>
          </w:p>
        </w:tc>
        <w:tc>
          <w:tcPr>
            <w:tcW w:type="dxa" w:w="720"/>
          </w:tcPr>
          <w:p>
            <w:r>
              <w:rPr>
                <w:sz w:val="18"/>
              </w:rPr>
              <w:t>9</w:t>
            </w:r>
          </w:p>
        </w:tc>
        <w:tc>
          <w:tcPr>
            <w:tcW w:type="dxa" w:w="720"/>
          </w:tcPr>
          <w:p>
            <w:r>
              <w:rPr>
                <w:sz w:val="18"/>
              </w:rPr>
              <w:t>10</w:t>
            </w:r>
          </w:p>
        </w:tc>
        <w:tc>
          <w:tcPr>
            <w:tcW w:type="dxa" w:w="720"/>
          </w:tcPr>
          <w:p>
            <w:r>
              <w:rPr>
                <w:sz w:val="18"/>
              </w:rPr>
              <w:t>10.5 (G4)</w:t>
            </w:r>
          </w:p>
        </w:tc>
        <w:tc>
          <w:tcPr>
            <w:tcW w:type="dxa" w:w="720"/>
          </w:tcPr>
          <w:p>
            <w:r>
              <w:rPr>
                <w:sz w:val="18"/>
              </w:rPr>
              <w:t>G4</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10 أيام</w:t>
            </w:r>
          </w:p>
        </w:tc>
        <w:tc>
          <w:tcPr>
            <w:tcW w:type="dxa" w:w="720"/>
          </w:tcPr>
          <w:p>
            <w:r>
              <w:rPr>
                <w:sz w:val="18"/>
              </w:rPr>
              <w:t>5 أيام</w:t>
            </w:r>
          </w:p>
        </w:tc>
        <w:tc>
          <w:tcPr>
            <w:tcW w:type="dxa" w:w="720"/>
          </w:tcPr>
          <w:p>
            <w:r>
              <w:rPr>
                <w:sz w:val="18"/>
              </w:rPr>
              <w:t>بطاقة موحدة: تشغيل/تكلفة/أثر/مؤشرات/حوافز [EXT-005]</w:t>
            </w:r>
          </w:p>
        </w:tc>
      </w:tr>
      <w:tr>
        <w:tc>
          <w:tcPr>
            <w:tcW w:type="dxa" w:w="720"/>
          </w:tcPr>
          <w:p>
            <w:r>
              <w:rPr>
                <w:sz w:val="18"/>
              </w:rPr>
              <w:t>D-22</w:t>
            </w:r>
          </w:p>
        </w:tc>
        <w:tc>
          <w:tcPr>
            <w:tcW w:type="dxa" w:w="720"/>
          </w:tcPr>
          <w:p>
            <w:r>
              <w:rPr>
                <w:sz w:val="18"/>
              </w:rPr>
              <w:t>5</w:t>
            </w:r>
          </w:p>
        </w:tc>
        <w:tc>
          <w:tcPr>
            <w:tcW w:type="dxa" w:w="720"/>
          </w:tcPr>
          <w:p>
            <w:r>
              <w:rPr>
                <w:sz w:val="18"/>
              </w:rPr>
              <w:t>10.5</w:t>
            </w:r>
          </w:p>
        </w:tc>
        <w:tc>
          <w:tcPr>
            <w:tcW w:type="dxa" w:w="720"/>
          </w:tcPr>
          <w:p>
            <w:r>
              <w:rPr>
                <w:sz w:val="18"/>
              </w:rPr>
              <w:t>11.5</w:t>
            </w:r>
          </w:p>
        </w:tc>
        <w:tc>
          <w:tcPr>
            <w:tcW w:type="dxa" w:w="720"/>
          </w:tcPr>
          <w:p>
            <w:r>
              <w:rPr>
                <w:sz w:val="18"/>
              </w:rPr>
              <w:t>12 (G5)</w:t>
            </w:r>
          </w:p>
        </w:tc>
        <w:tc>
          <w:tcPr>
            <w:tcW w:type="dxa" w:w="720"/>
          </w:tcPr>
          <w:p>
            <w:r>
              <w:rPr>
                <w:sz w:val="18"/>
              </w:rPr>
              <w:t>G5</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نعم</w:t>
            </w:r>
          </w:p>
        </w:tc>
        <w:tc>
          <w:tcPr>
            <w:tcW w:type="dxa" w:w="720"/>
          </w:tcPr>
          <w:p>
            <w:r>
              <w:rPr>
                <w:sz w:val="18"/>
              </w:rPr>
              <w:t>10 أيام</w:t>
            </w:r>
          </w:p>
        </w:tc>
        <w:tc>
          <w:tcPr>
            <w:tcW w:type="dxa" w:w="720"/>
          </w:tcPr>
          <w:p>
            <w:r>
              <w:rPr>
                <w:sz w:val="18"/>
              </w:rPr>
              <w:t>5 أيام</w:t>
            </w:r>
          </w:p>
        </w:tc>
        <w:tc>
          <w:tcPr>
            <w:tcW w:type="dxa" w:w="720"/>
          </w:tcPr>
          <w:p>
            <w:r>
              <w:rPr>
                <w:sz w:val="18"/>
              </w:rPr>
              <w:t>ربط برؤية 2030؛ خطوط أساس؛ قابلة للتشغيل المستقل [EXT-009]</w:t>
            </w:r>
          </w:p>
        </w:tc>
      </w:tr>
      <w:tr>
        <w:tc>
          <w:tcPr>
            <w:tcW w:type="dxa" w:w="720"/>
          </w:tcPr>
          <w:p>
            <w:r>
              <w:rPr>
                <w:sz w:val="18"/>
              </w:rPr>
              <w:t>D-23</w:t>
            </w:r>
          </w:p>
        </w:tc>
        <w:tc>
          <w:tcPr>
            <w:tcW w:type="dxa" w:w="720"/>
          </w:tcPr>
          <w:p>
            <w:r>
              <w:rPr>
                <w:sz w:val="18"/>
              </w:rPr>
              <w:t>5</w:t>
            </w:r>
          </w:p>
        </w:tc>
        <w:tc>
          <w:tcPr>
            <w:tcW w:type="dxa" w:w="720"/>
          </w:tcPr>
          <w:p>
            <w:r>
              <w:rPr>
                <w:sz w:val="18"/>
              </w:rPr>
              <w:t>10.5</w:t>
            </w:r>
          </w:p>
        </w:tc>
        <w:tc>
          <w:tcPr>
            <w:tcW w:type="dxa" w:w="720"/>
          </w:tcPr>
          <w:p>
            <w:r>
              <w:rPr>
                <w:sz w:val="18"/>
              </w:rPr>
              <w:t>11.5</w:t>
            </w:r>
          </w:p>
        </w:tc>
        <w:tc>
          <w:tcPr>
            <w:tcW w:type="dxa" w:w="720"/>
          </w:tcPr>
          <w:p>
            <w:r>
              <w:rPr>
                <w:sz w:val="18"/>
              </w:rPr>
              <w:t>12 (G5)</w:t>
            </w:r>
          </w:p>
        </w:tc>
        <w:tc>
          <w:tcPr>
            <w:tcW w:type="dxa" w:w="720"/>
          </w:tcPr>
          <w:p>
            <w:r>
              <w:rPr>
                <w:sz w:val="18"/>
              </w:rPr>
              <w:t>G5</w:t>
            </w:r>
          </w:p>
        </w:tc>
        <w:tc>
          <w:tcPr>
            <w:tcW w:type="dxa" w:w="720"/>
          </w:tcPr>
          <w:p>
            <w:r>
              <w:rPr>
                <w:sz w:val="18"/>
              </w:rPr>
              <w:t>فريق التحليل SG</w:t>
            </w:r>
          </w:p>
        </w:tc>
        <w:tc>
          <w:tcPr>
            <w:tcW w:type="dxa" w:w="720"/>
          </w:tcPr>
          <w:p>
            <w:r>
              <w:rPr>
                <w:sz w:val="18"/>
              </w:rPr>
              <w:t>مدير الارتباط SG</w:t>
            </w:r>
          </w:p>
        </w:tc>
        <w:tc>
          <w:tcPr>
            <w:tcW w:type="dxa" w:w="720"/>
          </w:tcPr>
          <w:p>
            <w:r>
              <w:rPr>
                <w:sz w:val="18"/>
              </w:rPr>
              <w:t>لا</w:t>
            </w:r>
          </w:p>
        </w:tc>
        <w:tc>
          <w:tcPr>
            <w:tcW w:type="dxa" w:w="720"/>
          </w:tcPr>
          <w:p>
            <w:r>
              <w:rPr>
                <w:sz w:val="18"/>
              </w:rPr>
              <w:t>5 أيام</w:t>
            </w:r>
          </w:p>
        </w:tc>
        <w:tc>
          <w:tcPr>
            <w:tcW w:type="dxa" w:w="720"/>
          </w:tcPr>
          <w:p>
            <w:r>
              <w:rPr>
                <w:sz w:val="18"/>
              </w:rPr>
              <w:t>5 أيام</w:t>
            </w:r>
          </w:p>
        </w:tc>
        <w:tc>
          <w:tcPr>
            <w:tcW w:type="dxa" w:w="720"/>
          </w:tcPr>
          <w:p>
            <w:r>
              <w:rPr>
                <w:sz w:val="18"/>
              </w:rPr>
              <w:t>SMART؛ مدخلات/عمليات/مخرجات/نتائج/أثر</w:t>
            </w:r>
          </w:p>
        </w:tc>
      </w:tr>
    </w:tbl>
    <w:p/>
    <w:p>
      <w:r>
        <w:t>#### 6.3 عملية مراجعة الأقران (Peer Review)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المخرج</w:t>
            </w:r>
          </w:p>
        </w:tc>
        <w:tc>
          <w:tcPr>
            <w:tcW w:type="dxa" w:w="2880"/>
          </w:tcPr>
          <w:p>
            <w:r>
              <w:rPr>
                <w:b/>
                <w:sz w:val="18"/>
              </w:rPr>
              <w:t>سبب الحاجة لمراجعة أقران</w:t>
            </w:r>
          </w:p>
        </w:tc>
        <w:tc>
          <w:tcPr>
            <w:tcW w:type="dxa" w:w="2880"/>
          </w:tcPr>
          <w:p>
            <w:r>
              <w:rPr>
                <w:b/>
                <w:sz w:val="18"/>
              </w:rPr>
              <w:t>نوع المراجع</w:t>
            </w:r>
          </w:p>
        </w:tc>
      </w:tr>
      <w:tr>
        <w:tc>
          <w:tcPr>
            <w:tcW w:type="dxa" w:w="2880"/>
          </w:tcPr>
          <w:p>
            <w:r>
              <w:rPr>
                <w:sz w:val="18"/>
              </w:rPr>
              <w:t>D-7 (الممارسات العالمية الرائدة)</w:t>
            </w:r>
          </w:p>
        </w:tc>
        <w:tc>
          <w:tcPr>
            <w:tcW w:type="dxa" w:w="2880"/>
          </w:tcPr>
          <w:p>
            <w:r>
              <w:rPr>
                <w:sz w:val="18"/>
              </w:rPr>
              <w:t>تعقيد المقارنة عبر 5 دول وضرورة التحقق من دقة التحليل المقارن</w:t>
            </w:r>
          </w:p>
        </w:tc>
        <w:tc>
          <w:tcPr>
            <w:tcW w:type="dxa" w:w="2880"/>
          </w:tcPr>
          <w:p>
            <w:r>
              <w:rPr>
                <w:sz w:val="18"/>
              </w:rPr>
              <w:t>خبير دولي في القطاع غير الربحي (من خارج فريق التنفيذ)</w:t>
            </w:r>
          </w:p>
        </w:tc>
      </w:tr>
      <w:tr>
        <w:tc>
          <w:tcPr>
            <w:tcW w:type="dxa" w:w="2880"/>
          </w:tcPr>
          <w:p>
            <w:r>
              <w:rPr>
                <w:sz w:val="18"/>
              </w:rPr>
              <w:t>D-13 (القائمة النهائية للمنتجات والخدمات المبتكرة)</w:t>
            </w:r>
          </w:p>
        </w:tc>
        <w:tc>
          <w:tcPr>
            <w:tcW w:type="dxa" w:w="2880"/>
          </w:tcPr>
          <w:p>
            <w:r>
              <w:rPr>
                <w:sz w:val="18"/>
              </w:rPr>
              <w:t>المخرج المحوري الذي تُبنى عليه المراحل 3-5</w:t>
            </w:r>
          </w:p>
        </w:tc>
        <w:tc>
          <w:tcPr>
            <w:tcW w:type="dxa" w:w="2880"/>
          </w:tcPr>
          <w:p>
            <w:r>
              <w:rPr>
                <w:sz w:val="18"/>
              </w:rPr>
              <w:t>خبير قطاعي مستقل + مراجعة من مدير الارتباط</w:t>
            </w:r>
          </w:p>
        </w:tc>
      </w:tr>
      <w:tr>
        <w:tc>
          <w:tcPr>
            <w:tcW w:type="dxa" w:w="2880"/>
          </w:tcPr>
          <w:p>
            <w:r>
              <w:rPr>
                <w:sz w:val="18"/>
              </w:rPr>
              <w:t>D-17 (ربط المنتجات بالاحتياجات والآثار المتوقعة)</w:t>
            </w:r>
          </w:p>
        </w:tc>
        <w:tc>
          <w:tcPr>
            <w:tcW w:type="dxa" w:w="2880"/>
          </w:tcPr>
          <w:p>
            <w:r>
              <w:rPr>
                <w:sz w:val="18"/>
              </w:rPr>
              <w:t>تعقيد التحليل السببي وضرورة التحقق من منطقية الربط</w:t>
            </w:r>
          </w:p>
        </w:tc>
        <w:tc>
          <w:tcPr>
            <w:tcW w:type="dxa" w:w="2880"/>
          </w:tcPr>
          <w:p>
            <w:r>
              <w:rPr>
                <w:sz w:val="18"/>
              </w:rPr>
              <w:t>خبير في تحليل الاحتياجات التنموية</w:t>
            </w:r>
          </w:p>
        </w:tc>
      </w:tr>
      <w:tr>
        <w:tc>
          <w:tcPr>
            <w:tcW w:type="dxa" w:w="2880"/>
          </w:tcPr>
          <w:p>
            <w:r>
              <w:rPr>
                <w:sz w:val="18"/>
              </w:rPr>
              <w:t>D-22 (منهجية قياس الأثر والاستدامة)</w:t>
            </w:r>
          </w:p>
        </w:tc>
        <w:tc>
          <w:tcPr>
            <w:tcW w:type="dxa" w:w="2880"/>
          </w:tcPr>
          <w:p>
            <w:r>
              <w:rPr>
                <w:sz w:val="18"/>
              </w:rPr>
              <w:t>أهمية المنهجية لاستدامة المشروع وارتباطها برؤية 2030</w:t>
            </w:r>
          </w:p>
        </w:tc>
        <w:tc>
          <w:tcPr>
            <w:tcW w:type="dxa" w:w="2880"/>
          </w:tcPr>
          <w:p>
            <w:r>
              <w:rPr>
                <w:sz w:val="18"/>
              </w:rPr>
              <w:t>خبير في قياس الأثر الاجتماعي</w:t>
            </w:r>
          </w:p>
        </w:tc>
      </w:tr>
    </w:tbl>
    <w:p/>
    <w:p>
      <w:r>
        <w:t>---</w:t>
        <w:br/>
        <w:t xml:space="preserve"> ### 7. إدارة طلبات التغيير (Change Request Process)</w:t>
        <w:br/>
        <w:t xml:space="preserve"> #### 7.1 تعريف طلب التغيير</w:t>
        <w:br/>
        <w:t xml:space="preserve"> أي تعديل مقترح على العناصر التالية يُعامل كطلب تغيير رسمي ولا يُنفذ دون المرور بالعملية المحددة أدناه:</w:t>
        <w:br/>
        <w:t xml:space="preserve"> - النطاق: إضافة أو حذف أو تعديل مخرجات أو أنشطة أو قطاعات</w:t>
        <w:br/>
        <w:t xml:space="preserve"> - الجدول الزمني: تعديل مواعيد بوابات الحوكمة أو مواعيد تسليم المخرجات</w:t>
        <w:br/>
        <w:t xml:space="preserve"> - الميزانية: أي تعديل في التكلفة الإجمالية أو توزيعها بين المراحل</w:t>
        <w:br/>
        <w:t xml:space="preserve"> - الفريق: تغيير في تشكيل الفريق الرئيسي (استبدال أو إضافة أعضاء)</w:t>
        <w:br/>
        <w:t xml:space="preserve"> - المنهجية: تعديل جوهري في المنهجية المعتمدة في D-1</w:t>
        <w:br/>
        <w:t xml:space="preserve"> #### 7.2 مسار طلب التغيير (4 خطوات)</w:t>
        <w:br/>
        <w:t xml:space="preserve"> **الخطوة 1 — التقديم (Submission):**</w:t>
        <w:br/>
        <w:t xml:space="preserve"> - يحق لأي طرف (SG أو المركز) تقديم طلب تغيير</w:t>
        <w:br/>
        <w:t xml:space="preserve"> - يُستخدم نموذج طلب تغيير موحد (يُعد ضمن D-4 — حوكمة المشروع) يتضمن: رقم الطلب، تاريخ التقديم، مقدم الطلب، وصف التغيير المطلوب بدقة، المبرر، المخرجات المتأثرة (بأرقام D-xx)، الأثر المتوقع المبدئي على الجدول والميزانية</w:t>
        <w:br/>
        <w:t xml:space="preserve"> - يُقدم الطلب لمدير المشروع من الطرف الآخر خلال يوم عمل واحد</w:t>
        <w:br/>
        <w:t xml:space="preserve"> **الخطوة 2 — تقييم الأثر (Impact Assessment):**</w:t>
        <w:br/>
        <w:t xml:space="preserve"> - يُجري فريق SG تقييماً شاملاً للأثر خلال 5 أيام عمل</w:t>
        <w:br/>
        <w:t xml:space="preserve"> - يشمل التقييم: الأثر على الجدول الزمني (بالأيام/الأسابيع مع تحديد المخرجات المتأثرة)، الأثر على الميزانية، الأثر على جودة المخرجات، الأثر على المخاطر، البدائل المتاحة مع تقييم كل بديل</w:t>
        <w:br/>
        <w:t xml:space="preserve"> **الخطوة 3 — الموافقة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حجم التغيير</w:t>
            </w:r>
          </w:p>
        </w:tc>
        <w:tc>
          <w:tcPr>
            <w:tcW w:type="dxa" w:w="2160"/>
          </w:tcPr>
          <w:p>
            <w:r>
              <w:rPr>
                <w:b/>
                <w:sz w:val="18"/>
              </w:rPr>
              <w:t>المعيار</w:t>
            </w:r>
          </w:p>
        </w:tc>
        <w:tc>
          <w:tcPr>
            <w:tcW w:type="dxa" w:w="2160"/>
          </w:tcPr>
          <w:p>
            <w:r>
              <w:rPr>
                <w:b/>
                <w:sz w:val="18"/>
              </w:rPr>
              <w:t>صاحب القرار</w:t>
            </w:r>
          </w:p>
        </w:tc>
        <w:tc>
          <w:tcPr>
            <w:tcW w:type="dxa" w:w="2160"/>
          </w:tcPr>
          <w:p>
            <w:r>
              <w:rPr>
                <w:b/>
                <w:sz w:val="18"/>
              </w:rPr>
              <w:t>مدة القرار</w:t>
            </w:r>
          </w:p>
        </w:tc>
      </w:tr>
      <w:tr>
        <w:tc>
          <w:tcPr>
            <w:tcW w:type="dxa" w:w="2160"/>
          </w:tcPr>
          <w:p>
            <w:r>
              <w:rPr>
                <w:sz w:val="18"/>
              </w:rPr>
              <w:t>صغير</w:t>
            </w:r>
          </w:p>
        </w:tc>
        <w:tc>
          <w:tcPr>
            <w:tcW w:type="dxa" w:w="2160"/>
          </w:tcPr>
          <w:p>
            <w:r>
              <w:rPr>
                <w:sz w:val="18"/>
              </w:rPr>
              <w:t>لا يؤثر على النطاق أو الميزانية، تأثير على الجدول &lt; أسبوع</w:t>
            </w:r>
          </w:p>
        </w:tc>
        <w:tc>
          <w:tcPr>
            <w:tcW w:type="dxa" w:w="2160"/>
          </w:tcPr>
          <w:p>
            <w:r>
              <w:rPr>
                <w:sz w:val="18"/>
              </w:rPr>
              <w:t>مدير المشروع من الطرفين</w:t>
            </w:r>
          </w:p>
        </w:tc>
        <w:tc>
          <w:tcPr>
            <w:tcW w:type="dxa" w:w="2160"/>
          </w:tcPr>
          <w:p>
            <w:r>
              <w:rPr>
                <w:sz w:val="18"/>
              </w:rPr>
              <w:t>2 يوم عمل</w:t>
            </w:r>
          </w:p>
        </w:tc>
      </w:tr>
      <w:tr>
        <w:tc>
          <w:tcPr>
            <w:tcW w:type="dxa" w:w="2160"/>
          </w:tcPr>
          <w:p>
            <w:r>
              <w:rPr>
                <w:sz w:val="18"/>
              </w:rPr>
              <w:t>متوسط</w:t>
            </w:r>
          </w:p>
        </w:tc>
        <w:tc>
          <w:tcPr>
            <w:tcW w:type="dxa" w:w="2160"/>
          </w:tcPr>
          <w:p>
            <w:r>
              <w:rPr>
                <w:sz w:val="18"/>
              </w:rPr>
              <w:t>تأثير على الجدول 1-3 أسابيع أو الميزانية &lt; 10%</w:t>
            </w:r>
          </w:p>
        </w:tc>
        <w:tc>
          <w:tcPr>
            <w:tcW w:type="dxa" w:w="2160"/>
          </w:tcPr>
          <w:p>
            <w:r>
              <w:rPr>
                <w:sz w:val="18"/>
              </w:rPr>
              <w:t>راعي المشروع</w:t>
            </w:r>
          </w:p>
        </w:tc>
        <w:tc>
          <w:tcPr>
            <w:tcW w:type="dxa" w:w="2160"/>
          </w:tcPr>
          <w:p>
            <w:r>
              <w:rPr>
                <w:sz w:val="18"/>
              </w:rPr>
              <w:t>5 أيام عمل</w:t>
            </w:r>
          </w:p>
        </w:tc>
      </w:tr>
      <w:tr>
        <w:tc>
          <w:tcPr>
            <w:tcW w:type="dxa" w:w="2160"/>
          </w:tcPr>
          <w:p>
            <w:r>
              <w:rPr>
                <w:sz w:val="18"/>
              </w:rPr>
              <w:t>كبير</w:t>
            </w:r>
          </w:p>
        </w:tc>
        <w:tc>
          <w:tcPr>
            <w:tcW w:type="dxa" w:w="2160"/>
          </w:tcPr>
          <w:p>
            <w:r>
              <w:rPr>
                <w:sz w:val="18"/>
              </w:rPr>
              <w:t>تأثير على النطاق أو الجدول &gt; 3 أسابيع أو الميزانية &gt; 10%</w:t>
            </w:r>
          </w:p>
        </w:tc>
        <w:tc>
          <w:tcPr>
            <w:tcW w:type="dxa" w:w="2160"/>
          </w:tcPr>
          <w:p>
            <w:r>
              <w:rPr>
                <w:sz w:val="18"/>
              </w:rPr>
              <w:t>اللجنة التوجيهية (أغلبية ثلثين)</w:t>
            </w:r>
          </w:p>
        </w:tc>
        <w:tc>
          <w:tcPr>
            <w:tcW w:type="dxa" w:w="2160"/>
          </w:tcPr>
          <w:p>
            <w:r>
              <w:rPr>
                <w:sz w:val="18"/>
              </w:rPr>
              <w:t>اجتماع طارئ خلال أسبوع</w:t>
            </w:r>
          </w:p>
        </w:tc>
      </w:tr>
    </w:tbl>
    <w:p/>
    <w:p>
      <w:r>
        <w:t>**الخطوة 4 — التنفيذ والتوثيق (Implementation &amp; Documentation):**</w:t>
        <w:br/>
        <w:t xml:space="preserve"> - بعد الموافقة: يُحدَّث الجدول الزمني وخطة المشروع رسمياً</w:t>
        <w:br/>
        <w:t xml:space="preserve"> - يُسجل التغيير في سجل طلبات التغيير مع رقم مرجعي فريد (CR-001, CR-002, . . . )</w:t>
        <w:br/>
        <w:t xml:space="preserve"> - يُبلَّغ جميع أصحاب المصلحة بالتغيير المعتمد عبر إخطار رسمي</w:t>
        <w:br/>
        <w:t xml:space="preserve"> - يُعرض ملخص سجل طلبات التغيير في التقرير الشهري للجنة التوجيهية</w:t>
        <w:br/>
        <w:t xml:space="preserve"> ---</w:t>
        <w:br/>
        <w:t xml:space="preserve"> ### 8. هيكل مكتب إدارة المشروع (PMO Structure)</w:t>
        <w:br/>
        <w:t xml:space="preserve"> #### 8.1 الهيكل التنظيمي — نموذج مشترك (Joint PMO)</w:t>
        <w:br/>
        <w:t xml:space="preserve"> **من جانب SG:**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الدور</w:t>
            </w:r>
          </w:p>
        </w:tc>
        <w:tc>
          <w:tcPr>
            <w:tcW w:type="dxa" w:w="2880"/>
          </w:tcPr>
          <w:p>
            <w:r>
              <w:rPr>
                <w:b/>
                <w:sz w:val="18"/>
              </w:rPr>
              <w:t>المسؤوليات الرئيسية</w:t>
            </w:r>
          </w:p>
        </w:tc>
        <w:tc>
          <w:tcPr>
            <w:tcW w:type="dxa" w:w="2880"/>
          </w:tcPr>
          <w:p>
            <w:r>
              <w:rPr>
                <w:b/>
                <w:sz w:val="18"/>
              </w:rPr>
              <w:t>الالتزام الزمني</w:t>
            </w:r>
          </w:p>
        </w:tc>
      </w:tr>
      <w:tr>
        <w:tc>
          <w:tcPr>
            <w:tcW w:type="dxa" w:w="2880"/>
          </w:tcPr>
          <w:p>
            <w:r>
              <w:rPr>
                <w:sz w:val="18"/>
              </w:rPr>
              <w:t>مدير المشروع (SG Project Director)</w:t>
            </w:r>
          </w:p>
        </w:tc>
        <w:tc>
          <w:tcPr>
            <w:tcW w:type="dxa" w:w="2880"/>
          </w:tcPr>
          <w:p>
            <w:r>
              <w:rPr>
                <w:sz w:val="18"/>
              </w:rPr>
              <w:t>التخطيط التفصيلي، متابعة التنفيذ اليومي، إعداد التقارير الأسبوعية والشهرية، إدارة المخاطر والقضايا، تنسيق الفريق الداخلي، إدارة بوابات الحوكمة</w:t>
            </w:r>
          </w:p>
        </w:tc>
        <w:tc>
          <w:tcPr>
            <w:tcW w:type="dxa" w:w="2880"/>
          </w:tcPr>
          <w:p>
            <w:r>
              <w:rPr>
                <w:sz w:val="18"/>
              </w:rPr>
              <w:t>تفرغ كامل طوال 12 شهراً</w:t>
            </w:r>
          </w:p>
        </w:tc>
      </w:tr>
      <w:tr>
        <w:tc>
          <w:tcPr>
            <w:tcW w:type="dxa" w:w="2880"/>
          </w:tcPr>
          <w:p>
            <w:r>
              <w:rPr>
                <w:sz w:val="18"/>
              </w:rPr>
              <w:t>مدير الارتباط (SG Engagement Manager)</w:t>
            </w:r>
          </w:p>
        </w:tc>
        <w:tc>
          <w:tcPr>
            <w:tcW w:type="dxa" w:w="2880"/>
          </w:tcPr>
          <w:p>
            <w:r>
              <w:rPr>
                <w:sz w:val="18"/>
              </w:rPr>
              <w:t>ضمان الجودة (مراجعة مستقلة لجميع المخرجات)، العلاقة الاستراتيجية مع العميل، حل القضايا المصعّدة (المستوى 2)، مراجعة المخرجات النهائية، الإشراف على المخاطر الاستراتيجية</w:t>
            </w:r>
          </w:p>
        </w:tc>
        <w:tc>
          <w:tcPr>
            <w:tcW w:type="dxa" w:w="2880"/>
          </w:tcPr>
          <w:p>
            <w:r>
              <w:rPr>
                <w:sz w:val="18"/>
              </w:rPr>
              <w:t>40-60% من الوقت حسب المرحلة</w:t>
            </w:r>
          </w:p>
        </w:tc>
      </w:tr>
    </w:tbl>
    <w:p/>
    <w:p>
      <w:r>
        <w:t>**من جانب المركز الوطني:**</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الدور</w:t>
            </w:r>
          </w:p>
        </w:tc>
        <w:tc>
          <w:tcPr>
            <w:tcW w:type="dxa" w:w="4320"/>
          </w:tcPr>
          <w:p>
            <w:r>
              <w:rPr>
                <w:b/>
                <w:sz w:val="18"/>
              </w:rPr>
              <w:t>المسؤوليات الرئيسية</w:t>
            </w:r>
          </w:p>
        </w:tc>
      </w:tr>
      <w:tr>
        <w:tc>
          <w:tcPr>
            <w:tcW w:type="dxa" w:w="4320"/>
          </w:tcPr>
          <w:p>
            <w:r>
              <w:rPr>
                <w:sz w:val="18"/>
              </w:rPr>
              <w:t>منسق المشروع (Client PMO Lead)</w:t>
            </w:r>
          </w:p>
        </w:tc>
        <w:tc>
          <w:tcPr>
            <w:tcW w:type="dxa" w:w="4320"/>
          </w:tcPr>
          <w:p>
            <w:r>
              <w:rPr>
                <w:sz w:val="18"/>
              </w:rPr>
              <w:t>تسهيل الوصول إلى البيانات والمعلومات الداخلية والخارجية، تنسيق المقابلات مع أصحاب المصلحة، تنسيق ورش العمل لوجستياً، متابعة التزامات المركز، تنسيق المتدربين (SI-8)، تسهيل التواصل مع الجهات الحكومية ذات العلاقة</w:t>
            </w:r>
          </w:p>
        </w:tc>
      </w:tr>
    </w:tbl>
    <w:p/>
    <w:p>
      <w:r>
        <w:t>#### 8.2 الأدوات والمنصات</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الأداة</w:t>
            </w:r>
          </w:p>
        </w:tc>
        <w:tc>
          <w:tcPr>
            <w:tcW w:type="dxa" w:w="2880"/>
          </w:tcPr>
          <w:p>
            <w:r>
              <w:rPr>
                <w:b/>
                <w:sz w:val="18"/>
              </w:rPr>
              <w:t>الغرض</w:t>
            </w:r>
          </w:p>
        </w:tc>
        <w:tc>
          <w:tcPr>
            <w:tcW w:type="dxa" w:w="2880"/>
          </w:tcPr>
          <w:p>
            <w:r>
              <w:rPr>
                <w:b/>
                <w:sz w:val="18"/>
              </w:rPr>
              <w:t>المستخدمون الرئيسيون</w:t>
            </w:r>
          </w:p>
        </w:tc>
      </w:tr>
      <w:tr>
        <w:tc>
          <w:tcPr>
            <w:tcW w:type="dxa" w:w="2880"/>
          </w:tcPr>
          <w:p>
            <w:r>
              <w:rPr>
                <w:sz w:val="18"/>
              </w:rPr>
              <w:t>منصة إدارة المشروع (MS Project أو ما يعادلها)</w:t>
            </w:r>
          </w:p>
        </w:tc>
        <w:tc>
          <w:tcPr>
            <w:tcW w:type="dxa" w:w="2880"/>
          </w:tcPr>
          <w:p>
            <w:r>
              <w:rPr>
                <w:sz w:val="18"/>
              </w:rPr>
              <w:t>الجدول الزمني التفصيلي، تتبع المهام والمعالم، تحليل المسار الحرج، مخططات Gantt</w:t>
            </w:r>
          </w:p>
        </w:tc>
        <w:tc>
          <w:tcPr>
            <w:tcW w:type="dxa" w:w="2880"/>
          </w:tcPr>
          <w:p>
            <w:r>
              <w:rPr>
                <w:sz w:val="18"/>
              </w:rPr>
              <w:t>فريق PMO (SG + العميل)</w:t>
            </w:r>
          </w:p>
        </w:tc>
      </w:tr>
      <w:tr>
        <w:tc>
          <w:tcPr>
            <w:tcW w:type="dxa" w:w="2880"/>
          </w:tcPr>
          <w:p>
            <w:r>
              <w:rPr>
                <w:sz w:val="18"/>
              </w:rPr>
              <w:t>منصة مشاركة الملفات الآمنة (SharePoint أو ما يعادلها)</w:t>
            </w:r>
          </w:p>
        </w:tc>
        <w:tc>
          <w:tcPr>
            <w:tcW w:type="dxa" w:w="2880"/>
          </w:tcPr>
          <w:p>
            <w:r>
              <w:rPr>
                <w:sz w:val="18"/>
              </w:rPr>
              <w:t>مستودع المخرجات المركزي، إدارة الإصدارات (v0.1, v0.2, v1.0)، مشاركة المسودات مع العميل</w:t>
            </w:r>
          </w:p>
        </w:tc>
        <w:tc>
          <w:tcPr>
            <w:tcW w:type="dxa" w:w="2880"/>
          </w:tcPr>
          <w:p>
            <w:r>
              <w:rPr>
                <w:sz w:val="18"/>
              </w:rPr>
              <w:t>جميع أعضاء الفريق</w:t>
            </w:r>
          </w:p>
        </w:tc>
      </w:tr>
      <w:tr>
        <w:tc>
          <w:tcPr>
            <w:tcW w:type="dxa" w:w="2880"/>
          </w:tcPr>
          <w:p>
            <w:r>
              <w:rPr>
                <w:sz w:val="18"/>
              </w:rPr>
              <w:t>سجل المخاطر والقضايا وطلبات التغيير</w:t>
            </w:r>
          </w:p>
        </w:tc>
        <w:tc>
          <w:tcPr>
            <w:tcW w:type="dxa" w:w="2880"/>
          </w:tcPr>
          <w:p>
            <w:r>
              <w:rPr>
                <w:sz w:val="18"/>
              </w:rPr>
              <w:t>توثيق ومتابعة المخاطر والقضايا وطلبات التغيير مع تحديثات أسبوعية</w:t>
            </w:r>
          </w:p>
        </w:tc>
        <w:tc>
          <w:tcPr>
            <w:tcW w:type="dxa" w:w="2880"/>
          </w:tcPr>
          <w:p>
            <w:r>
              <w:rPr>
                <w:sz w:val="18"/>
              </w:rPr>
              <w:t>فريق PMO</w:t>
            </w:r>
          </w:p>
        </w:tc>
      </w:tr>
      <w:tr>
        <w:tc>
          <w:tcPr>
            <w:tcW w:type="dxa" w:w="2880"/>
          </w:tcPr>
          <w:p>
            <w:r>
              <w:rPr>
                <w:sz w:val="18"/>
              </w:rPr>
              <w:t>منصة الاتصال (Microsoft Teams أو ما يعادلها)</w:t>
            </w:r>
          </w:p>
        </w:tc>
        <w:tc>
          <w:tcPr>
            <w:tcW w:type="dxa" w:w="2880"/>
          </w:tcPr>
          <w:p>
            <w:r>
              <w:rPr>
                <w:sz w:val="18"/>
              </w:rPr>
              <w:t>الاجتماعات الافتراضية، التواصل اليومي، مشاركة التحديثات السريعة</w:t>
            </w:r>
          </w:p>
        </w:tc>
        <w:tc>
          <w:tcPr>
            <w:tcW w:type="dxa" w:w="2880"/>
          </w:tcPr>
          <w:p>
            <w:r>
              <w:rPr>
                <w:sz w:val="18"/>
              </w:rPr>
              <w:t>جميع أعضاء الفريق</w:t>
            </w:r>
          </w:p>
        </w:tc>
      </w:tr>
      <w:tr>
        <w:tc>
          <w:tcPr>
            <w:tcW w:type="dxa" w:w="2880"/>
          </w:tcPr>
          <w:p>
            <w:r>
              <w:rPr>
                <w:sz w:val="18"/>
              </w:rPr>
              <w:t>جدول تتبع الملاحظات (Comment Tracker)</w:t>
            </w:r>
          </w:p>
        </w:tc>
        <w:tc>
          <w:tcPr>
            <w:tcW w:type="dxa" w:w="2880"/>
          </w:tcPr>
          <w:p>
            <w:r>
              <w:rPr>
                <w:sz w:val="18"/>
              </w:rPr>
              <w:t>توثيق ملاحظات العميل على كل مخرج وكيفية معالجتها</w:t>
            </w:r>
          </w:p>
        </w:tc>
        <w:tc>
          <w:tcPr>
            <w:tcW w:type="dxa" w:w="2880"/>
          </w:tcPr>
          <w:p>
            <w:r>
              <w:rPr>
                <w:sz w:val="18"/>
              </w:rPr>
              <w:t>فريق QA + مكتب إدارة المشروع (العميل)</w:t>
            </w:r>
          </w:p>
        </w:tc>
      </w:tr>
      <w:tr>
        <w:tc>
          <w:tcPr>
            <w:tcW w:type="dxa" w:w="2880"/>
          </w:tcPr>
          <w:p>
            <w:r>
              <w:rPr>
                <w:sz w:val="18"/>
              </w:rPr>
              <w:t>لوحة متابعة المخرجات (Deliverable Dashboard)</w:t>
            </w:r>
          </w:p>
        </w:tc>
        <w:tc>
          <w:tcPr>
            <w:tcW w:type="dxa" w:w="2880"/>
          </w:tcPr>
          <w:p>
            <w:r>
              <w:rPr>
                <w:sz w:val="18"/>
              </w:rPr>
              <w:t>عرض مرئي لحالة كل مخرج من D-1 إلى D-23 بألوان (أخضر/أصفر/أحمر)</w:t>
            </w:r>
          </w:p>
        </w:tc>
        <w:tc>
          <w:tcPr>
            <w:tcW w:type="dxa" w:w="2880"/>
          </w:tcPr>
          <w:p>
            <w:r>
              <w:rPr>
                <w:sz w:val="18"/>
              </w:rPr>
              <w:t>اللجنة التوجيهية + فريق PMO</w:t>
            </w:r>
          </w:p>
        </w:tc>
      </w:tr>
    </w:tbl>
    <w:p/>
    <w:p>
      <w:r>
        <w:t>#### 8.3 إيقاع التنسيق الداخلي (Internal Sync Cadence)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الاجتماع</w:t>
            </w:r>
          </w:p>
        </w:tc>
        <w:tc>
          <w:tcPr>
            <w:tcW w:type="dxa" w:w="1440"/>
          </w:tcPr>
          <w:p>
            <w:r>
              <w:rPr>
                <w:b/>
                <w:sz w:val="18"/>
              </w:rPr>
              <w:t>التكرار</w:t>
            </w:r>
          </w:p>
        </w:tc>
        <w:tc>
          <w:tcPr>
            <w:tcW w:type="dxa" w:w="1440"/>
          </w:tcPr>
          <w:p>
            <w:r>
              <w:rPr>
                <w:b/>
                <w:sz w:val="18"/>
              </w:rPr>
              <w:t>المدة</w:t>
            </w:r>
          </w:p>
        </w:tc>
        <w:tc>
          <w:tcPr>
            <w:tcW w:type="dxa" w:w="1440"/>
          </w:tcPr>
          <w:p>
            <w:r>
              <w:rPr>
                <w:b/>
                <w:sz w:val="18"/>
              </w:rPr>
              <w:t>المشاركون</w:t>
            </w:r>
          </w:p>
        </w:tc>
        <w:tc>
          <w:tcPr>
            <w:tcW w:type="dxa" w:w="1440"/>
          </w:tcPr>
          <w:p>
            <w:r>
              <w:rPr>
                <w:b/>
                <w:sz w:val="18"/>
              </w:rPr>
              <w:t>الغرض</w:t>
            </w:r>
          </w:p>
        </w:tc>
        <w:tc>
          <w:tcPr>
            <w:tcW w:type="dxa" w:w="1440"/>
          </w:tcPr>
          <w:p>
            <w:r>
              <w:rPr>
                <w:b/>
                <w:sz w:val="18"/>
              </w:rPr>
              <w:t>المخرج</w:t>
            </w:r>
          </w:p>
        </w:tc>
      </w:tr>
      <w:tr>
        <w:tc>
          <w:tcPr>
            <w:tcW w:type="dxa" w:w="1440"/>
          </w:tcPr>
          <w:p>
            <w:r>
              <w:rPr>
                <w:sz w:val="18"/>
              </w:rPr>
              <w:t>اجتماع الفريق اليومي (Daily Standup)</w:t>
            </w:r>
          </w:p>
        </w:tc>
        <w:tc>
          <w:tcPr>
            <w:tcW w:type="dxa" w:w="1440"/>
          </w:tcPr>
          <w:p>
            <w:r>
              <w:rPr>
                <w:sz w:val="18"/>
              </w:rPr>
              <w:t>يومياً</w:t>
            </w:r>
          </w:p>
        </w:tc>
        <w:tc>
          <w:tcPr>
            <w:tcW w:type="dxa" w:w="1440"/>
          </w:tcPr>
          <w:p>
            <w:r>
              <w:rPr>
                <w:sz w:val="18"/>
              </w:rPr>
              <w:t>15 دقيقة</w:t>
            </w:r>
          </w:p>
        </w:tc>
        <w:tc>
          <w:tcPr>
            <w:tcW w:type="dxa" w:w="1440"/>
          </w:tcPr>
          <w:p>
            <w:r>
              <w:rPr>
                <w:sz w:val="18"/>
              </w:rPr>
              <w:t>فريق SG الميداني</w:t>
            </w:r>
          </w:p>
        </w:tc>
        <w:tc>
          <w:tcPr>
            <w:tcW w:type="dxa" w:w="1440"/>
          </w:tcPr>
          <w:p>
            <w:r>
              <w:rPr>
                <w:sz w:val="18"/>
              </w:rPr>
              <w:t>مراجعة مهام اليوم، تحديد العوائق، تنسيق سريع</w:t>
            </w:r>
          </w:p>
        </w:tc>
        <w:tc>
          <w:tcPr>
            <w:tcW w:type="dxa" w:w="1440"/>
          </w:tcPr>
          <w:p>
            <w:r>
              <w:rPr>
                <w:sz w:val="18"/>
              </w:rPr>
              <w:t>قائمة عوائق للحل</w:t>
            </w:r>
          </w:p>
        </w:tc>
      </w:tr>
      <w:tr>
        <w:tc>
          <w:tcPr>
            <w:tcW w:type="dxa" w:w="1440"/>
          </w:tcPr>
          <w:p>
            <w:r>
              <w:rPr>
                <w:sz w:val="18"/>
              </w:rPr>
              <w:t>اجتماع التنسيق الأسبوعي الداخلي</w:t>
            </w:r>
          </w:p>
        </w:tc>
        <w:tc>
          <w:tcPr>
            <w:tcW w:type="dxa" w:w="1440"/>
          </w:tcPr>
          <w:p>
            <w:r>
              <w:rPr>
                <w:sz w:val="18"/>
              </w:rPr>
              <w:t>أسبوعياً (الأحد)</w:t>
            </w:r>
          </w:p>
        </w:tc>
        <w:tc>
          <w:tcPr>
            <w:tcW w:type="dxa" w:w="1440"/>
          </w:tcPr>
          <w:p>
            <w:r>
              <w:rPr>
                <w:sz w:val="18"/>
              </w:rPr>
              <w:t>ساعة</w:t>
            </w:r>
          </w:p>
        </w:tc>
        <w:tc>
          <w:tcPr>
            <w:tcW w:type="dxa" w:w="1440"/>
          </w:tcPr>
          <w:p>
            <w:r>
              <w:rPr>
                <w:sz w:val="18"/>
              </w:rPr>
              <w:t>مدير المشروع + قادة المسارات (حصر، مقارنات، تحليل)</w:t>
            </w:r>
          </w:p>
        </w:tc>
        <w:tc>
          <w:tcPr>
            <w:tcW w:type="dxa" w:w="1440"/>
          </w:tcPr>
          <w:p>
            <w:r>
              <w:rPr>
                <w:sz w:val="18"/>
              </w:rPr>
              <w:t>مراجعة التقدم الأسبوعي، تخطيط الأسبوع القادم، تحديث الجدول</w:t>
            </w:r>
          </w:p>
        </w:tc>
        <w:tc>
          <w:tcPr>
            <w:tcW w:type="dxa" w:w="1440"/>
          </w:tcPr>
          <w:p>
            <w:r>
              <w:rPr>
                <w:sz w:val="18"/>
              </w:rPr>
              <w:t>تقرير أسبوعي داخلي</w:t>
            </w:r>
          </w:p>
        </w:tc>
      </w:tr>
      <w:tr>
        <w:tc>
          <w:tcPr>
            <w:tcW w:type="dxa" w:w="1440"/>
          </w:tcPr>
          <w:p>
            <w:r>
              <w:rPr>
                <w:sz w:val="18"/>
              </w:rPr>
              <w:t>اجتماع ضمان الجودة</w:t>
            </w:r>
          </w:p>
        </w:tc>
        <w:tc>
          <w:tcPr>
            <w:tcW w:type="dxa" w:w="1440"/>
          </w:tcPr>
          <w:p>
            <w:r>
              <w:rPr>
                <w:sz w:val="18"/>
              </w:rPr>
              <w:t>أسبوعياً (الثلاثاء)</w:t>
            </w:r>
          </w:p>
        </w:tc>
        <w:tc>
          <w:tcPr>
            <w:tcW w:type="dxa" w:w="1440"/>
          </w:tcPr>
          <w:p>
            <w:r>
              <w:rPr>
                <w:sz w:val="18"/>
              </w:rPr>
              <w:t>ساعة</w:t>
            </w:r>
          </w:p>
        </w:tc>
        <w:tc>
          <w:tcPr>
            <w:tcW w:type="dxa" w:w="1440"/>
          </w:tcPr>
          <w:p>
            <w:r>
              <w:rPr>
                <w:sz w:val="18"/>
              </w:rPr>
              <w:t>مدير الارتباط + مدير المشروع</w:t>
            </w:r>
          </w:p>
        </w:tc>
        <w:tc>
          <w:tcPr>
            <w:tcW w:type="dxa" w:w="1440"/>
          </w:tcPr>
          <w:p>
            <w:r>
              <w:rPr>
                <w:sz w:val="18"/>
              </w:rPr>
              <w:t>مراجعة المسودات الجاهزة، تقييم الجودة مقابل المعايير</w:t>
            </w:r>
          </w:p>
        </w:tc>
        <w:tc>
          <w:tcPr>
            <w:tcW w:type="dxa" w:w="1440"/>
          </w:tcPr>
          <w:p>
            <w:r>
              <w:rPr>
                <w:sz w:val="18"/>
              </w:rPr>
              <w:t>قرارات QA موثقة</w:t>
            </w:r>
          </w:p>
        </w:tc>
      </w:tr>
      <w:tr>
        <w:tc>
          <w:tcPr>
            <w:tcW w:type="dxa" w:w="1440"/>
          </w:tcPr>
          <w:p>
            <w:r>
              <w:rPr>
                <w:sz w:val="18"/>
              </w:rPr>
              <w:t>اجتماع المخاطر</w:t>
            </w:r>
          </w:p>
        </w:tc>
        <w:tc>
          <w:tcPr>
            <w:tcW w:type="dxa" w:w="1440"/>
          </w:tcPr>
          <w:p>
            <w:r>
              <w:rPr>
                <w:sz w:val="18"/>
              </w:rPr>
              <w:t>نصف شهري</w:t>
            </w:r>
          </w:p>
        </w:tc>
        <w:tc>
          <w:tcPr>
            <w:tcW w:type="dxa" w:w="1440"/>
          </w:tcPr>
          <w:p>
            <w:r>
              <w:rPr>
                <w:sz w:val="18"/>
              </w:rPr>
              <w:t>30 دقيقة</w:t>
            </w:r>
          </w:p>
        </w:tc>
        <w:tc>
          <w:tcPr>
            <w:tcW w:type="dxa" w:w="1440"/>
          </w:tcPr>
          <w:p>
            <w:r>
              <w:rPr>
                <w:sz w:val="18"/>
              </w:rPr>
              <w:t>مدير المشروع + فريق PMO</w:t>
            </w:r>
          </w:p>
        </w:tc>
        <w:tc>
          <w:tcPr>
            <w:tcW w:type="dxa" w:w="1440"/>
          </w:tcPr>
          <w:p>
            <w:r>
              <w:rPr>
                <w:sz w:val="18"/>
              </w:rPr>
              <w:t>تحديث سجل المخاطر، مراجعة خطط التخفيف، تحديد مخاطر جديدة</w:t>
            </w:r>
          </w:p>
        </w:tc>
        <w:tc>
          <w:tcPr>
            <w:tcW w:type="dxa" w:w="1440"/>
          </w:tcPr>
          <w:p>
            <w:r>
              <w:rPr>
                <w:sz w:val="18"/>
              </w:rPr>
              <w:t>سجل مخاطر محدث</w:t>
            </w:r>
          </w:p>
        </w:tc>
      </w:tr>
      <w:tr>
        <w:tc>
          <w:tcPr>
            <w:tcW w:type="dxa" w:w="1440"/>
          </w:tcPr>
          <w:p>
            <w:r>
              <w:rPr>
                <w:sz w:val="18"/>
              </w:rPr>
              <w:t>اجتماع التنسيق المشترك (SG + العميل)</w:t>
            </w:r>
          </w:p>
        </w:tc>
        <w:tc>
          <w:tcPr>
            <w:tcW w:type="dxa" w:w="1440"/>
          </w:tcPr>
          <w:p>
            <w:r>
              <w:rPr>
                <w:sz w:val="18"/>
              </w:rPr>
              <w:t>أسبوعياً (الأربعاء)</w:t>
            </w:r>
          </w:p>
        </w:tc>
        <w:tc>
          <w:tcPr>
            <w:tcW w:type="dxa" w:w="1440"/>
          </w:tcPr>
          <w:p>
            <w:r>
              <w:rPr>
                <w:sz w:val="18"/>
              </w:rPr>
              <w:t>ساعة</w:t>
            </w:r>
          </w:p>
        </w:tc>
        <w:tc>
          <w:tcPr>
            <w:tcW w:type="dxa" w:w="1440"/>
          </w:tcPr>
          <w:p>
            <w:r>
              <w:rPr>
                <w:sz w:val="18"/>
              </w:rPr>
              <w:t>مديرا المشروع من الطرفين</w:t>
            </w:r>
          </w:p>
        </w:tc>
        <w:tc>
          <w:tcPr>
            <w:tcW w:type="dxa" w:w="1440"/>
          </w:tcPr>
          <w:p>
            <w:r>
              <w:rPr>
                <w:sz w:val="18"/>
              </w:rPr>
              <w:t>متابعة الالتزامات المتبادلة، تنسيق المقابلات والورش، حل القضايا التشغيلية</w:t>
            </w:r>
          </w:p>
        </w:tc>
        <w:tc>
          <w:tcPr>
            <w:tcW w:type="dxa" w:w="1440"/>
          </w:tcPr>
          <w:p>
            <w:r>
              <w:rPr>
                <w:sz w:val="18"/>
              </w:rPr>
              <w:t>محضر متابعة مشترك</w:t>
            </w:r>
          </w:p>
        </w:tc>
      </w:tr>
    </w:tbl>
    <w:p/>
    <w:p>
      <w:r>
        <w:t>#### 8.4 بروتوكول إدارة المعرفة ونقلها (SI-8)</w:t>
        <w:br/>
        <w:t xml:space="preserve"> لضمان تحقيق متطلب نقل المعرفة وبناء القدرات (SI-8 — DIRECT_RFP_FACT: تدريب وتطوير العاملين في المركز عبر جميع مراحل المشروع):</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**مبدأ التصميم:** جميع المخرجات تُعد بصيغ قابلة لإعادة الاستخدام والتحديث من فريق المركز باستقلالية بعد انتهاء المشروع.</w:t>
            </w:r>
          </w:p>
        </w:tc>
        <w:tc>
          <w:tcPr>
            <w:tcW w:type="dxa" w:w="2880"/>
          </w:tcPr>
          <w:p>
            <w:r>
              <w:rPr>
                <w:b/>
                <w:sz w:val="18"/>
              </w:rPr>
              <w:t>العنصر</w:t>
            </w:r>
          </w:p>
        </w:tc>
        <w:tc>
          <w:tcPr>
            <w:tcW w:type="dxa" w:w="2880"/>
          </w:tcPr>
          <w:p>
            <w:r>
              <w:rPr>
                <w:b/>
                <w:sz w:val="18"/>
              </w:rPr>
              <w:t>التفصيل</w:t>
            </w:r>
          </w:p>
        </w:tc>
      </w:tr>
      <w:tr>
        <w:tc>
          <w:tcPr>
            <w:tcW w:type="dxa" w:w="2880"/>
          </w:tcPr>
          <w:p>
            <w:r>
              <w:rPr>
                <w:sz w:val="18"/>
              </w:rPr>
              <w:t>**قوالب ونماذج قابلة لإعادة الاستخدام**</w:t>
            </w:r>
          </w:p>
        </w:tc>
        <w:tc>
          <w:tcPr>
            <w:tcW w:type="dxa" w:w="2880"/>
          </w:tcPr>
          <w:p>
            <w:r>
              <w:rPr>
                <w:sz w:val="18"/>
              </w:rPr>
              <w:t>يُرفق مع كل مخرج تحليلي القالب أو النموذج المستخدم في إعداده بصيغة قابلة للتعديل (Excel, Word) مع تعليمات الاستخدام</w:t>
            </w:r>
          </w:p>
        </w:tc>
        <w:tc>
          <w:tcPr>
            <w:tcW w:type="dxa" w:w="2880"/>
          </w:tcPr>
          <w:p/>
        </w:tc>
      </w:tr>
      <w:tr>
        <w:tc>
          <w:tcPr>
            <w:tcW w:type="dxa" w:w="2880"/>
          </w:tcPr>
          <w:p>
            <w:r>
              <w:rPr>
                <w:sz w:val="18"/>
              </w:rPr>
              <w:t>**أدلة تشغيلية مختصرة**</w:t>
            </w:r>
          </w:p>
        </w:tc>
        <w:tc>
          <w:tcPr>
            <w:tcW w:type="dxa" w:w="2880"/>
          </w:tcPr>
          <w:p>
            <w:r>
              <w:rPr>
                <w:sz w:val="18"/>
              </w:rPr>
              <w:t>يُرفق مع كل مخرج دليل استخدام مختصر (2-3 صفحات) يشرح: الغرض، كيفية التحديث، مصادر البيانات، تكرار التحديث المقترح</w:t>
            </w:r>
          </w:p>
        </w:tc>
        <w:tc>
          <w:tcPr>
            <w:tcW w:type="dxa" w:w="2880"/>
          </w:tcPr>
          <w:p/>
        </w:tc>
      </w:tr>
      <w:tr>
        <w:tc>
          <w:tcPr>
            <w:tcW w:type="dxa" w:w="2880"/>
          </w:tcPr>
          <w:p>
            <w:r>
              <w:rPr>
                <w:sz w:val="18"/>
              </w:rPr>
              <w:t>**ورش عمل تدريبية مصاحبة لكل مرحلة**</w:t>
            </w:r>
          </w:p>
        </w:tc>
        <w:tc>
          <w:tcPr>
            <w:tcW w:type="dxa" w:w="2880"/>
          </w:tcPr>
          <w:p>
            <w:r>
              <w:rPr>
                <w:sz w:val="18"/>
              </w:rPr>
              <w:t>ورشة تدريبية تطبيقية واحدة على الأقل في كل مرحلة، يشارك فيها فريق المركز كمنفذين مشاركين (وليس متلقين فقط)</w:t>
            </w:r>
          </w:p>
        </w:tc>
        <w:tc>
          <w:tcPr>
            <w:tcW w:type="dxa" w:w="2880"/>
          </w:tcPr>
          <w:p/>
        </w:tc>
      </w:tr>
      <w:tr>
        <w:tc>
          <w:tcPr>
            <w:tcW w:type="dxa" w:w="2880"/>
          </w:tcPr>
          <w:p>
            <w:r>
              <w:rPr>
                <w:sz w:val="18"/>
              </w:rPr>
              <w:t>**تسجيل ورش العمل**</w:t>
            </w:r>
          </w:p>
        </w:tc>
        <w:tc>
          <w:tcPr>
            <w:tcW w:type="dxa" w:w="2880"/>
          </w:tcPr>
          <w:p>
            <w:r>
              <w:rPr>
                <w:sz w:val="18"/>
              </w:rPr>
              <w:t>تُسجل جميع ورش العمل التدريبية وتُتاح كمرجع للمتدربين عبر منصة مشاركة الملفات</w:t>
            </w:r>
          </w:p>
        </w:tc>
        <w:tc>
          <w:tcPr>
            <w:tcW w:type="dxa" w:w="2880"/>
          </w:tcPr>
          <w:p/>
        </w:tc>
      </w:tr>
      <w:tr>
        <w:tc>
          <w:tcPr>
            <w:tcW w:type="dxa" w:w="2880"/>
          </w:tcPr>
          <w:p>
            <w:r>
              <w:rPr>
                <w:sz w:val="18"/>
              </w:rPr>
              <w:t>**حزمة معرفية نهائية**</w:t>
            </w:r>
          </w:p>
        </w:tc>
        <w:tc>
          <w:tcPr>
            <w:tcW w:type="dxa" w:w="2880"/>
          </w:tcPr>
          <w:p>
            <w:r>
              <w:rPr>
                <w:sz w:val="18"/>
              </w:rPr>
              <w:t>يُسلَّم في نهاية المشروع (ضمن G5): جميع المخرجات النهائية (D-1 إلى D-23)، أدوات التحليل والنماذج المستخدمة، أدلة الاستخدام والتحديث، تسجيلات ورش العمل، الدروس المستفادة، قائمة مصادر البيانات وكيفية الوصول إليها</w:t>
            </w:r>
          </w:p>
        </w:tc>
        <w:tc>
          <w:tcPr>
            <w:tcW w:type="dxa" w:w="2880"/>
          </w:tcPr>
          <w:p/>
        </w:tc>
      </w:tr>
    </w:tbl>
    <w:p/>
    <w:p>
      <w:r>
        <w:t>---</w:t>
        <w:br/>
        <w:t xml:space="preserve"> ### 9. بوابات الحوكمة بين المراحل (Governance Gates) — جدول مرجعي شامل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البوابة</w:t>
            </w:r>
          </w:p>
        </w:tc>
        <w:tc>
          <w:tcPr>
            <w:tcW w:type="dxa" w:w="1234"/>
          </w:tcPr>
          <w:p>
            <w:r>
              <w:rPr>
                <w:b/>
                <w:sz w:val="18"/>
              </w:rPr>
              <w:t>التوقيت</w:t>
            </w:r>
          </w:p>
        </w:tc>
        <w:tc>
          <w:tcPr>
            <w:tcW w:type="dxa" w:w="1234"/>
          </w:tcPr>
          <w:p>
            <w:r>
              <w:rPr>
                <w:b/>
                <w:sz w:val="18"/>
              </w:rPr>
              <w:t>المخرجات التعاقدية المعتمدة</w:t>
            </w:r>
          </w:p>
        </w:tc>
        <w:tc>
          <w:tcPr>
            <w:tcW w:type="dxa" w:w="1234"/>
          </w:tcPr>
          <w:p>
            <w:r>
              <w:rPr>
                <w:b/>
                <w:sz w:val="18"/>
              </w:rPr>
              <w:t>عدد المخرجات</w:t>
            </w:r>
          </w:p>
        </w:tc>
        <w:tc>
          <w:tcPr>
            <w:tcW w:type="dxa" w:w="1234"/>
          </w:tcPr>
          <w:p>
            <w:r>
              <w:rPr>
                <w:b/>
                <w:sz w:val="18"/>
              </w:rPr>
              <w:t>معايير العبور</w:t>
            </w:r>
          </w:p>
        </w:tc>
        <w:tc>
          <w:tcPr>
            <w:tcW w:type="dxa" w:w="1234"/>
          </w:tcPr>
          <w:p>
            <w:r>
              <w:rPr>
                <w:b/>
                <w:sz w:val="18"/>
              </w:rPr>
              <w:t>سلطة الاعتماد</w:t>
            </w:r>
          </w:p>
        </w:tc>
        <w:tc>
          <w:tcPr>
            <w:tcW w:type="dxa" w:w="1234"/>
          </w:tcPr>
          <w:p>
            <w:r>
              <w:rPr>
                <w:b/>
                <w:sz w:val="18"/>
              </w:rPr>
              <w:t>هامش زمني بعد البوابة</w:t>
            </w:r>
          </w:p>
        </w:tc>
      </w:tr>
      <w:tr>
        <w:tc>
          <w:tcPr>
            <w:tcW w:type="dxa" w:w="1234"/>
          </w:tcPr>
          <w:p>
            <w:r>
              <w:rPr>
                <w:sz w:val="18"/>
              </w:rPr>
              <w:t>**G1 — بوابة التأسيس**</w:t>
            </w:r>
          </w:p>
        </w:tc>
        <w:tc>
          <w:tcPr>
            <w:tcW w:type="dxa" w:w="1234"/>
          </w:tcPr>
          <w:p>
            <w:r>
              <w:rPr>
                <w:sz w:val="18"/>
              </w:rPr>
              <w:t>نهاية الشهر 2</w:t>
            </w:r>
          </w:p>
        </w:tc>
        <w:tc>
          <w:tcPr>
            <w:tcW w:type="dxa" w:w="1234"/>
          </w:tcPr>
          <w:p>
            <w:r>
              <w:rPr>
                <w:sz w:val="18"/>
              </w:rPr>
              <w:t>D-1 (منهجية الدراسة)، D-2 (قائمة الخبراء)، D-3 (الخطة التنفيذية)، D-4 (الحوكمة)، D-5 (ميثاق المشروع)</w:t>
            </w:r>
          </w:p>
        </w:tc>
        <w:tc>
          <w:tcPr>
            <w:tcW w:type="dxa" w:w="1234"/>
          </w:tcPr>
          <w:p>
            <w:r>
              <w:rPr>
                <w:sz w:val="18"/>
              </w:rPr>
              <w:t>5</w:t>
            </w:r>
          </w:p>
        </w:tc>
        <w:tc>
          <w:tcPr>
            <w:tcW w:type="dxa" w:w="1234"/>
          </w:tcPr>
          <w:p>
            <w:r>
              <w:rPr>
                <w:sz w:val="18"/>
              </w:rPr>
              <w:t>اعتماد المنهجية والخطة والحوكمة + اعتماد قائمة الدول المرشحة للمقارنة المعيارية</w:t>
            </w:r>
          </w:p>
        </w:tc>
        <w:tc>
          <w:tcPr>
            <w:tcW w:type="dxa" w:w="1234"/>
          </w:tcPr>
          <w:p>
            <w:r>
              <w:rPr>
                <w:sz w:val="18"/>
              </w:rPr>
              <w:t>اللجنة التوجيهية (نصاب كامل)</w:t>
            </w:r>
          </w:p>
        </w:tc>
        <w:tc>
          <w:tcPr>
            <w:tcW w:type="dxa" w:w="1234"/>
          </w:tcPr>
          <w:p>
            <w:r>
              <w:rPr>
                <w:sz w:val="18"/>
              </w:rPr>
              <w:t>أسبوع واحد</w:t>
            </w:r>
          </w:p>
        </w:tc>
      </w:tr>
      <w:tr>
        <w:tc>
          <w:tcPr>
            <w:tcW w:type="dxa" w:w="1234"/>
          </w:tcPr>
          <w:p>
            <w:r>
              <w:rPr>
                <w:sz w:val="18"/>
              </w:rPr>
              <w:t>**G2 — بوابة الحصر**</w:t>
            </w:r>
          </w:p>
        </w:tc>
        <w:tc>
          <w:tcPr>
            <w:tcW w:type="dxa" w:w="1234"/>
          </w:tcPr>
          <w:p>
            <w:r>
              <w:rPr>
                <w:sz w:val="18"/>
              </w:rPr>
              <w:t>نهاية الشهر 5.5</w:t>
            </w:r>
          </w:p>
        </w:tc>
        <w:tc>
          <w:tcPr>
            <w:tcW w:type="dxa" w:w="1234"/>
          </w:tcPr>
          <w:p>
            <w:r>
              <w:rPr>
                <w:sz w:val="18"/>
              </w:rPr>
              <w:t>D-6 إلى D-14 (9 مخرجات)</w:t>
            </w:r>
          </w:p>
        </w:tc>
        <w:tc>
          <w:tcPr>
            <w:tcW w:type="dxa" w:w="1234"/>
          </w:tcPr>
          <w:p>
            <w:r>
              <w:rPr>
                <w:sz w:val="18"/>
              </w:rPr>
              <w:t>9</w:t>
            </w:r>
          </w:p>
        </w:tc>
        <w:tc>
          <w:tcPr>
            <w:tcW w:type="dxa" w:w="1234"/>
          </w:tcPr>
          <w:p>
            <w:r>
              <w:rPr>
                <w:sz w:val="18"/>
              </w:rPr>
              <w:t>اعتماد نتائج الحصر القطاعي (5 قطاعات+) والمقارنات المعيارية (5 دول+) والقائمة النهائية للمنتجات والخدمات المبتكرة</w:t>
            </w:r>
          </w:p>
        </w:tc>
        <w:tc>
          <w:tcPr>
            <w:tcW w:type="dxa" w:w="1234"/>
          </w:tcPr>
          <w:p>
            <w:r>
              <w:rPr>
                <w:sz w:val="18"/>
              </w:rPr>
              <w:t>اللجنة التوجيهية (نصاب كامل)</w:t>
            </w:r>
          </w:p>
        </w:tc>
        <w:tc>
          <w:tcPr>
            <w:tcW w:type="dxa" w:w="1234"/>
          </w:tcPr>
          <w:p>
            <w:r>
              <w:rPr>
                <w:sz w:val="18"/>
              </w:rPr>
              <w:t>أسبوع واحد</w:t>
            </w:r>
          </w:p>
        </w:tc>
      </w:tr>
      <w:tr>
        <w:tc>
          <w:tcPr>
            <w:tcW w:type="dxa" w:w="1234"/>
          </w:tcPr>
          <w:p>
            <w:r>
              <w:rPr>
                <w:sz w:val="18"/>
              </w:rPr>
              <w:t>**G3 — بوابة التحليل**</w:t>
            </w:r>
          </w:p>
        </w:tc>
        <w:tc>
          <w:tcPr>
            <w:tcW w:type="dxa" w:w="1234"/>
          </w:tcPr>
          <w:p>
            <w:r>
              <w:rPr>
                <w:sz w:val="18"/>
              </w:rPr>
              <w:t>نهاية الشهر 8</w:t>
            </w:r>
          </w:p>
        </w:tc>
        <w:tc>
          <w:tcPr>
            <w:tcW w:type="dxa" w:w="1234"/>
          </w:tcPr>
          <w:p>
            <w:r>
              <w:rPr>
                <w:sz w:val="18"/>
              </w:rPr>
              <w:t>D-15 إلى D-17 (3 مخرجات)</w:t>
            </w:r>
          </w:p>
        </w:tc>
        <w:tc>
          <w:tcPr>
            <w:tcW w:type="dxa" w:w="1234"/>
          </w:tcPr>
          <w:p>
            <w:r>
              <w:rPr>
                <w:sz w:val="18"/>
              </w:rPr>
              <w:t>3</w:t>
            </w:r>
          </w:p>
        </w:tc>
        <w:tc>
          <w:tcPr>
            <w:tcW w:type="dxa" w:w="1234"/>
          </w:tcPr>
          <w:p>
            <w:r>
              <w:rPr>
                <w:sz w:val="18"/>
              </w:rPr>
              <w:t>اعتماد تحليل الاحتياجات التنموية وربطها بالمنتجات المقترحة مع الآثار المتوقعة</w:t>
            </w:r>
          </w:p>
        </w:tc>
        <w:tc>
          <w:tcPr>
            <w:tcW w:type="dxa" w:w="1234"/>
          </w:tcPr>
          <w:p>
            <w:r>
              <w:rPr>
                <w:sz w:val="18"/>
              </w:rPr>
              <w:t>اللجنة التوجيهية (أغلبية)</w:t>
            </w:r>
          </w:p>
        </w:tc>
        <w:tc>
          <w:tcPr>
            <w:tcW w:type="dxa" w:w="1234"/>
          </w:tcPr>
          <w:p>
            <w:r>
              <w:rPr>
                <w:sz w:val="18"/>
              </w:rPr>
              <w:t>3 أيام</w:t>
            </w:r>
          </w:p>
        </w:tc>
      </w:tr>
      <w:tr>
        <w:tc>
          <w:tcPr>
            <w:tcW w:type="dxa" w:w="1234"/>
          </w:tcPr>
          <w:p>
            <w:r>
              <w:rPr>
                <w:sz w:val="18"/>
              </w:rPr>
              <w:t>**G4 — بوابة التفعيل**</w:t>
            </w:r>
          </w:p>
        </w:tc>
        <w:tc>
          <w:tcPr>
            <w:tcW w:type="dxa" w:w="1234"/>
          </w:tcPr>
          <w:p>
            <w:r>
              <w:rPr>
                <w:sz w:val="18"/>
              </w:rPr>
              <w:t>نهاية الشهر 10.5</w:t>
            </w:r>
          </w:p>
        </w:tc>
        <w:tc>
          <w:tcPr>
            <w:tcW w:type="dxa" w:w="1234"/>
          </w:tcPr>
          <w:p>
            <w:r>
              <w:rPr>
                <w:sz w:val="18"/>
              </w:rPr>
              <w:t>D-18 إلى D-21 (4 مخرجات)</w:t>
            </w:r>
          </w:p>
        </w:tc>
        <w:tc>
          <w:tcPr>
            <w:tcW w:type="dxa" w:w="1234"/>
          </w:tcPr>
          <w:p>
            <w:r>
              <w:rPr>
                <w:sz w:val="18"/>
              </w:rPr>
              <w:t>4</w:t>
            </w:r>
          </w:p>
        </w:tc>
        <w:tc>
          <w:tcPr>
            <w:tcW w:type="dxa" w:w="1234"/>
          </w:tcPr>
          <w:p>
            <w:r>
              <w:rPr>
                <w:sz w:val="18"/>
              </w:rPr>
              <w:t>اعتماد خطة التفعيل والحزم التحفيزية وبطاقات المنتجات/الخدمات ذات الأولوية</w:t>
            </w:r>
          </w:p>
        </w:tc>
        <w:tc>
          <w:tcPr>
            <w:tcW w:type="dxa" w:w="1234"/>
          </w:tcPr>
          <w:p>
            <w:r>
              <w:rPr>
                <w:sz w:val="18"/>
              </w:rPr>
              <w:t>اللجنة التوجيهية (نصاب كامل)</w:t>
            </w:r>
          </w:p>
        </w:tc>
        <w:tc>
          <w:tcPr>
            <w:tcW w:type="dxa" w:w="1234"/>
          </w:tcPr>
          <w:p>
            <w:r>
              <w:rPr>
                <w:sz w:val="18"/>
              </w:rPr>
              <w:t>3 أيام</w:t>
            </w:r>
          </w:p>
        </w:tc>
      </w:tr>
      <w:tr>
        <w:tc>
          <w:tcPr>
            <w:tcW w:type="dxa" w:w="1234"/>
          </w:tcPr>
          <w:p>
            <w:r>
              <w:rPr>
                <w:sz w:val="18"/>
              </w:rPr>
              <w:t>**G5 — بوابة الإغلاق**</w:t>
            </w:r>
          </w:p>
        </w:tc>
        <w:tc>
          <w:tcPr>
            <w:tcW w:type="dxa" w:w="1234"/>
          </w:tcPr>
          <w:p>
            <w:r>
              <w:rPr>
                <w:sz w:val="18"/>
              </w:rPr>
              <w:t>نهاية الشهر 12</w:t>
            </w:r>
          </w:p>
        </w:tc>
        <w:tc>
          <w:tcPr>
            <w:tcW w:type="dxa" w:w="1234"/>
          </w:tcPr>
          <w:p>
            <w:r>
              <w:rPr>
                <w:sz w:val="18"/>
              </w:rPr>
              <w:t>D-22 إلى D-23 + الحزمة المعرفية النهائية</w:t>
            </w:r>
          </w:p>
        </w:tc>
        <w:tc>
          <w:tcPr>
            <w:tcW w:type="dxa" w:w="1234"/>
          </w:tcPr>
          <w:p>
            <w:r>
              <w:rPr>
                <w:sz w:val="18"/>
              </w:rPr>
              <w:t>2 + حزمة نهائية</w:t>
            </w:r>
          </w:p>
        </w:tc>
        <w:tc>
          <w:tcPr>
            <w:tcW w:type="dxa" w:w="1234"/>
          </w:tcPr>
          <w:p>
            <w:r>
              <w:rPr>
                <w:sz w:val="18"/>
              </w:rPr>
              <w:t>اعتماد منهجية قياس الأثر وقائمة المؤشرات + تأكيد اكتمال نقل المعرفة</w:t>
            </w:r>
          </w:p>
        </w:tc>
        <w:tc>
          <w:tcPr>
            <w:tcW w:type="dxa" w:w="1234"/>
          </w:tcPr>
          <w:p>
            <w:r>
              <w:rPr>
                <w:sz w:val="18"/>
              </w:rPr>
              <w:t>اللجنة التوجيهية (نصاب كامل)</w:t>
            </w:r>
          </w:p>
        </w:tc>
        <w:tc>
          <w:tcPr>
            <w:tcW w:type="dxa" w:w="1234"/>
          </w:tcPr>
          <w:p>
            <w:r>
              <w:rPr>
                <w:sz w:val="18"/>
              </w:rPr>
              <w:t>— (نهاية العقد)</w:t>
            </w:r>
          </w:p>
        </w:tc>
      </w:tr>
    </w:tbl>
    <w:p/>
    <w:p>
      <w:r>
        <w:t>**قاعدة العبور:** يتطلب عبور كل بوابة موافقة اللجنة التوجيهية. في حال وجود تحفظات، تُمنح مهلة أسبوعين لمعالجتها قبل إعادة التقديم. إذا لم تُعتمد المخرجات بعد دورتي مراجعة، تُصعَّد القضية للمستوى الرابع (الراعي التنفيذي) وفق إطار التصعيد. ---</w:t>
        <w:br/>
        <w:t xml:space="preserve"> ### 10. تبعية امتثال الفريق (Team Compliance Dependency)</w:t>
        <w:br/>
        <w:t xml:space="preserve"> **ملاحظة حوكمية حرجة:** يشترط العقد تأمين الموظفين حسب المسمى الوظيفي والمؤهلات والخبرة المبينة في جدول مواصفات فريق العمل (الملحق 2) (DIRECT_RFP_FACT). تفاصيل الجدول غير متاحة في النص المستخرج من وثائق المنافسة — وهذه فجوة حرجة يجب إغلاقها قبل تقديم العرض. **بوابة امتثال الفريق (Staffing Compliance Gate):** قبل إنهاء العرض الفني:</w:t>
        <w:br/>
        <w:t xml:space="preserve"> 1. الحصول على الملحق 2 كاملاً من وثائق المنافسة</w:t>
        <w:br/>
        <w:t xml:space="preserve"> 2. مطابقة كل دور مطلوب في الملحق مع ملف استشاري مقترح (أو ملف دور مفتوح open_role_profile بمواصفات مطابقة)</w:t>
        <w:br/>
        <w:t xml:space="preserve"> 3. التحقق من استيفاء كل استشاري مقترح لمتطلبات التعليم والشهادات وسنوات الخبرة والتخصص القطاعي المحددة في الملحق</w:t>
        <w:br/>
        <w:t xml:space="preserve"> 4. توثيق المطابقة في جدول امتثال يُرفق مع العرض الفني</w:t>
        <w:br/>
        <w:t xml:space="preserve"> **المسؤول:** مدير الارتباط SG بالتنسيق مع إدارة الموارد البشرية في SG. **الموعد النهائي:** قبل تقديم العرض على منصة اعتماد. **فجوة أدلة (evidence_gap):** السير الذاتية التفصيلية والشهادات المهنية لأعضاء الفريق المقترحين يجب أن يوفرها النظام الداخلي (Engine 2). لا تتوفر حالياً أي بيانات عن الاستشاريين المتاحين في قاعدة المعرفة. ---</w:t>
        <w:br/>
        <w:t xml:space="preserve"> ### 11. مبدأ تصميم الاجتياز الفني (Pass/Fail Design Principle)</w:t>
        <w:br/>
        <w:t xml:space="preserve"> المنهجية وإطار الحوكمة مصممان لإزالة أي غموض في الامتثال لجميع المخرجات الإلزامية قبل الدخول في المنافسة السعرية. هذا يعني:</w:t>
        <w:br/>
        <w:t xml:space="preserve"> 1. **كل مخرج من D-1 إلى D-23 مُعيَّن لمرحلة محددة بشهر بدء وشهر تقديم وشهر اعتماد** — لا يوجد مخرج بدون جدول زمني واضح. 2. **كل مخرج له معايير قبول محددة ومكتوبة** — يمكن للمُقيّم الفني التحقق من أن العرض يغطي كل مخرج بمعيار قابل للقياس. 3. **كل مخرج له دور منفذ (R) ومراجع جودة (A) ومعتمد نهائي** — لا يوجد غموض في المساءلة. 4. **لا يُفترض أي ترجيح فني أو نسبة مئوية أو عتبة نقاط في تصميم العرض** — التصميم مبني على ضمان الاجتياز الثنائي (ناجح/راسب) ثم المنافسة على السعر (DIRECT_RFP_FACT). ---</w:t>
        <w:br/>
        <w:t xml:space="preserve"> ### 12. التمييز بين النطاق الأساسي والتحسينات الاختيارية (Core Bid Scope vs Optional Enhancement)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التصنيف</w:t>
            </w:r>
          </w:p>
        </w:tc>
        <w:tc>
          <w:tcPr>
            <w:tcW w:type="dxa" w:w="2160"/>
          </w:tcPr>
          <w:p>
            <w:r>
              <w:rPr>
                <w:b/>
                <w:sz w:val="18"/>
              </w:rPr>
              <w:t>التعريف</w:t>
            </w:r>
          </w:p>
        </w:tc>
        <w:tc>
          <w:tcPr>
            <w:tcW w:type="dxa" w:w="2160"/>
          </w:tcPr>
          <w:p>
            <w:r>
              <w:rPr>
                <w:b/>
                <w:sz w:val="18"/>
              </w:rPr>
              <w:t>أمثلة</w:t>
            </w:r>
          </w:p>
        </w:tc>
        <w:tc>
          <w:tcPr>
            <w:tcW w:type="dxa" w:w="2160"/>
          </w:tcPr>
          <w:p>
            <w:r>
              <w:rPr>
                <w:b/>
                <w:sz w:val="18"/>
              </w:rPr>
              <w:t>الأثر على التسعير</w:t>
            </w:r>
          </w:p>
        </w:tc>
      </w:tr>
      <w:tr>
        <w:tc>
          <w:tcPr>
            <w:tcW w:type="dxa" w:w="2160"/>
          </w:tcPr>
          <w:p>
            <w:r>
              <w:rPr>
                <w:sz w:val="18"/>
              </w:rPr>
              <w:t>**نطاق أساسي (Core)**</w:t>
            </w:r>
          </w:p>
        </w:tc>
        <w:tc>
          <w:tcPr>
            <w:tcW w:type="dxa" w:w="2160"/>
          </w:tcPr>
          <w:p>
            <w:r>
              <w:rPr>
                <w:sz w:val="18"/>
              </w:rPr>
              <w:t>نشاط مطلوب صراحة في نطاق العمل أو ضروري لاجتياز التقييم الفني</w:t>
            </w:r>
          </w:p>
        </w:tc>
        <w:tc>
          <w:tcPr>
            <w:tcW w:type="dxa" w:w="2160"/>
          </w:tcPr>
          <w:p>
            <w:r>
              <w:rPr>
                <w:sz w:val="18"/>
              </w:rPr>
              <w:t>جميع المخرجات D-1 إلى D-23؛ بوابات الحوكمة الخمس؛ التقارير الشهرية؛ ورش العمل القطاعية؛ التدريب (SI-8)</w:t>
            </w:r>
          </w:p>
        </w:tc>
        <w:tc>
          <w:tcPr>
            <w:tcW w:type="dxa" w:w="2160"/>
          </w:tcPr>
          <w:p>
            <w:r>
              <w:rPr>
                <w:sz w:val="18"/>
              </w:rPr>
              <w:t>مُسعَّر بالكامل — لا يمكن تقليصه</w:t>
            </w:r>
          </w:p>
        </w:tc>
      </w:tr>
      <w:tr>
        <w:tc>
          <w:tcPr>
            <w:tcW w:type="dxa" w:w="2160"/>
          </w:tcPr>
          <w:p>
            <w:r>
              <w:rPr>
                <w:sz w:val="18"/>
              </w:rPr>
              <w:t>**تحسين اختياري (Enhancement)**</w:t>
            </w:r>
          </w:p>
        </w:tc>
        <w:tc>
          <w:tcPr>
            <w:tcW w:type="dxa" w:w="2160"/>
          </w:tcPr>
          <w:p>
            <w:r>
              <w:rPr>
                <w:sz w:val="18"/>
              </w:rPr>
              <w:t>نشاط يرفع الجودة لكنه غير مطلوب صراحة ولا يؤثر على اجتياز التقييم الفني</w:t>
            </w:r>
          </w:p>
        </w:tc>
        <w:tc>
          <w:tcPr>
            <w:tcW w:type="dxa" w:w="2160"/>
          </w:tcPr>
          <w:p>
            <w:r>
              <w:rPr>
                <w:sz w:val="18"/>
              </w:rPr>
              <w:t>مراجعة أقران لمخرجات إضافية غير D-7/D-13/D-17/D-22؛ تقارير أسبوعية مفصلة (بدلاً من مختصرة)؛ ورش عمل إضافية فوق الحد الأدنى؛ زيارات ميدانية دولية</w:t>
            </w:r>
          </w:p>
        </w:tc>
        <w:tc>
          <w:tcPr>
            <w:tcW w:type="dxa" w:w="2160"/>
          </w:tcPr>
          <w:p>
            <w:r>
              <w:rPr>
                <w:sz w:val="18"/>
              </w:rPr>
              <w:t>يُقدَّم كقيمة مضافة — يُسعَّر فقط إذا لم يرفع السعر الإجمالي فوق المنافسين</w:t>
            </w:r>
          </w:p>
        </w:tc>
      </w:tr>
    </w:tbl>
    <w:p/>
    <w:p>
      <w:r>
        <w:t>هذا التصنيف يحمي التنافسية السعرية مع ضمان اجتياز التقييم الفني بهامش أمان.</w:t>
      </w:r>
    </w:p>
    <w:p>
      <w:pPr>
        <w:pStyle w:val="Heading2"/>
      </w:pPr>
      <w:r>
        <w:t>5.4 Timeline Logic</w:t>
      </w:r>
    </w:p>
    <w:p>
      <w:r>
        <w:t>## منطق الجدول الزمني — 12 شهراً (DIRECT_RFP_FACT)</w:t>
        <w:br/>
        <w:t xml:space="preserve"> ### التوزيع الزمني الإجمالي</w:t>
        <w:br/>
        <w:t xml:space="preserve"> مدة العقد اثنا عشر (12) شهراً من تاريخ إشعار البدء بالعمل (DIRECT_RFP_FACT: مدة العقد هي 12 شهر). يُوزَّع هذا الإطار الزمني على خمس مراحل متسلسلة مع تداخل مدروس بين المراحل المتجاورة (أسبوع إلى أسبوعين) لتحقيق الكفاءة الزمنية دون المساس بجودة المخرجات. التوزيع يراعي كثافة المخرجات في كل مرحلة وتبعياتها المنطقية:</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المرحلة</w:t>
            </w:r>
          </w:p>
        </w:tc>
        <w:tc>
          <w:tcPr>
            <w:tcW w:type="dxa" w:w="1440"/>
          </w:tcPr>
          <w:p>
            <w:r>
              <w:rPr>
                <w:b/>
                <w:sz w:val="18"/>
              </w:rPr>
              <w:t>الوصف</w:t>
            </w:r>
          </w:p>
        </w:tc>
        <w:tc>
          <w:tcPr>
            <w:tcW w:type="dxa" w:w="1440"/>
          </w:tcPr>
          <w:p>
            <w:r>
              <w:rPr>
                <w:b/>
                <w:sz w:val="18"/>
              </w:rPr>
              <w:t>المدة</w:t>
            </w:r>
          </w:p>
        </w:tc>
        <w:tc>
          <w:tcPr>
            <w:tcW w:type="dxa" w:w="1440"/>
          </w:tcPr>
          <w:p>
            <w:r>
              <w:rPr>
                <w:b/>
                <w:sz w:val="18"/>
              </w:rPr>
              <w:t>الأشهر</w:t>
            </w:r>
          </w:p>
        </w:tc>
        <w:tc>
          <w:tcPr>
            <w:tcW w:type="dxa" w:w="1440"/>
          </w:tcPr>
          <w:p>
            <w:r>
              <w:rPr>
                <w:b/>
                <w:sz w:val="18"/>
              </w:rPr>
              <w:t>عدد المخرجات التعاقدية</w:t>
            </w:r>
          </w:p>
        </w:tc>
        <w:tc>
          <w:tcPr>
            <w:tcW w:type="dxa" w:w="1440"/>
          </w:tcPr>
          <w:p>
            <w:r>
              <w:rPr>
                <w:b/>
                <w:sz w:val="18"/>
              </w:rPr>
              <w:t>بوابة الحوكمة</w:t>
            </w:r>
          </w:p>
        </w:tc>
      </w:tr>
      <w:tr>
        <w:tc>
          <w:tcPr>
            <w:tcW w:type="dxa" w:w="1440"/>
          </w:tcPr>
          <w:p>
            <w:r>
              <w:rPr>
                <w:sz w:val="18"/>
              </w:rPr>
              <w:t>**المرحلة 1**</w:t>
            </w:r>
          </w:p>
        </w:tc>
        <w:tc>
          <w:tcPr>
            <w:tcW w:type="dxa" w:w="1440"/>
          </w:tcPr>
          <w:p>
            <w:r>
              <w:rPr>
                <w:sz w:val="18"/>
              </w:rPr>
              <w:t>التأسيس وتصميم المنهجية</w:t>
            </w:r>
          </w:p>
        </w:tc>
        <w:tc>
          <w:tcPr>
            <w:tcW w:type="dxa" w:w="1440"/>
          </w:tcPr>
          <w:p>
            <w:r>
              <w:rPr>
                <w:sz w:val="18"/>
              </w:rPr>
              <w:t>شهران</w:t>
            </w:r>
          </w:p>
        </w:tc>
        <w:tc>
          <w:tcPr>
            <w:tcW w:type="dxa" w:w="1440"/>
          </w:tcPr>
          <w:p>
            <w:r>
              <w:rPr>
                <w:sz w:val="18"/>
              </w:rPr>
              <w:t>الشهر 1 — الشهر 2</w:t>
            </w:r>
          </w:p>
        </w:tc>
        <w:tc>
          <w:tcPr>
            <w:tcW w:type="dxa" w:w="1440"/>
          </w:tcPr>
          <w:p>
            <w:r>
              <w:rPr>
                <w:sz w:val="18"/>
              </w:rPr>
              <w:t>5 (D-1 إلى D-5)</w:t>
            </w:r>
          </w:p>
        </w:tc>
        <w:tc>
          <w:tcPr>
            <w:tcW w:type="dxa" w:w="1440"/>
          </w:tcPr>
          <w:p>
            <w:r>
              <w:rPr>
                <w:sz w:val="18"/>
              </w:rPr>
              <w:t>G1: نهاية الشهر 2</w:t>
            </w:r>
          </w:p>
        </w:tc>
      </w:tr>
      <w:tr>
        <w:tc>
          <w:tcPr>
            <w:tcW w:type="dxa" w:w="1440"/>
          </w:tcPr>
          <w:p>
            <w:r>
              <w:rPr>
                <w:sz w:val="18"/>
              </w:rPr>
              <w:t>**المرحلة 2**</w:t>
            </w:r>
          </w:p>
        </w:tc>
        <w:tc>
          <w:tcPr>
            <w:tcW w:type="dxa" w:w="1440"/>
          </w:tcPr>
          <w:p>
            <w:r>
              <w:rPr>
                <w:sz w:val="18"/>
              </w:rPr>
              <w:t>الحصر والمسح القطاعي والمقارنات المعيارية</w:t>
            </w:r>
          </w:p>
        </w:tc>
        <w:tc>
          <w:tcPr>
            <w:tcW w:type="dxa" w:w="1440"/>
          </w:tcPr>
          <w:p>
            <w:r>
              <w:rPr>
                <w:sz w:val="18"/>
              </w:rPr>
              <w:t>3 أشهر</w:t>
            </w:r>
          </w:p>
        </w:tc>
        <w:tc>
          <w:tcPr>
            <w:tcW w:type="dxa" w:w="1440"/>
          </w:tcPr>
          <w:p>
            <w:r>
              <w:rPr>
                <w:sz w:val="18"/>
              </w:rPr>
              <w:t>الشهر 2.5 — الشهر 5.5</w:t>
            </w:r>
          </w:p>
        </w:tc>
        <w:tc>
          <w:tcPr>
            <w:tcW w:type="dxa" w:w="1440"/>
          </w:tcPr>
          <w:p>
            <w:r>
              <w:rPr>
                <w:sz w:val="18"/>
              </w:rPr>
              <w:t>9 (D-6 إلى D-14)</w:t>
            </w:r>
          </w:p>
        </w:tc>
        <w:tc>
          <w:tcPr>
            <w:tcW w:type="dxa" w:w="1440"/>
          </w:tcPr>
          <w:p>
            <w:r>
              <w:rPr>
                <w:sz w:val="18"/>
              </w:rPr>
              <w:t>G2: نهاية الشهر 5.5</w:t>
            </w:r>
          </w:p>
        </w:tc>
      </w:tr>
      <w:tr>
        <w:tc>
          <w:tcPr>
            <w:tcW w:type="dxa" w:w="1440"/>
          </w:tcPr>
          <w:p>
            <w:r>
              <w:rPr>
                <w:sz w:val="18"/>
              </w:rPr>
              <w:t>**المرحلة 3**</w:t>
            </w:r>
          </w:p>
        </w:tc>
        <w:tc>
          <w:tcPr>
            <w:tcW w:type="dxa" w:w="1440"/>
          </w:tcPr>
          <w:p>
            <w:r>
              <w:rPr>
                <w:sz w:val="18"/>
              </w:rPr>
              <w:t>تحليل الاحتياجات التنموية والربط</w:t>
            </w:r>
          </w:p>
        </w:tc>
        <w:tc>
          <w:tcPr>
            <w:tcW w:type="dxa" w:w="1440"/>
          </w:tcPr>
          <w:p>
            <w:r>
              <w:rPr>
                <w:sz w:val="18"/>
              </w:rPr>
              <w:t>شهران ونصف</w:t>
            </w:r>
          </w:p>
        </w:tc>
        <w:tc>
          <w:tcPr>
            <w:tcW w:type="dxa" w:w="1440"/>
          </w:tcPr>
          <w:p>
            <w:r>
              <w:rPr>
                <w:sz w:val="18"/>
              </w:rPr>
              <w:t>الشهر 5 — الشهر 8 (تداخل أسبوعين مع نهاية المرحلة 2)</w:t>
            </w:r>
          </w:p>
        </w:tc>
        <w:tc>
          <w:tcPr>
            <w:tcW w:type="dxa" w:w="1440"/>
          </w:tcPr>
          <w:p>
            <w:r>
              <w:rPr>
                <w:sz w:val="18"/>
              </w:rPr>
              <w:t>3 (D-15 إلى D-17)</w:t>
            </w:r>
          </w:p>
        </w:tc>
        <w:tc>
          <w:tcPr>
            <w:tcW w:type="dxa" w:w="1440"/>
          </w:tcPr>
          <w:p>
            <w:r>
              <w:rPr>
                <w:sz w:val="18"/>
              </w:rPr>
              <w:t>G3: نهاية الشهر 8</w:t>
            </w:r>
          </w:p>
        </w:tc>
      </w:tr>
      <w:tr>
        <w:tc>
          <w:tcPr>
            <w:tcW w:type="dxa" w:w="1440"/>
          </w:tcPr>
          <w:p>
            <w:r>
              <w:rPr>
                <w:sz w:val="18"/>
              </w:rPr>
              <w:t>**المرحلة 4**</w:t>
            </w:r>
          </w:p>
        </w:tc>
        <w:tc>
          <w:tcPr>
            <w:tcW w:type="dxa" w:w="1440"/>
          </w:tcPr>
          <w:p>
            <w:r>
              <w:rPr>
                <w:sz w:val="18"/>
              </w:rPr>
              <w:t>التفعيل والتحفيز وتصميم أدوات التنفيذ</w:t>
            </w:r>
          </w:p>
        </w:tc>
        <w:tc>
          <w:tcPr>
            <w:tcW w:type="dxa" w:w="1440"/>
          </w:tcPr>
          <w:p>
            <w:r>
              <w:rPr>
                <w:sz w:val="18"/>
              </w:rPr>
              <w:t>شهران ونصف</w:t>
            </w:r>
          </w:p>
        </w:tc>
        <w:tc>
          <w:tcPr>
            <w:tcW w:type="dxa" w:w="1440"/>
          </w:tcPr>
          <w:p>
            <w:r>
              <w:rPr>
                <w:sz w:val="18"/>
              </w:rPr>
              <w:t>الشهر 8 — الشهر 10.5</w:t>
            </w:r>
          </w:p>
        </w:tc>
        <w:tc>
          <w:tcPr>
            <w:tcW w:type="dxa" w:w="1440"/>
          </w:tcPr>
          <w:p>
            <w:r>
              <w:rPr>
                <w:sz w:val="18"/>
              </w:rPr>
              <w:t>4 (D-18 إلى D-21)</w:t>
            </w:r>
          </w:p>
        </w:tc>
        <w:tc>
          <w:tcPr>
            <w:tcW w:type="dxa" w:w="1440"/>
          </w:tcPr>
          <w:p>
            <w:r>
              <w:rPr>
                <w:sz w:val="18"/>
              </w:rPr>
              <w:t>G4: نهاية الشهر 10.5</w:t>
            </w:r>
          </w:p>
        </w:tc>
      </w:tr>
      <w:tr>
        <w:tc>
          <w:tcPr>
            <w:tcW w:type="dxa" w:w="1440"/>
          </w:tcPr>
          <w:p>
            <w:r>
              <w:rPr>
                <w:sz w:val="18"/>
              </w:rPr>
              <w:t>**المرحلة 5**</w:t>
            </w:r>
          </w:p>
        </w:tc>
        <w:tc>
          <w:tcPr>
            <w:tcW w:type="dxa" w:w="1440"/>
          </w:tcPr>
          <w:p>
            <w:r>
              <w:rPr>
                <w:sz w:val="18"/>
              </w:rPr>
              <w:t>قياس الأثر والاستدامة + التسليم النهائي</w:t>
            </w:r>
          </w:p>
        </w:tc>
        <w:tc>
          <w:tcPr>
            <w:tcW w:type="dxa" w:w="1440"/>
          </w:tcPr>
          <w:p>
            <w:r>
              <w:rPr>
                <w:sz w:val="18"/>
              </w:rPr>
              <w:t>شهر ونصف</w:t>
            </w:r>
          </w:p>
        </w:tc>
        <w:tc>
          <w:tcPr>
            <w:tcW w:type="dxa" w:w="1440"/>
          </w:tcPr>
          <w:p>
            <w:r>
              <w:rPr>
                <w:sz w:val="18"/>
              </w:rPr>
              <w:t>الشهر 10.5 — الشهر 12</w:t>
            </w:r>
          </w:p>
        </w:tc>
        <w:tc>
          <w:tcPr>
            <w:tcW w:type="dxa" w:w="1440"/>
          </w:tcPr>
          <w:p>
            <w:r>
              <w:rPr>
                <w:sz w:val="18"/>
              </w:rPr>
              <w:t>2 (D-22 إلى D-23) + الحزمة المعرفية النهائية</w:t>
            </w:r>
          </w:p>
        </w:tc>
        <w:tc>
          <w:tcPr>
            <w:tcW w:type="dxa" w:w="1440"/>
          </w:tcPr>
          <w:p>
            <w:r>
              <w:rPr>
                <w:sz w:val="18"/>
              </w:rPr>
              <w:t>G5: نهاية الشهر 12</w:t>
            </w:r>
          </w:p>
        </w:tc>
      </w:tr>
    </w:tbl>
    <w:p/>
    <w:p>
      <w:r>
        <w:t>### المسار الحرج والتبعيات</w:t>
        <w:br/>
        <w:t xml:space="preserve"> المسار الحرج للمشروع يمر عبر السلسلة التالية — أي تأخر في أي عنصر على هذا المسار يؤثر مباشرة على تاريخ الإنجاز النهائي:</w:t>
        <w:br/>
        <w:t xml:space="preserve"> **D-1** (المنهجية، الشهر 1-1.5) → **G1** (اعتماد، نهاية الشهر 2) → **D-6** (الحصر القطاعي، الشهر 2.5-4) → **D-9** (الوضع الراهن، الشهر 3-4.5) → **D-13** (القائمة النهائية للمنتجات والخدمات النوعية المبتكرة المقترحة، الشهر 4-5) → **G2** (اعتماد، نهاية الشهر 5.5) → **D-16** (الاحتياجات التنموية، الشهر 5.5-7) → **D-17** (الربط بالاحتياجات والآثار المتوقعة، الشهر 6-7.5) → **G3** (اعتماد، نهاية الشهر 8) → **D-18** (منهجية ترتيب الأولويات، الشهر 8-9) → **D-21** (بطاقات المنتجات/الخدمات ذات الأولوية، الشهر 9-10) → **G4** (اعتماد، نهاية الشهر 10.5) → **D-22** (منهجية قياس الأثر والمستهدفات والاستدامة، الشهر 10.5-11.5) → **D-23** (قائمة المؤشرات، الشهر 10.5-11.5) → **G5** (التسليم النهائي، نهاية الشهر 12). لحماية المسار الحرج، تُدمج هوامش زمنية مرحلية: أسبوع واحد بعد بوابتي G1 وG2 لاستيعاب ملاحظات اللجنة التوجيهية، و3 أيام بعد بوابتي G3 وG4. لا يوجد هامش بعد G5 (نهاية العقد)، مما يستوجب إدارة صارمة للمرحلتين 4 و5 مع بدء التحضير المبكر لمنهجية قياس الأثر (D-22) بالتوازي مع الأسبوع الأخير من المرحلة 4. كما يُدمج هامش أسبوعين في المرحلة 2 (الأكثر كثافة بـ 9 مخرجات) لاستيعاب تأخيرات البيانات المحتملة من الجهات الخارجية. ### التوازي داخل المراحل والآثار على الموارد</w:t>
        <w:br/>
        <w:t xml:space="preserve"> المرحلة 2 هي الأعلى كثافة (9 مخرجات تعاقدية خلال 3 أشهر) وتتطلب تشغيل 3 مسارات متوازية: (أ) مسار الحصر المحلي — حصر المنتجات والخدمات القائمة عبر 5 قطاعات (D-6, D-9, D-10) يتطلب محللين ميدانيين وتنسيقاً مع جهات متعددة؛ (ب) مسار المقارنات الدولية — دراسة ممارسات 5 دول (D-7, D-12) يتطلب باحثين دوليين وخبراء قطاعيين؛ (ج) مسار المشاركة المجتمعية — ورش العمل التشاركية وخارطة أصحاب المصلحة (D-8, D-11) يتطلب ميسّرين ومنسقين لوجستيين [EXT-004]. هذا التوازي يستدعي تشغيل الفريق الكامل في المرحلة 2 بما فيه المحللون الميدانيون والباحثون الدوليون. المرحلتان 3 و4 تتطلبان خبرات تحليلية وتصميمية متقدمة (تحليل احتياجات تنموية، تصميم بطاقات منتجات D-21 بحقولها الإلزامية: وصف المنتج/الخدمة، نموذج التشغيل، اقتصاديات الوحدة، التبعيات، المخاطر، المؤشرات، الحوافز المرتبطة، محفز بدء التنفيذ [EXT-005]؛ وتصميم حزم تحفيزية D-20 بحقولها: نوع الحافز، الجهة المستهدفة، معايير الأهلية، آلية التفعيل، التكلفة التقديرية، التبعيات النظامية، مؤشر الأداء المرتبط). المرحلة 5 تتطلب خبرة متخصصة في قياس الأثر الاجتماعي ومؤشرات الأداء [EXT-009]. يُراعى في تخطيط الموارد استخدام هيكل هرمي: خبراء قطاعيون ودوليون في المراحل الحرجة (2 و3) ومحللون في مهام الحصر وجمع البيانات، مما يحقق الكفاءة التشغيلية في ظل آلية الترسية القائمة على أقل سعر بعد الاجتياز الفني (DIRECT_RFP_FACT). برنامج بناء القدرات (SI-8 — DIRECT_RFP_FACT) يمتد عبر جميع المراحل الخمس بورشة تدريبية تطبيقية واحدة على الأقل في كل مرحلة، مع تصاعد في عمق المحتوى التدريبي من التعريف بالمنهجية (المرحلة 1) إلى التدريب على استخدام أدوات القياس والمتابعة (المرحلة 5)، وصولاً إلى تسليم الحزمة المعرفية النهائية التي تمكّن فريق المركز من تحديث المنظومة باستقلالية. ### التمييز بين نطاق العقد وأفق التفعيل الموصى به</w:t>
        <w:br/>
        <w:t xml:space="preserve"> جميع المخرجات الـ 23 (D-1 إلى D-23) تُنتج وتُعتمد ضمن مدة العقد البالغة 12 شهراً. أما الخطة التنفيذية لتفعيل المنتجات والخدمات المقترحة (D-19) فتتضمن بالضرورة أفقاً زمنياً يمتد بعد انتهاء العقد — وهذا أفق تفعيل موصى به (Recommended Post-Project Activation Horizon) وليس جزءاً من التزامات العقد. يُصنَّف هذا التمييز بوضوح في D-19: (أ) **ضمن العقد (Within-Contract):** تصميم الخطة التنفيذية وبطاقات المنتجات والحزم التحفيزية ومنهجية قياس الأثر — جميعها تُسلَّم خلال 12 شهراً؛ (ب) **بعد العقد (Post-Contract):** تنفيذ الخطة وتفعيل المنتجات والخدمات وقياس الأثر الفعلي — يقوم بها المركز باستقلالية مستنداً إلى الأدوات والنماذج المسلَّمة.</w:t>
      </w:r>
    </w:p>
    <w:p>
      <w:pPr>
        <w:pStyle w:val="Heading1"/>
      </w:pPr>
      <w:r>
        <w:t>6. Slide-by-Slide Blueprint</w:t>
      </w:r>
    </w:p>
    <w:p>
      <w:pPr>
        <w:pStyle w:val="Heading2"/>
      </w:pPr>
      <w:r>
        <w:t>Slide 1: خدمات ومنتجات القطاع غير الربحي — العرض الفني</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الغلاف</w:t>
            </w:r>
          </w:p>
        </w:tc>
      </w:tr>
      <w:tr>
        <w:tc>
          <w:tcPr>
            <w:tcW w:type="dxa" w:w="2160"/>
          </w:tcPr>
          <w:p>
            <w:r>
              <w:t>Layout</w:t>
            </w:r>
          </w:p>
        </w:tc>
        <w:tc>
          <w:tcPr>
            <w:tcW w:type="dxa" w:w="7200"/>
          </w:tcPr>
          <w:p>
            <w:r>
              <w:t>غلاف رئيسي — شعار SG + شعار المركز الوطني لتنمية القطاع غير الربحي</w:t>
            </w:r>
          </w:p>
        </w:tc>
      </w:tr>
      <w:tr>
        <w:tc>
          <w:tcPr>
            <w:tcW w:type="dxa" w:w="2160"/>
          </w:tcPr>
          <w:p>
            <w:r>
              <w:t>Purpose</w:t>
            </w:r>
          </w:p>
        </w:tc>
        <w:tc>
          <w:tcPr>
            <w:tcW w:type="dxa" w:w="7200"/>
          </w:tcPr>
          <w:p>
            <w:r>
              <w:t>تأسيس الهوية المهنية وربط العرض بالعميل والمنافسة المحددة.</w:t>
            </w:r>
          </w:p>
        </w:tc>
      </w:tr>
      <w:tr>
        <w:tc>
          <w:tcPr>
            <w:tcW w:type="dxa" w:w="2160"/>
          </w:tcPr>
          <w:p>
            <w:r>
              <w:t>Key Message</w:t>
            </w:r>
          </w:p>
        </w:tc>
        <w:tc>
          <w:tcPr>
            <w:tcW w:type="dxa" w:w="7200"/>
          </w:tcPr>
          <w:p>
            <w:r>
              <w:t>عرض فني مقدم من Strategic Gears للمركز الوطني لتنمية القطاع غير الربحي استجابةً لمنافسة تصميم منتجات وخدمات نوعية مبتكرة للقطاع غير الربحي.</w:t>
            </w:r>
          </w:p>
        </w:tc>
      </w:tr>
      <w:tr>
        <w:tc>
          <w:tcPr>
            <w:tcW w:type="dxa" w:w="2160"/>
          </w:tcPr>
          <w:p>
            <w:r>
              <w:t>Bullet Logic</w:t>
            </w:r>
          </w:p>
        </w:tc>
        <w:tc>
          <w:tcPr>
            <w:tcW w:type="dxa" w:w="7200"/>
          </w:tcPr>
          <w:p>
            <w:r>
              <w:t>اسم المنافسة: خدمات ومنتجات القطاع غير الربحي [HR-L1-001]</w:t>
              <w:br/>
              <w:t>الجهة المصدرة: المركز الوطني لتنمية القطاع غير الربحي</w:t>
              <w:br/>
              <w:t>مدة العقد: 12 شهراً من تاريخ إشعار البدء بالعمل [HR-L1-002]</w:t>
              <w:br/>
              <w:t>تاريخ التقديم: 2021-11-10 عبر منصة اعتماد [HR-L1-019]</w:t>
            </w:r>
          </w:p>
        </w:tc>
      </w:tr>
      <w:tr>
        <w:tc>
          <w:tcPr>
            <w:tcW w:type="dxa" w:w="2160"/>
          </w:tcPr>
          <w:p>
            <w:r>
              <w:t>Proof Points</w:t>
            </w:r>
          </w:p>
        </w:tc>
        <w:tc>
          <w:tcPr>
            <w:tcW w:type="dxa" w:w="7200"/>
          </w:tcPr>
          <w:p>
            <w:r>
              <w:t>HR-L1-001, HR-L1-002, HR-L1-019</w:t>
            </w:r>
          </w:p>
        </w:tc>
      </w:tr>
      <w:tr>
        <w:tc>
          <w:tcPr>
            <w:tcW w:type="dxa" w:w="2160"/>
          </w:tcPr>
          <w:p>
            <w:r>
              <w:t>Visual</w:t>
            </w:r>
          </w:p>
        </w:tc>
        <w:tc>
          <w:tcPr>
            <w:tcW w:type="dxa" w:w="7200"/>
          </w:tcPr>
          <w:p>
            <w:r>
              <w:t>تصميم غلاف احترافي بألوان SG مع شعار المركز الوطني. خلفية تعكس القطاع غير الربحي السعودي. إدراج رقم المنافسة وتاريخ التقديم.</w:t>
            </w:r>
          </w:p>
        </w:tc>
      </w:tr>
      <w:tr>
        <w:tc>
          <w:tcPr>
            <w:tcW w:type="dxa" w:w="2160"/>
          </w:tcPr>
          <w:p>
            <w:r>
              <w:t>Must-Have Evidence</w:t>
            </w:r>
          </w:p>
        </w:tc>
        <w:tc>
          <w:tcPr>
            <w:tcW w:type="dxa" w:w="7200"/>
          </w:tcPr>
          <w:p>
            <w:r>
              <w:t>HR-L1-001</w:t>
            </w:r>
          </w:p>
        </w:tc>
      </w:tr>
      <w:tr>
        <w:tc>
          <w:tcPr>
            <w:tcW w:type="dxa" w:w="2160"/>
          </w:tcPr>
          <w:p>
            <w:r>
              <w:t>Forbidden</w:t>
            </w:r>
          </w:p>
        </w:tc>
        <w:tc>
          <w:tcPr>
            <w:tcW w:type="dxa" w:w="7200"/>
          </w:tcPr>
          <w:p>
            <w:r>
              <w:t>أي ادعاء بالفوز أو التفوق, أي إشارة للسعر في المظروف الفني, أي محتوى بالإنجليزية دون ترجمة عربية</w:t>
            </w:r>
          </w:p>
        </w:tc>
      </w:tr>
    </w:tbl>
    <w:p/>
    <w:p>
      <w:pPr>
        <w:pStyle w:val="Heading2"/>
      </w:pPr>
      <w:r>
        <w:t>Slide 2: الملخص التنفيذي — فهمنا والتزامنا</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الملخص التنفيذي</w:t>
            </w:r>
          </w:p>
        </w:tc>
      </w:tr>
      <w:tr>
        <w:tc>
          <w:tcPr>
            <w:tcW w:type="dxa" w:w="2160"/>
          </w:tcPr>
          <w:p>
            <w:r>
              <w:t>Layout</w:t>
            </w:r>
          </w:p>
        </w:tc>
        <w:tc>
          <w:tcPr>
            <w:tcW w:type="dxa" w:w="7200"/>
          </w:tcPr>
          <w:p>
            <w:r>
              <w:t>نص مع أيقونات — 4 محاور رئيسية</w:t>
            </w:r>
          </w:p>
        </w:tc>
      </w:tr>
      <w:tr>
        <w:tc>
          <w:tcPr>
            <w:tcW w:type="dxa" w:w="2160"/>
          </w:tcPr>
          <w:p>
            <w:r>
              <w:t>Purpose</w:t>
            </w:r>
          </w:p>
        </w:tc>
        <w:tc>
          <w:tcPr>
            <w:tcW w:type="dxa" w:w="7200"/>
          </w:tcPr>
          <w:p>
            <w:r>
              <w:t>تقديم ملخص شامل يثبت فهم SG لنطاق العمل وآلية الترسية ويؤكد التغطية الكاملة لجميع المتطلبات الإلزامية.</w:t>
            </w:r>
          </w:p>
        </w:tc>
      </w:tr>
      <w:tr>
        <w:tc>
          <w:tcPr>
            <w:tcW w:type="dxa" w:w="2160"/>
          </w:tcPr>
          <w:p>
            <w:r>
              <w:t>Key Message</w:t>
            </w:r>
          </w:p>
        </w:tc>
        <w:tc>
          <w:tcPr>
            <w:tcW w:type="dxa" w:w="7200"/>
          </w:tcPr>
          <w:p>
            <w:r>
              <w:t>تقدم Strategic Gears منهجية بحثية مختلطة من خمس مراحل مصممة لتسليم جميع المخرجات الإلزامية الـ 23 خلال 12 شهراً مع بناء قدرات فريق المركز.</w:t>
            </w:r>
          </w:p>
        </w:tc>
      </w:tr>
      <w:tr>
        <w:tc>
          <w:tcPr>
            <w:tcW w:type="dxa" w:w="2160"/>
          </w:tcPr>
          <w:p>
            <w:r>
              <w:t>Bullet Logic</w:t>
            </w:r>
          </w:p>
        </w:tc>
        <w:tc>
          <w:tcPr>
            <w:tcW w:type="dxa" w:w="7200"/>
          </w:tcPr>
          <w:p>
            <w:r>
              <w:t>فهم المشروع: تصميم منتجات وخدمات نوعية مبتكرة للقطاع غير الربحي عبر 5 قطاعات ذات أولوية كحد أدنى [HR-L1-002, SI-2]</w:t>
              <w:br/>
              <w:t>المنهجية: تصميم بحثي مختلط (كمي + نوعي + مقارنة معيارية دولية لـ 5 دول) يستند إلى أطر دولية مرجعية [EXT-001, EXT-003, EXT-006]</w:t>
              <w:br/>
              <w:t>المخرجات: تغطية كاملة لـ 23 مخرجاً إلزامياً (D-1 إلى D-23) عبر 5 مراحل مع بوابات حوكمة بين كل مرحلة [HR-L1-030 إلى HR-L1-052]</w:t>
              <w:br/>
              <w:t>بناء القدرات: برنامج تدريبي متدرج لموظفي المركز عبر جميع المراحل مع تسليم أدوات قابلة لإعادة الاستخدام [SI-8]</w:t>
              <w:br/>
              <w:t>الالتزام: مدة 12 شهراً بالضبط مع فريق مصمم وفق متطلبات الملحق 2 [HR-L1-002, HR-L1-018]</w:t>
            </w:r>
          </w:p>
        </w:tc>
      </w:tr>
      <w:tr>
        <w:tc>
          <w:tcPr>
            <w:tcW w:type="dxa" w:w="2160"/>
          </w:tcPr>
          <w:p>
            <w:r>
              <w:t>Proof Points</w:t>
            </w:r>
          </w:p>
        </w:tc>
        <w:tc>
          <w:tcPr>
            <w:tcW w:type="dxa" w:w="7200"/>
          </w:tcPr>
          <w:p>
            <w:r>
              <w:t>HR-L1-002, HR-L1-030, HR-L1-052, EXT-001, EXT-003, EXT-006</w:t>
            </w:r>
          </w:p>
        </w:tc>
      </w:tr>
      <w:tr>
        <w:tc>
          <w:tcPr>
            <w:tcW w:type="dxa" w:w="2160"/>
          </w:tcPr>
          <w:p>
            <w:r>
              <w:t>Visual</w:t>
            </w:r>
          </w:p>
        </w:tc>
        <w:tc>
          <w:tcPr>
            <w:tcW w:type="dxa" w:w="7200"/>
          </w:tcPr>
          <w:p>
            <w:r>
              <w:t>4 أيقونات تمثل: المنهجية، المخرجات، بناء القدرات، الحوكمة. شريط زمني مبسط يوضح المراحل الخمس.</w:t>
            </w:r>
          </w:p>
        </w:tc>
      </w:tr>
      <w:tr>
        <w:tc>
          <w:tcPr>
            <w:tcW w:type="dxa" w:w="2160"/>
          </w:tcPr>
          <w:p>
            <w:r>
              <w:t>Must-Have Evidence</w:t>
            </w:r>
          </w:p>
        </w:tc>
        <w:tc>
          <w:tcPr>
            <w:tcW w:type="dxa" w:w="7200"/>
          </w:tcPr>
          <w:p>
            <w:r>
              <w:t>HR-L1-002, HR-L1-030</w:t>
            </w:r>
          </w:p>
        </w:tc>
      </w:tr>
      <w:tr>
        <w:tc>
          <w:tcPr>
            <w:tcW w:type="dxa" w:w="2160"/>
          </w:tcPr>
          <w:p>
            <w:r>
              <w:t>Forbidden</w:t>
            </w:r>
          </w:p>
        </w:tc>
        <w:tc>
          <w:tcPr>
            <w:tcW w:type="dxa" w:w="7200"/>
          </w:tcPr>
          <w:p>
            <w:r>
              <w:t>أي إشارة لنظام نقاط مرجّحة أو أوزان نسبية, ادعاءات تفوق فني فوق عتبة القبول, أي وعود غير مدعومة بمخرجات محددة</w:t>
            </w:r>
          </w:p>
        </w:tc>
      </w:tr>
    </w:tbl>
    <w:p/>
    <w:p>
      <w:pPr>
        <w:pStyle w:val="Heading2"/>
      </w:pPr>
      <w:r>
        <w:t>Slide 3: خارطة المخرجات الإلزامية — 23 مخرجاً عبر 5 مراحل</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الملخص التنفيذي</w:t>
            </w:r>
          </w:p>
        </w:tc>
      </w:tr>
      <w:tr>
        <w:tc>
          <w:tcPr>
            <w:tcW w:type="dxa" w:w="2160"/>
          </w:tcPr>
          <w:p>
            <w:r>
              <w:t>Layout</w:t>
            </w:r>
          </w:p>
        </w:tc>
        <w:tc>
          <w:tcPr>
            <w:tcW w:type="dxa" w:w="7200"/>
          </w:tcPr>
          <w:p>
            <w:r>
              <w:t>جدول تقاطعي — المراحل × المخرجات</w:t>
            </w:r>
          </w:p>
        </w:tc>
      </w:tr>
      <w:tr>
        <w:tc>
          <w:tcPr>
            <w:tcW w:type="dxa" w:w="2160"/>
          </w:tcPr>
          <w:p>
            <w:r>
              <w:t>Purpose</w:t>
            </w:r>
          </w:p>
        </w:tc>
        <w:tc>
          <w:tcPr>
            <w:tcW w:type="dxa" w:w="7200"/>
          </w:tcPr>
          <w:p>
            <w:r>
              <w:t>إثبات التغطية الشاملة لجميع المخرجات الإلزامية الـ 23 عبر المراحل الخمس بشكل مرئي يمكّن المُقيّم من التحقق الآلي.</w:t>
            </w:r>
          </w:p>
        </w:tc>
      </w:tr>
      <w:tr>
        <w:tc>
          <w:tcPr>
            <w:tcW w:type="dxa" w:w="2160"/>
          </w:tcPr>
          <w:p>
            <w:r>
              <w:t>Key Message</w:t>
            </w:r>
          </w:p>
        </w:tc>
        <w:tc>
          <w:tcPr>
            <w:tcW w:type="dxa" w:w="7200"/>
          </w:tcPr>
          <w:p>
            <w:r>
              <w:t>كل مخرج إلزامي من D-1 إلى D-23 مُعيَّن لمرحلة محددة بشهر تسليم واضح ودور مسؤول ومعيار قبول.</w:t>
            </w:r>
          </w:p>
        </w:tc>
      </w:tr>
      <w:tr>
        <w:tc>
          <w:tcPr>
            <w:tcW w:type="dxa" w:w="2160"/>
          </w:tcPr>
          <w:p>
            <w:r>
              <w:t>Bullet Logic</w:t>
            </w:r>
          </w:p>
        </w:tc>
        <w:tc>
          <w:tcPr>
            <w:tcW w:type="dxa" w:w="7200"/>
          </w:tcPr>
          <w:p>
            <w:r>
              <w:t>المرحلة 1 (الأشهر 1-2): D-1 إلى D-5 — التأسيس والمنهجية والحوكمة [HR-L1-030 إلى HR-L1-034]</w:t>
              <w:br/>
              <w:t>المرحلة 2 (الأشهر 3-5.5): D-6 إلى D-14 — الحصر القطاعي والمقارنات المعيارية [HR-L1-035 إلى HR-L1-042]</w:t>
              <w:br/>
              <w:t>المرحلة 3 (الأشهر 5-8): D-15 إلى D-17 — تحليل الاحتياجات والربط [HR-L1-045 إلى HR-L1-047]</w:t>
              <w:br/>
              <w:t>المرحلة 4 (الأشهر 8-10.5): D-18 إلى D-21 — التفعيل والتحفيز [HR-L1-048 إلى HR-L1-050]</w:t>
              <w:br/>
              <w:t>المرحلة 5 (الأشهر 10.5-12): D-22 إلى D-23 — قياس الأثر والاستدامة [HR-L1-051, HR-L1-052]</w:t>
            </w:r>
          </w:p>
        </w:tc>
      </w:tr>
      <w:tr>
        <w:tc>
          <w:tcPr>
            <w:tcW w:type="dxa" w:w="2160"/>
          </w:tcPr>
          <w:p>
            <w:r>
              <w:t>Proof Points</w:t>
            </w:r>
          </w:p>
        </w:tc>
        <w:tc>
          <w:tcPr>
            <w:tcW w:type="dxa" w:w="7200"/>
          </w:tcPr>
          <w:p>
            <w:r>
              <w:t>HR-L1-030, HR-L1-034, HR-L1-035, HR-L1-042, HR-L1-045, HR-L1-047, HR-L1-048, HR-L1-050, HR-L1-051, HR-L1-052</w:t>
            </w:r>
          </w:p>
        </w:tc>
      </w:tr>
      <w:tr>
        <w:tc>
          <w:tcPr>
            <w:tcW w:type="dxa" w:w="2160"/>
          </w:tcPr>
          <w:p>
            <w:r>
              <w:t>Visual</w:t>
            </w:r>
          </w:p>
        </w:tc>
        <w:tc>
          <w:tcPr>
            <w:tcW w:type="dxa" w:w="7200"/>
          </w:tcPr>
          <w:p>
            <w:r>
              <w:t>جدول تقاطعي ملون: الصفوف = المراحل الخمس، الأعمدة = المخرجات D-1 إلى D-23. كل خلية تحتوي رقم المخرج وشهر التسليم. ترميز لوني حسب المرحلة.</w:t>
            </w:r>
          </w:p>
        </w:tc>
      </w:tr>
      <w:tr>
        <w:tc>
          <w:tcPr>
            <w:tcW w:type="dxa" w:w="2160"/>
          </w:tcPr>
          <w:p>
            <w:r>
              <w:t>Must-Have Evidence</w:t>
            </w:r>
          </w:p>
        </w:tc>
        <w:tc>
          <w:tcPr>
            <w:tcW w:type="dxa" w:w="7200"/>
          </w:tcPr>
          <w:p>
            <w:r>
              <w:t>HR-L1-030, HR-L1-052</w:t>
            </w:r>
          </w:p>
        </w:tc>
      </w:tr>
      <w:tr>
        <w:tc>
          <w:tcPr>
            <w:tcW w:type="dxa" w:w="2160"/>
          </w:tcPr>
          <w:p>
            <w:r>
              <w:t>Forbidden</w:t>
            </w:r>
          </w:p>
        </w:tc>
        <w:tc>
          <w:tcPr>
            <w:tcW w:type="dxa" w:w="7200"/>
          </w:tcPr>
          <w:p>
            <w:r>
              <w:t>حذف أي مخرج من المخرجات الـ 23, إضافة مخرجات غير مطلوبة دون تمييزها كداعمة, أي غموض في تعيين المخرجات للمراحل</w:t>
            </w:r>
          </w:p>
        </w:tc>
      </w:tr>
    </w:tbl>
    <w:p/>
    <w:p>
      <w:pPr>
        <w:pStyle w:val="Heading2"/>
      </w:pPr>
      <w:r>
        <w:t>Slide 4: الفجوة الهيكلية — من الأنماط التقليدية إلى التنوع المبتكر</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رسم بياني — الوضع الراهن مقابل الوضع المستهدف</w:t>
            </w:r>
          </w:p>
        </w:tc>
      </w:tr>
      <w:tr>
        <w:tc>
          <w:tcPr>
            <w:tcW w:type="dxa" w:w="2160"/>
          </w:tcPr>
          <w:p>
            <w:r>
              <w:t>Purpose</w:t>
            </w:r>
          </w:p>
        </w:tc>
        <w:tc>
          <w:tcPr>
            <w:tcW w:type="dxa" w:w="7200"/>
          </w:tcPr>
          <w:p>
            <w:r>
              <w:t>إثبات فهم SG العميق للفجوة الهيكلية في القطاع غير الربحي السعودي وربطها بنطاق عمل المنافسة.</w:t>
            </w:r>
          </w:p>
        </w:tc>
      </w:tr>
      <w:tr>
        <w:tc>
          <w:tcPr>
            <w:tcW w:type="dxa" w:w="2160"/>
          </w:tcPr>
          <w:p>
            <w:r>
              <w:t>Key Message</w:t>
            </w:r>
          </w:p>
        </w:tc>
        <w:tc>
          <w:tcPr>
            <w:tcW w:type="dxa" w:w="7200"/>
          </w:tcPr>
          <w:p>
            <w:r>
              <w:t>القطاع غير الربحي السعودي ينحصر حالياً في أشكال خدمية محدودة (تبرعات، تطوع، وقف، استضافة) ويفتقر إلى خارطة شاملة وإطار تصنيفي ومنهجية قياس أثر.</w:t>
            </w:r>
          </w:p>
        </w:tc>
      </w:tr>
      <w:tr>
        <w:tc>
          <w:tcPr>
            <w:tcW w:type="dxa" w:w="2160"/>
          </w:tcPr>
          <w:p>
            <w:r>
              <w:t>Bullet Logic</w:t>
            </w:r>
          </w:p>
        </w:tc>
        <w:tc>
          <w:tcPr>
            <w:tcW w:type="dxa" w:w="7200"/>
          </w:tcPr>
          <w:p>
            <w:r>
              <w:t>الوضع الراهن: أشكال خدمية تقليدية محدودة — جمع التبرعات، التطوع، الوقف، الاستضافة — كما ورد صراحة في SI-4 [DIRECT_RFP_FACT]</w:t>
              <w:br/>
              <w:t>الفجوة المعرفية: غياب حصر منهجي للمنتجات والخدمات القائمة عبر القطاعات — لذلك يطلب المشروع D-6 وD-9 [HR-L1-035, HR-L1-038]</w:t>
              <w:br/>
              <w:t>الفجوة التنموية: ضعف الربط بين الخدمات المقدمة والاحتياجات التنموية الفعلية — لذلك يطلب D-16 وD-17 [HR-L1-046, HR-L1-047]</w:t>
              <w:br/>
              <w:t>الفجوة المؤسسية: غياب منهجية قياس أثر واستدامة — لذلك يخصص المشروع مرحلة كاملة لـ D-22 وD-23 [HR-L1-051, HR-L1-052]</w:t>
            </w:r>
          </w:p>
        </w:tc>
      </w:tr>
      <w:tr>
        <w:tc>
          <w:tcPr>
            <w:tcW w:type="dxa" w:w="2160"/>
          </w:tcPr>
          <w:p>
            <w:r>
              <w:t>Proof Points</w:t>
            </w:r>
          </w:p>
        </w:tc>
        <w:tc>
          <w:tcPr>
            <w:tcW w:type="dxa" w:w="7200"/>
          </w:tcPr>
          <w:p>
            <w:r>
              <w:t>HR-L1-035, HR-L1-038, HR-L1-046, HR-L1-047, HR-L1-051, HR-L1-052</w:t>
            </w:r>
          </w:p>
        </w:tc>
      </w:tr>
      <w:tr>
        <w:tc>
          <w:tcPr>
            <w:tcW w:type="dxa" w:w="2160"/>
          </w:tcPr>
          <w:p>
            <w:r>
              <w:t>Visual</w:t>
            </w:r>
          </w:p>
        </w:tc>
        <w:tc>
          <w:tcPr>
            <w:tcW w:type="dxa" w:w="7200"/>
          </w:tcPr>
          <w:p>
            <w:r>
              <w:t>رسم بياني ثنائي: الجانب الأيسر يعرض الوضع الراهن (4 أشكال تقليدية) والجانب الأيمن يعرض الوضع المستهدف (منظومة متكاملة). سهم تحول في المنتصف يمثل المشروع.</w:t>
            </w:r>
          </w:p>
        </w:tc>
      </w:tr>
      <w:tr>
        <w:tc>
          <w:tcPr>
            <w:tcW w:type="dxa" w:w="2160"/>
          </w:tcPr>
          <w:p>
            <w:r>
              <w:t>Must-Have Evidence</w:t>
            </w:r>
          </w:p>
        </w:tc>
        <w:tc>
          <w:tcPr>
            <w:tcW w:type="dxa" w:w="7200"/>
          </w:tcPr>
          <w:p>
            <w:r>
              <w:t>HR-L1-035, HR-L1-051</w:t>
            </w:r>
          </w:p>
        </w:tc>
      </w:tr>
      <w:tr>
        <w:tc>
          <w:tcPr>
            <w:tcW w:type="dxa" w:w="2160"/>
          </w:tcPr>
          <w:p>
            <w:r>
              <w:t>Forbidden</w:t>
            </w:r>
          </w:p>
        </w:tc>
        <w:tc>
          <w:tcPr>
            <w:tcW w:type="dxa" w:w="7200"/>
          </w:tcPr>
          <w:p>
            <w:r>
              <w:t>ادعاءات كمية عن حجم الفجوة دون بيانات مؤكدة, انتقاد صريح للوضع الراهن للمركز, افتراض أن الأشكال الأربعة المذكورة حصرية</w:t>
            </w:r>
          </w:p>
        </w:tc>
      </w:tr>
    </w:tbl>
    <w:p/>
    <w:p>
      <w:pPr>
        <w:pStyle w:val="Heading2"/>
      </w:pPr>
      <w:r>
        <w:t>Slide 5: الأسباب الجذرية الستة وربطها بالمخرجات الإلزامية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مصفوفة أسباب جذرية — 6 أسباب مربوطة بمخرجات</w:t>
            </w:r>
          </w:p>
        </w:tc>
      </w:tr>
      <w:tr>
        <w:tc>
          <w:tcPr>
            <w:tcW w:type="dxa" w:w="2160"/>
          </w:tcPr>
          <w:p>
            <w:r>
              <w:t>Purpose</w:t>
            </w:r>
          </w:p>
        </w:tc>
        <w:tc>
          <w:tcPr>
            <w:tcW w:type="dxa" w:w="7200"/>
          </w:tcPr>
          <w:p>
            <w:r>
              <w:t>ربط كل سبب جذري للفجوة بمخرجات إلزامية محددة لإثبات أن المنهجية المقترحة تعالج الأسباب وليس الأعراض.</w:t>
            </w:r>
          </w:p>
        </w:tc>
      </w:tr>
      <w:tr>
        <w:tc>
          <w:tcPr>
            <w:tcW w:type="dxa" w:w="2160"/>
          </w:tcPr>
          <w:p>
            <w:r>
              <w:t>Key Message</w:t>
            </w:r>
          </w:p>
        </w:tc>
        <w:tc>
          <w:tcPr>
            <w:tcW w:type="dxa" w:w="7200"/>
          </w:tcPr>
          <w:p>
            <w:r>
              <w:t>كل سبب جذري للفجوة في القطاع غير الربحي مرتبط مباشرة بمخرجات إلزامية محددة في نطاق العمل مما يؤكد شمولية تصميم المنافسة.</w:t>
            </w:r>
          </w:p>
        </w:tc>
      </w:tr>
      <w:tr>
        <w:tc>
          <w:tcPr>
            <w:tcW w:type="dxa" w:w="2160"/>
          </w:tcPr>
          <w:p>
            <w:r>
              <w:t>Bullet Logic</w:t>
            </w:r>
          </w:p>
        </w:tc>
        <w:tc>
          <w:tcPr>
            <w:tcW w:type="dxa" w:w="7200"/>
          </w:tcPr>
          <w:p>
            <w:r>
              <w:t>غياب إطار تصنيفي موحد → D-6, D-9, D-10 — حصر وتصنيف عبر 5 قطاعات [SI-2, EXT-003]</w:t>
              <w:br/>
              <w:t>ضعف الربط بالاحتياجات التنموية → D-15, D-16, D-17 — تحليل احتياجات وربط بالمنتجات المبتكرة [SI-5, EXT-006]</w:t>
              <w:br/>
              <w:t>محدودية المقارنة المعيارية الدولية → D-7, D-12 — دراسة 5 دول كحد أدنى [SI-3, EXT-001, EXT-005, EXT-007]</w:t>
              <w:br/>
              <w:t>غياب منهجية قياس الأثر → D-22, D-23 — منهجية ومؤشرات [SI-7, EXT-009]</w:t>
              <w:br/>
              <w:t>ضعف آليات التحفيز والتفعيل → D-18, D-19, D-20, D-21 — أولويات وبطاقات وحزم تحفيزية [SI-6]</w:t>
            </w:r>
          </w:p>
        </w:tc>
      </w:tr>
      <w:tr>
        <w:tc>
          <w:tcPr>
            <w:tcW w:type="dxa" w:w="2160"/>
          </w:tcPr>
          <w:p>
            <w:r>
              <w:t>Proof Points</w:t>
            </w:r>
          </w:p>
        </w:tc>
        <w:tc>
          <w:tcPr>
            <w:tcW w:type="dxa" w:w="7200"/>
          </w:tcPr>
          <w:p>
            <w:r>
              <w:t>EXT-003, EXT-006, EXT-001, EXT-005, EXT-007, EXT-009</w:t>
            </w:r>
          </w:p>
        </w:tc>
      </w:tr>
      <w:tr>
        <w:tc>
          <w:tcPr>
            <w:tcW w:type="dxa" w:w="2160"/>
          </w:tcPr>
          <w:p>
            <w:r>
              <w:t>Visual</w:t>
            </w:r>
          </w:p>
        </w:tc>
        <w:tc>
          <w:tcPr>
            <w:tcW w:type="dxa" w:w="7200"/>
          </w:tcPr>
          <w:p>
            <w:r>
              <w:t>مصفوفة 6×3: العمود الأول = السبب الجذري، العمود الثاني = المخرجات المعالِجة (بأرقام D-xx)، العمود الثالث = بند نطاق العمل (SI-x). ترميز لوني حسب المرحلة.</w:t>
            </w:r>
          </w:p>
        </w:tc>
      </w:tr>
      <w:tr>
        <w:tc>
          <w:tcPr>
            <w:tcW w:type="dxa" w:w="2160"/>
          </w:tcPr>
          <w:p>
            <w:r>
              <w:t>Must-Have Evidence</w:t>
            </w:r>
          </w:p>
        </w:tc>
        <w:tc>
          <w:tcPr>
            <w:tcW w:type="dxa" w:w="7200"/>
          </w:tcPr>
          <w:p>
            <w:r>
              <w:t>EXT-003, EXT-006</w:t>
            </w:r>
          </w:p>
        </w:tc>
      </w:tr>
      <w:tr>
        <w:tc>
          <w:tcPr>
            <w:tcW w:type="dxa" w:w="2160"/>
          </w:tcPr>
          <w:p>
            <w:r>
              <w:t>Forbidden</w:t>
            </w:r>
          </w:p>
        </w:tc>
        <w:tc>
          <w:tcPr>
            <w:tcW w:type="dxa" w:w="7200"/>
          </w:tcPr>
          <w:p>
            <w:r>
              <w:t>تقديم الأسباب الجذرية كحقائق مؤكدة دون تصنيفها كاستنتاجات, إغفال ربط أي سبب بمخرج إلزامي, استخدام أرقام كمية غير مؤكدة</w:t>
            </w:r>
          </w:p>
        </w:tc>
      </w:tr>
    </w:tbl>
    <w:p/>
    <w:p>
      <w:pPr>
        <w:pStyle w:val="Heading2"/>
      </w:pPr>
      <w:r>
        <w:t>Slide 6: لماذا الآن — نافذة العمل والتكلفة المركّبة للتأخير</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مخطط زمني — لماذا الآن</w:t>
            </w:r>
          </w:p>
        </w:tc>
      </w:tr>
      <w:tr>
        <w:tc>
          <w:tcPr>
            <w:tcW w:type="dxa" w:w="2160"/>
          </w:tcPr>
          <w:p>
            <w:r>
              <w:t>Purpose</w:t>
            </w:r>
          </w:p>
        </w:tc>
        <w:tc>
          <w:tcPr>
            <w:tcW w:type="dxa" w:w="7200"/>
          </w:tcPr>
          <w:p>
            <w:r>
              <w:t>تبرير إلحاح المشروع وربطه بالسياق المؤسسي والاستراتيجي لرؤية 2030.</w:t>
            </w:r>
          </w:p>
        </w:tc>
      </w:tr>
      <w:tr>
        <w:tc>
          <w:tcPr>
            <w:tcW w:type="dxa" w:w="2160"/>
          </w:tcPr>
          <w:p>
            <w:r>
              <w:t>Key Message</w:t>
            </w:r>
          </w:p>
        </w:tc>
        <w:tc>
          <w:tcPr>
            <w:tcW w:type="dxa" w:w="7200"/>
          </w:tcPr>
          <w:p>
            <w:r>
              <w:t>تزامن التحول المؤسسي للقطاع غير الربحي مع مستهدفات رؤية 2030 يخلق نافذة عمل محددة يجب استثمارها قبل تبلور ممارسات غير موجّهة. — يتطلب تأكيد التعيينات من المحرك الثاني</w:t>
            </w:r>
          </w:p>
        </w:tc>
      </w:tr>
      <w:tr>
        <w:tc>
          <w:tcPr>
            <w:tcW w:type="dxa" w:w="2160"/>
          </w:tcPr>
          <w:p>
            <w:r>
              <w:t>Bullet Logic</w:t>
            </w:r>
          </w:p>
        </w:tc>
        <w:tc>
          <w:tcPr>
            <w:tcW w:type="dxa" w:w="7200"/>
          </w:tcPr>
          <w:p>
            <w:r>
              <w:t>السياق المؤسسي: المركز الوطني هو الذراع التنظيمي والتمكيني للقطاع الثالث ضمن منظومة رؤية 2030 [DIRECT_RFP_FACT]</w:t>
              <w:br/>
              <w:t>الإلحاح الزمني: 23 مخرجاً إلزامياً في 12 شهراً يعكس عمق الفجوة المعرفية وإلحاح سدها [HR-L1-002, HR-L1-030]</w:t>
              <w:br/>
              <w:t>التسارع الدولي: دول مثل أستراليا [EXT-005] وإندونيسيا [EXT-007] تتقدم في تطوير قطاعاتها غير الربحية — التأخير يوسّع الفجوة المقارنة</w:t>
              <w:br/>
              <w:t>تكلفة التأخير: فقدان دورة تخطيط للمنظمات غير الربحية واستمرار تدفق الموارد دون توجيه استراتيجي مبني على تحليل الاحتياجات</w:t>
            </w:r>
          </w:p>
        </w:tc>
      </w:tr>
      <w:tr>
        <w:tc>
          <w:tcPr>
            <w:tcW w:type="dxa" w:w="2160"/>
          </w:tcPr>
          <w:p>
            <w:r>
              <w:t>Proof Points</w:t>
            </w:r>
          </w:p>
        </w:tc>
        <w:tc>
          <w:tcPr>
            <w:tcW w:type="dxa" w:w="7200"/>
          </w:tcPr>
          <w:p>
            <w:r>
              <w:t>HR-L1-002, HR-L1-030, EXT-005, EXT-007</w:t>
            </w:r>
          </w:p>
        </w:tc>
      </w:tr>
      <w:tr>
        <w:tc>
          <w:tcPr>
            <w:tcW w:type="dxa" w:w="2160"/>
          </w:tcPr>
          <w:p>
            <w:r>
              <w:t>Visual</w:t>
            </w:r>
          </w:p>
        </w:tc>
        <w:tc>
          <w:tcPr>
            <w:tcW w:type="dxa" w:w="7200"/>
          </w:tcPr>
          <w:p>
            <w:r>
              <w:t>مخطط زمني يوضح: التحولات المؤسسية الجارية ← نافذة العمل الحالية ← تكلفة التأخير. أيقونات للنماذج الدولية الثلاثة.</w:t>
            </w:r>
          </w:p>
        </w:tc>
      </w:tr>
      <w:tr>
        <w:tc>
          <w:tcPr>
            <w:tcW w:type="dxa" w:w="2160"/>
          </w:tcPr>
          <w:p>
            <w:r>
              <w:t>Must-Have Evidence</w:t>
            </w:r>
          </w:p>
        </w:tc>
        <w:tc>
          <w:tcPr>
            <w:tcW w:type="dxa" w:w="7200"/>
          </w:tcPr>
          <w:p>
            <w:r>
              <w:t>HR-L1-002, EXT-005</w:t>
            </w:r>
          </w:p>
        </w:tc>
      </w:tr>
      <w:tr>
        <w:tc>
          <w:tcPr>
            <w:tcW w:type="dxa" w:w="2160"/>
          </w:tcPr>
          <w:p>
            <w:r>
              <w:t>Forbidden</w:t>
            </w:r>
          </w:p>
        </w:tc>
        <w:tc>
          <w:tcPr>
            <w:tcW w:type="dxa" w:w="7200"/>
          </w:tcPr>
          <w:p>
            <w:r>
              <w:t>أرقام دقيقة عن مستهدفات رؤية 2030 دون تحقق من المصادر الرسمية, ادعاءات كمية عن حجم الخسائر المالية, مقارنات سلبية مباشرة مع دول أخرى</w:t>
            </w:r>
          </w:p>
        </w:tc>
      </w:tr>
    </w:tbl>
    <w:p/>
    <w:p>
      <w:pPr>
        <w:pStyle w:val="Heading2"/>
      </w:pPr>
      <w:r>
        <w:t>Slide 7: خريطة التحول — من الوضع الراهن إلى المنظومة المتكاملة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خريطة تحول — 3 حالات</w:t>
            </w:r>
          </w:p>
        </w:tc>
      </w:tr>
      <w:tr>
        <w:tc>
          <w:tcPr>
            <w:tcW w:type="dxa" w:w="2160"/>
          </w:tcPr>
          <w:p>
            <w:r>
              <w:t>Purpose</w:t>
            </w:r>
          </w:p>
        </w:tc>
        <w:tc>
          <w:tcPr>
            <w:tcW w:type="dxa" w:w="7200"/>
          </w:tcPr>
          <w:p>
            <w:r>
              <w:t>عرض منطق التحول من الوضع الراهن إلى المستهدف عبر المراحل الخمس مع ربط كل مرحلة بمخرجاتها.</w:t>
            </w:r>
          </w:p>
        </w:tc>
      </w:tr>
      <w:tr>
        <w:tc>
          <w:tcPr>
            <w:tcW w:type="dxa" w:w="2160"/>
          </w:tcPr>
          <w:p>
            <w:r>
              <w:t>Key Message</w:t>
            </w:r>
          </w:p>
        </w:tc>
        <w:tc>
          <w:tcPr>
            <w:tcW w:type="dxa" w:w="7200"/>
          </w:tcPr>
          <w:p>
            <w:r>
              <w:t>المشروع ينقل المركز من غياب الخارطة الشاملة إلى امتلاك منظومة متكاملة من التصنيف والتصميم والتفعيل وقياس الأثر خلال 12 شهراً.</w:t>
            </w:r>
          </w:p>
        </w:tc>
      </w:tr>
      <w:tr>
        <w:tc>
          <w:tcPr>
            <w:tcW w:type="dxa" w:w="2160"/>
          </w:tcPr>
          <w:p>
            <w:r>
              <w:t>Bullet Logic</w:t>
            </w:r>
          </w:p>
        </w:tc>
        <w:tc>
          <w:tcPr>
            <w:tcW w:type="dxa" w:w="7200"/>
          </w:tcPr>
          <w:p>
            <w:r>
              <w:t>الحالة الراهنة: أنماط خدمية تقليدية غير مصنفة وغير مربوطة بالاحتياجات وغير مقاسة الأثر [SI-4 — DIRECT_RFP_FACT]</w:t>
              <w:br/>
              <w:t>حالة الانتقال: 5 مراحل متسلسلة — تأسيس ← حصر ← تحليل ← تفعيل ← قياس أثر [HR-L1-002]</w:t>
              <w:br/>
              <w:t>الحالة المستهدفة: خارطة شاملة (D-6) + قائمة منتجات مبتكرة (D-13) + بطاقات تشغيلية (D-21) + خطة تنفيذية (D-19) + منهجية قياس أثر (D-22)</w:t>
              <w:br/>
              <w:t>نقل المعرفة: فريق مركز مدرّب وقادر على تحديث المنظومة ذاتياً [SI-8]</w:t>
            </w:r>
          </w:p>
        </w:tc>
      </w:tr>
      <w:tr>
        <w:tc>
          <w:tcPr>
            <w:tcW w:type="dxa" w:w="2160"/>
          </w:tcPr>
          <w:p>
            <w:r>
              <w:t>Proof Points</w:t>
            </w:r>
          </w:p>
        </w:tc>
        <w:tc>
          <w:tcPr>
            <w:tcW w:type="dxa" w:w="7200"/>
          </w:tcPr>
          <w:p>
            <w:r>
              <w:t>HR-L1-002, HR-L1-035, HR-L1-042, HR-L1-050, HR-L1-051</w:t>
            </w:r>
          </w:p>
        </w:tc>
      </w:tr>
      <w:tr>
        <w:tc>
          <w:tcPr>
            <w:tcW w:type="dxa" w:w="2160"/>
          </w:tcPr>
          <w:p>
            <w:r>
              <w:t>Visual</w:t>
            </w:r>
          </w:p>
        </w:tc>
        <w:tc>
          <w:tcPr>
            <w:tcW w:type="dxa" w:w="7200"/>
          </w:tcPr>
          <w:p>
            <w:r>
              <w:t>مخطط تحول ثلاثي الحالات: دائرة يسرى (الراهن) ← سهم يمر عبر 5 مراحل ← دائرة يمنى (المستهدف). كل مرحلة تحتوي أرقام مخرجاتها.</w:t>
            </w:r>
          </w:p>
        </w:tc>
      </w:tr>
      <w:tr>
        <w:tc>
          <w:tcPr>
            <w:tcW w:type="dxa" w:w="2160"/>
          </w:tcPr>
          <w:p>
            <w:r>
              <w:t>Must-Have Evidence</w:t>
            </w:r>
          </w:p>
        </w:tc>
        <w:tc>
          <w:tcPr>
            <w:tcW w:type="dxa" w:w="7200"/>
          </w:tcPr>
          <w:p>
            <w:r>
              <w:t>HR-L1-002</w:t>
            </w:r>
          </w:p>
        </w:tc>
      </w:tr>
      <w:tr>
        <w:tc>
          <w:tcPr>
            <w:tcW w:type="dxa" w:w="2160"/>
          </w:tcPr>
          <w:p>
            <w:r>
              <w:t>Forbidden</w:t>
            </w:r>
          </w:p>
        </w:tc>
        <w:tc>
          <w:tcPr>
            <w:tcW w:type="dxa" w:w="7200"/>
          </w:tcPr>
          <w:p>
            <w:r>
              <w:t>وعود بنتائج خارج نطاق العقد, خلط بين مخرجات العقد وأفق التنفيذ الموصى به بعد العقد</w:t>
            </w:r>
          </w:p>
        </w:tc>
      </w:tr>
    </w:tbl>
    <w:p/>
    <w:p>
      <w:pPr>
        <w:pStyle w:val="Heading2"/>
      </w:pPr>
      <w:r>
        <w:t>Slide 8: تطابق القدرات — تصميم مُستهدَف لكل متطلب مُحدَّد</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Strategic Gears / تطابق القدرات</w:t>
            </w:r>
          </w:p>
        </w:tc>
      </w:tr>
      <w:tr>
        <w:tc>
          <w:tcPr>
            <w:tcW w:type="dxa" w:w="2160"/>
          </w:tcPr>
          <w:p>
            <w:r>
              <w:t>Layout</w:t>
            </w:r>
          </w:p>
        </w:tc>
        <w:tc>
          <w:tcPr>
            <w:tcW w:type="dxa" w:w="7200"/>
          </w:tcPr>
          <w:p>
            <w:r>
              <w:t>مصفوفة تطابق — المتطلبات × القدرات</w:t>
            </w:r>
          </w:p>
        </w:tc>
      </w:tr>
      <w:tr>
        <w:tc>
          <w:tcPr>
            <w:tcW w:type="dxa" w:w="2160"/>
          </w:tcPr>
          <w:p>
            <w:r>
              <w:t>Purpose</w:t>
            </w:r>
          </w:p>
        </w:tc>
        <w:tc>
          <w:tcPr>
            <w:tcW w:type="dxa" w:w="7200"/>
          </w:tcPr>
          <w:p>
            <w:r>
              <w:t>إثبات أن SG تمتلك التصميم المنهجي المناسب لكل متطلب رئيسي مع الشفافية حول الأدلة المتاحة والفجوات.</w:t>
            </w:r>
          </w:p>
        </w:tc>
      </w:tr>
      <w:tr>
        <w:tc>
          <w:tcPr>
            <w:tcW w:type="dxa" w:w="2160"/>
          </w:tcPr>
          <w:p>
            <w:r>
              <w:t>Key Message</w:t>
            </w:r>
          </w:p>
        </w:tc>
        <w:tc>
          <w:tcPr>
            <w:tcW w:type="dxa" w:w="7200"/>
          </w:tcPr>
          <w:p>
            <w:r>
              <w:t>تقدم SG تصميماً منهجياً مُستهدَفاً لكل متطلب مُحدَّد رئيسي في نطاق العمل مدعوماً بأطر دولية مرجعية وخبرة سابقة مع نفس العميل. — يتطلب تأكيد التعيينات من المحرك الثاني</w:t>
            </w:r>
          </w:p>
        </w:tc>
      </w:tr>
      <w:tr>
        <w:tc>
          <w:tcPr>
            <w:tcW w:type="dxa" w:w="2160"/>
          </w:tcPr>
          <w:p>
            <w:r>
              <w:t>Bullet Logic</w:t>
            </w:r>
          </w:p>
        </w:tc>
        <w:tc>
          <w:tcPr>
            <w:tcW w:type="dxa" w:w="7200"/>
          </w:tcPr>
          <w:p>
            <w:r>
              <w:t>تصميم المنهجية (D-1): نهج بحثي مختلط مستند إلى إطار السياسات القائمة على الأدلة [EXT-001] ومنهجية CNA [EXT-006]</w:t>
              <w:br/>
              <w:t>الحصر القطاعي (D-6, D-9): إطار تصنيف هجين ISIC/NAICS/ICNPO [EXT-003] مع ضبط جودة DMAIC [EXT-002]</w:t>
              <w:br/>
              <w:t>المقارنات الدولية (D-7): تغطية مبدئية لـ 3 دول [EXT-001, EXT-005, EXT-007] مع خطة استكمال لدولتين إضافيتين</w:t>
              <w:br/>
              <w:t>تحليل أصحاب المصلحة (D-8, D-11): حزمة 68 أداة تشاركية [EXT-004]</w:t>
              <w:br/>
              <w:t>خبرة سابقة مع نفس العميل: مشروع PRJ-001 مع المركز الوطني — التفاصيل قيد الاسترجاع من Engine 2</w:t>
            </w:r>
          </w:p>
        </w:tc>
      </w:tr>
      <w:tr>
        <w:tc>
          <w:tcPr>
            <w:tcW w:type="dxa" w:w="2160"/>
          </w:tcPr>
          <w:p>
            <w:r>
              <w:t>Proof Points</w:t>
            </w:r>
          </w:p>
        </w:tc>
        <w:tc>
          <w:tcPr>
            <w:tcW w:type="dxa" w:w="7200"/>
          </w:tcPr>
          <w:p>
            <w:r>
              <w:t>EXT-001, EXT-002, EXT-003, EXT-004, EXT-005, EXT-006, EXT-007</w:t>
            </w:r>
          </w:p>
        </w:tc>
      </w:tr>
      <w:tr>
        <w:tc>
          <w:tcPr>
            <w:tcW w:type="dxa" w:w="2160"/>
          </w:tcPr>
          <w:p>
            <w:r>
              <w:t>Visual</w:t>
            </w:r>
          </w:p>
        </w:tc>
        <w:tc>
          <w:tcPr>
            <w:tcW w:type="dxa" w:w="7200"/>
          </w:tcPr>
          <w:p>
            <w:r>
              <w:t>مصفوفة: الصفوف = المتطلبات الرئيسية (6-8 متطلبات)، الأعمدة = القدرة المقترحة + المرجع الدولي + قوة الدليل (قوي/متوسط/يتطلب استكمال). ترميز لوني.</w:t>
            </w:r>
          </w:p>
        </w:tc>
      </w:tr>
      <w:tr>
        <w:tc>
          <w:tcPr>
            <w:tcW w:type="dxa" w:w="2160"/>
          </w:tcPr>
          <w:p>
            <w:r>
              <w:t>Must-Have Evidence</w:t>
            </w:r>
          </w:p>
        </w:tc>
        <w:tc>
          <w:tcPr>
            <w:tcW w:type="dxa" w:w="7200"/>
          </w:tcPr>
          <w:p>
            <w:r>
              <w:t>EXT-001, EXT-003</w:t>
            </w:r>
          </w:p>
        </w:tc>
      </w:tr>
      <w:tr>
        <w:tc>
          <w:tcPr>
            <w:tcW w:type="dxa" w:w="2160"/>
          </w:tcPr>
          <w:p>
            <w:r>
              <w:t>Forbidden</w:t>
            </w:r>
          </w:p>
        </w:tc>
        <w:tc>
          <w:tcPr>
            <w:tcW w:type="dxa" w:w="7200"/>
          </w:tcPr>
          <w:p>
            <w:r>
              <w:t>ادعاء أن كل متطلب مغطى بقدرة مثبتة, إخفاء فجوات الأدلة, استخدام كلمات مثل 'خبرة مباشرة موثقة' دون إثبات من Engine 2</w:t>
            </w:r>
          </w:p>
        </w:tc>
      </w:tr>
    </w:tbl>
    <w:p/>
    <w:p>
      <w:pPr>
        <w:pStyle w:val="Heading2"/>
      </w:pPr>
      <w:r>
        <w:t>Slide 9: القدرات المنهجية الأساسية — تصميم مُستهدَف</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Strategic Gears / تطابق القدرات</w:t>
            </w:r>
          </w:p>
        </w:tc>
      </w:tr>
      <w:tr>
        <w:tc>
          <w:tcPr>
            <w:tcW w:type="dxa" w:w="2160"/>
          </w:tcPr>
          <w:p>
            <w:r>
              <w:t>Layout</w:t>
            </w:r>
          </w:p>
        </w:tc>
        <w:tc>
          <w:tcPr>
            <w:tcW w:type="dxa" w:w="7200"/>
          </w:tcPr>
          <w:p>
            <w:r>
              <w:t>بطاقات قدرات — 3 بطاقات رئيسية</w:t>
            </w:r>
          </w:p>
        </w:tc>
      </w:tr>
      <w:tr>
        <w:tc>
          <w:tcPr>
            <w:tcW w:type="dxa" w:w="2160"/>
          </w:tcPr>
          <w:p>
            <w:r>
              <w:t>Purpose</w:t>
            </w:r>
          </w:p>
        </w:tc>
        <w:tc>
          <w:tcPr>
            <w:tcW w:type="dxa" w:w="7200"/>
          </w:tcPr>
          <w:p>
            <w:r>
              <w:t>تفصيل القدرات المنهجية الثلاث الأكثر أهمية لاجتياز التقييم الفني.</w:t>
            </w:r>
          </w:p>
        </w:tc>
      </w:tr>
      <w:tr>
        <w:tc>
          <w:tcPr>
            <w:tcW w:type="dxa" w:w="2160"/>
          </w:tcPr>
          <w:p>
            <w:r>
              <w:t>Key Message</w:t>
            </w:r>
          </w:p>
        </w:tc>
        <w:tc>
          <w:tcPr>
            <w:tcW w:type="dxa" w:w="7200"/>
          </w:tcPr>
          <w:p>
            <w:r>
              <w:t>تصميم SG المنهجي يجمع بين ثلاثة مسارات تحليلية متمُستهدَفة — كمي ونوعي ومقارن — مدعومة بأطر دولية مرجعية. — يتطلب تأكيد التعيينات من المحرك الثاني</w:t>
            </w:r>
          </w:p>
        </w:tc>
      </w:tr>
      <w:tr>
        <w:tc>
          <w:tcPr>
            <w:tcW w:type="dxa" w:w="2160"/>
          </w:tcPr>
          <w:p>
            <w:r>
              <w:t>Bullet Logic</w:t>
            </w:r>
          </w:p>
        </w:tc>
        <w:tc>
          <w:tcPr>
            <w:tcW w:type="dxa" w:w="7200"/>
          </w:tcPr>
          <w:p>
            <w:r>
              <w:t>المسار الكمي: حصر وتصنيف منظم عبر ISIC/NAICS مع ضبط جودة DMAIC — يغذي D-6, D-9, D-10 [EXT-002, EXT-003]</w:t>
              <w:br/>
              <w:t>المسار النوعي: مقابلات معمقة وورش تشاركية باستخدام 68 أداة مشاركة — يغذي D-8, D-11, D-13 [EXT-004]</w:t>
              <w:br/>
              <w:t>المسار المقارن: دراسة 5 دول (أمريكا، أستراليا، إندونيسيا + دولتان إضافيتان) — يغذي D-7, D-12 [EXT-001, EXT-005, EXT-007]</w:t>
              <w:br/>
              <w:t>التكامل: منهجية CNA تربط بين المسارات الثلاثة لتحليل الاحتياجات وتصميم التدخلات [EXT-006]</w:t>
            </w:r>
          </w:p>
        </w:tc>
      </w:tr>
      <w:tr>
        <w:tc>
          <w:tcPr>
            <w:tcW w:type="dxa" w:w="2160"/>
          </w:tcPr>
          <w:p>
            <w:r>
              <w:t>Proof Points</w:t>
            </w:r>
          </w:p>
        </w:tc>
        <w:tc>
          <w:tcPr>
            <w:tcW w:type="dxa" w:w="7200"/>
          </w:tcPr>
          <w:p>
            <w:r>
              <w:t>EXT-001, EXT-002, EXT-003, EXT-004, EXT-005, EXT-006, EXT-007</w:t>
            </w:r>
          </w:p>
        </w:tc>
      </w:tr>
      <w:tr>
        <w:tc>
          <w:tcPr>
            <w:tcW w:type="dxa" w:w="2160"/>
          </w:tcPr>
          <w:p>
            <w:r>
              <w:t>Visual</w:t>
            </w:r>
          </w:p>
        </w:tc>
        <w:tc>
          <w:tcPr>
            <w:tcW w:type="dxa" w:w="7200"/>
          </w:tcPr>
          <w:p>
            <w:r>
              <w:t>3 بطاقات متجاورة: كل بطاقة تمثل مساراً تحليلياً مع أيقونة ومرجع دولي ومخرجات مستهدفة. سهم تكاملي يربط البطاقات الثلاث.</w:t>
            </w:r>
          </w:p>
        </w:tc>
      </w:tr>
      <w:tr>
        <w:tc>
          <w:tcPr>
            <w:tcW w:type="dxa" w:w="2160"/>
          </w:tcPr>
          <w:p>
            <w:r>
              <w:t>Must-Have Evidence</w:t>
            </w:r>
          </w:p>
        </w:tc>
        <w:tc>
          <w:tcPr>
            <w:tcW w:type="dxa" w:w="7200"/>
          </w:tcPr>
          <w:p>
            <w:r>
              <w:t>EXT-002, EXT-003, EXT-006</w:t>
            </w:r>
          </w:p>
        </w:tc>
      </w:tr>
      <w:tr>
        <w:tc>
          <w:tcPr>
            <w:tcW w:type="dxa" w:w="2160"/>
          </w:tcPr>
          <w:p>
            <w:r>
              <w:t>Forbidden</w:t>
            </w:r>
          </w:p>
        </w:tc>
        <w:tc>
          <w:tcPr>
            <w:tcW w:type="dxa" w:w="7200"/>
          </w:tcPr>
          <w:p>
            <w:r>
              <w:t>ادعاء خبرة مباشرة في الحصر القطاعي دون إثبات, تقديم الأطر الدولية كدليل على قدرات SG بدلاً من كونها مراجع منهجية داعمة</w:t>
            </w:r>
          </w:p>
        </w:tc>
      </w:tr>
    </w:tbl>
    <w:p/>
    <w:p>
      <w:pPr>
        <w:pStyle w:val="Heading2"/>
      </w:pPr>
      <w:r>
        <w:t>Slide 10: خبرة سابقة مع المركز الوطني — PRJ-001</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Strategic Gears / تطابق القدرات</w:t>
            </w:r>
          </w:p>
        </w:tc>
      </w:tr>
      <w:tr>
        <w:tc>
          <w:tcPr>
            <w:tcW w:type="dxa" w:w="2160"/>
          </w:tcPr>
          <w:p>
            <w:r>
              <w:t>Layout</w:t>
            </w:r>
          </w:p>
        </w:tc>
        <w:tc>
          <w:tcPr>
            <w:tcW w:type="dxa" w:w="7200"/>
          </w:tcPr>
          <w:p>
            <w:r>
              <w:t>بطاقة مشروع سابق + فجوات شفافة</w:t>
            </w:r>
          </w:p>
        </w:tc>
      </w:tr>
      <w:tr>
        <w:tc>
          <w:tcPr>
            <w:tcW w:type="dxa" w:w="2160"/>
          </w:tcPr>
          <w:p>
            <w:r>
              <w:t>Purpose</w:t>
            </w:r>
          </w:p>
        </w:tc>
        <w:tc>
          <w:tcPr>
            <w:tcW w:type="dxa" w:w="7200"/>
          </w:tcPr>
          <w:p>
            <w:r>
              <w:t>عرض الخبرة السابقة مع نفس العميل مع الشفافية حول المعلومات المتاحة والمطلوبة.</w:t>
            </w:r>
          </w:p>
        </w:tc>
      </w:tr>
      <w:tr>
        <w:tc>
          <w:tcPr>
            <w:tcW w:type="dxa" w:w="2160"/>
          </w:tcPr>
          <w:p>
            <w:r>
              <w:t>Key Message</w:t>
            </w:r>
          </w:p>
        </w:tc>
        <w:tc>
          <w:tcPr>
            <w:tcW w:type="dxa" w:w="7200"/>
          </w:tcPr>
          <w:p>
            <w:r>
              <w:t>نفذت SG مشروعاً سابقاً مع المركز الوطني لتنمية القطاع غير الربحي في مجال خدمات ومنتجات القطاع — التفاصيل المُستهدَفة قيد الاسترجاع. — يتطلب تأكيد التعيينات من المحرك الثاني — يتطلب إثبات من سجل المشاريع</w:t>
            </w:r>
          </w:p>
        </w:tc>
      </w:tr>
      <w:tr>
        <w:tc>
          <w:tcPr>
            <w:tcW w:type="dxa" w:w="2160"/>
          </w:tcPr>
          <w:p>
            <w:r>
              <w:t>Bullet Logic</w:t>
            </w:r>
          </w:p>
        </w:tc>
        <w:tc>
          <w:tcPr>
            <w:tcW w:type="dxa" w:w="7200"/>
          </w:tcPr>
          <w:p>
            <w:r>
              <w:t>المشروع: PRJ-001 — خدمات ومنتجات القطاع غير الربحي مع المركز الوطني لتنمية القطاع غير الربحي</w:t>
              <w:br/>
              <w:t>الصلة المباشرة: نفس العميل ونفس المجال الموضوعي — دليل أولي على الفهم القطاعي والعلاقة المؤسسية</w:t>
              <w:br/>
              <w:t>فجوة معلنة: تفاصيل المنهجيات والمخرجات والنتائج قيد الاسترجاع من أرشيف المشاريع (Engine 2)</w:t>
              <w:br/>
              <w:t>الإجراء: استكمال الملف الكامل بما يشمل نطاق العمل والنتائج وخطاب مرجعي قبل التقديم</w:t>
            </w:r>
          </w:p>
        </w:tc>
      </w:tr>
      <w:tr>
        <w:tc>
          <w:tcPr>
            <w:tcW w:type="dxa" w:w="2160"/>
          </w:tcPr>
          <w:p>
            <w:r>
              <w:t>Proof Points</w:t>
            </w:r>
          </w:p>
        </w:tc>
        <w:tc>
          <w:tcPr>
            <w:tcW w:type="dxa" w:w="7200"/>
          </w:tcPr>
          <w:p>
            <w:r>
              <w:t>EXT-007, EXT-010</w:t>
            </w:r>
          </w:p>
        </w:tc>
      </w:tr>
      <w:tr>
        <w:tc>
          <w:tcPr>
            <w:tcW w:type="dxa" w:w="2160"/>
          </w:tcPr>
          <w:p>
            <w:r>
              <w:t>Visual</w:t>
            </w:r>
          </w:p>
        </w:tc>
        <w:tc>
          <w:tcPr>
            <w:tcW w:type="dxa" w:w="7200"/>
          </w:tcPr>
          <w:p>
            <w:r>
              <w:t>بطاقة مشروع واحدة بتصميم بارز: اسم المشروع، العميل، المجال. قسم 'قيد الاسترجاع' بلون مميز يوضح الفجوة بشفافية.</w:t>
            </w:r>
          </w:p>
        </w:tc>
      </w:tr>
      <w:tr>
        <w:tc>
          <w:tcPr>
            <w:tcW w:type="dxa" w:w="2160"/>
          </w:tcPr>
          <w:p>
            <w:r>
              <w:t>Must-Have Evidence</w:t>
            </w:r>
          </w:p>
        </w:tc>
        <w:tc>
          <w:tcPr>
            <w:tcW w:type="dxa" w:w="7200"/>
          </w:tcPr>
          <w:p>
            <w:r>
              <w:t>EXT-007</w:t>
            </w:r>
          </w:p>
        </w:tc>
      </w:tr>
      <w:tr>
        <w:tc>
          <w:tcPr>
            <w:tcW w:type="dxa" w:w="2160"/>
          </w:tcPr>
          <w:p>
            <w:r>
              <w:t>Forbidden</w:t>
            </w:r>
          </w:p>
        </w:tc>
        <w:tc>
          <w:tcPr>
            <w:tcW w:type="dxa" w:w="7200"/>
          </w:tcPr>
          <w:p>
            <w:r>
              <w:t>ادعاء نتائج محددة لـ PRJ-001 دون تأكيد, تقديم المشروع كدليل كامل على القدرة, إخفاء أن التفاصيل غير متوفرة حالياً</w:t>
            </w:r>
          </w:p>
        </w:tc>
      </w:tr>
    </w:tbl>
    <w:p/>
    <w:p>
      <w:pPr>
        <w:pStyle w:val="Heading2"/>
      </w:pPr>
      <w:r>
        <w:t>Slide 11: فجوات الأدلة وخطة الاستكمال — شفافية مُستهدَفة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Strategic Gears / تطابق القدرات</w:t>
            </w:r>
          </w:p>
        </w:tc>
      </w:tr>
      <w:tr>
        <w:tc>
          <w:tcPr>
            <w:tcW w:type="dxa" w:w="2160"/>
          </w:tcPr>
          <w:p>
            <w:r>
              <w:t>Layout</w:t>
            </w:r>
          </w:p>
        </w:tc>
        <w:tc>
          <w:tcPr>
            <w:tcW w:type="dxa" w:w="7200"/>
          </w:tcPr>
          <w:p>
            <w:r>
              <w:t>مصفوفة فجوات — شفافية كاملة</w:t>
            </w:r>
          </w:p>
        </w:tc>
      </w:tr>
      <w:tr>
        <w:tc>
          <w:tcPr>
            <w:tcW w:type="dxa" w:w="2160"/>
          </w:tcPr>
          <w:p>
            <w:r>
              <w:t>Purpose</w:t>
            </w:r>
          </w:p>
        </w:tc>
        <w:tc>
          <w:tcPr>
            <w:tcW w:type="dxa" w:w="7200"/>
          </w:tcPr>
          <w:p>
            <w:r>
              <w:t>إظهار الشفافية المهنية حول فجوات الأدلة مع خطة واضحة لسدها قبل التقديم.</w:t>
            </w:r>
          </w:p>
        </w:tc>
      </w:tr>
      <w:tr>
        <w:tc>
          <w:tcPr>
            <w:tcW w:type="dxa" w:w="2160"/>
          </w:tcPr>
          <w:p>
            <w:r>
              <w:t>Key Message</w:t>
            </w:r>
          </w:p>
        </w:tc>
        <w:tc>
          <w:tcPr>
            <w:tcW w:type="dxa" w:w="7200"/>
          </w:tcPr>
          <w:p>
            <w:r>
              <w:t>تحدد SG بشفافية فجوات الأدلة المتبقية مع خطة استكمال محددة المسؤوليات والمواعيد لضمان اجتياز التقييم الفني. — يتطلب تأكيد التعيينات من المحرك الثاني</w:t>
            </w:r>
          </w:p>
        </w:tc>
      </w:tr>
      <w:tr>
        <w:tc>
          <w:tcPr>
            <w:tcW w:type="dxa" w:w="2160"/>
          </w:tcPr>
          <w:p>
            <w:r>
              <w:t>Bullet Logic</w:t>
            </w:r>
          </w:p>
        </w:tc>
        <w:tc>
          <w:tcPr>
            <w:tcW w:type="dxa" w:w="7200"/>
          </w:tcPr>
          <w:p>
            <w:r>
              <w:t>فجوة المقارنات الدولية: تغطية 3 دول من 5 — خطة بحث إضافي للمملكة المتحدة وماليزيا/تركيا [EXT-001, EXT-005, EXT-007]</w:t>
              <w:br/>
              <w:t>فجوة تفاصيل الفريق: ملفات الأدوار المفتوحة تتطلب مطابقة مع ملحق 2 — قيد الاسترجاع [HR-L1-018]</w:t>
              <w:br/>
              <w:t>فجوة المشاريع السابقة: PRJ-001 يتطلب استرجاع الملف الكامل — أولوية حرجة</w:t>
              <w:br/>
              <w:t>فجوة البيانات المحلية: بيانات القطاع غير الربحي السعودي تتطلب مصادر محلية — تُجمع في المرحلة 2</w:t>
            </w:r>
          </w:p>
        </w:tc>
      </w:tr>
      <w:tr>
        <w:tc>
          <w:tcPr>
            <w:tcW w:type="dxa" w:w="2160"/>
          </w:tcPr>
          <w:p>
            <w:r>
              <w:t>Proof Points</w:t>
            </w:r>
          </w:p>
        </w:tc>
        <w:tc>
          <w:tcPr>
            <w:tcW w:type="dxa" w:w="7200"/>
          </w:tcPr>
          <w:p>
            <w:r>
              <w:t>HR-L1-018, EXT-001, EXT-005, EXT-007</w:t>
            </w:r>
          </w:p>
        </w:tc>
      </w:tr>
      <w:tr>
        <w:tc>
          <w:tcPr>
            <w:tcW w:type="dxa" w:w="2160"/>
          </w:tcPr>
          <w:p>
            <w:r>
              <w:t>Visual</w:t>
            </w:r>
          </w:p>
        </w:tc>
        <w:tc>
          <w:tcPr>
            <w:tcW w:type="dxa" w:w="7200"/>
          </w:tcPr>
          <w:p>
            <w:r>
              <w:t>جدول فجوات: العمود الأول = الفجوة، العمود الثاني = الأثر على الاجتياز الفني، العمود الثالث = خطة السد، العمود الرابع = الموعد. ترميز لوني حسب الأولوية.</w:t>
            </w:r>
          </w:p>
        </w:tc>
      </w:tr>
      <w:tr>
        <w:tc>
          <w:tcPr>
            <w:tcW w:type="dxa" w:w="2160"/>
          </w:tcPr>
          <w:p>
            <w:r>
              <w:t>Must-Have Evidence</w:t>
            </w:r>
          </w:p>
        </w:tc>
        <w:tc>
          <w:tcPr>
            <w:tcW w:type="dxa" w:w="7200"/>
          </w:tcPr>
          <w:p>
            <w:r>
              <w:t>HR-L1-018</w:t>
            </w:r>
          </w:p>
        </w:tc>
      </w:tr>
      <w:tr>
        <w:tc>
          <w:tcPr>
            <w:tcW w:type="dxa" w:w="2160"/>
          </w:tcPr>
          <w:p>
            <w:r>
              <w:t>Forbidden</w:t>
            </w:r>
          </w:p>
        </w:tc>
        <w:tc>
          <w:tcPr>
            <w:tcW w:type="dxa" w:w="7200"/>
          </w:tcPr>
          <w:p>
            <w:r>
              <w:t>إخفاء أي فجوة معروفة, ادعاء أن الفجوات غير مؤثرة, تقديم خطط سد غير واقعية</w:t>
            </w:r>
          </w:p>
        </w:tc>
      </w:tr>
    </w:tbl>
    <w:p/>
    <w:p>
      <w:pPr>
        <w:pStyle w:val="Heading2"/>
      </w:pPr>
      <w:r>
        <w:t>Slide 12: هيكل الفريق المقترح — تصميم هرمي مُستهدَف</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الفريق</w:t>
            </w:r>
          </w:p>
        </w:tc>
      </w:tr>
      <w:tr>
        <w:tc>
          <w:tcPr>
            <w:tcW w:type="dxa" w:w="2160"/>
          </w:tcPr>
          <w:p>
            <w:r>
              <w:t>Layout</w:t>
            </w:r>
          </w:p>
        </w:tc>
        <w:tc>
          <w:tcPr>
            <w:tcW w:type="dxa" w:w="7200"/>
          </w:tcPr>
          <w:p>
            <w:r>
              <w:t>هيكل تنظيمي هرمي — 7 أدوار</w:t>
            </w:r>
          </w:p>
        </w:tc>
      </w:tr>
      <w:tr>
        <w:tc>
          <w:tcPr>
            <w:tcW w:type="dxa" w:w="2160"/>
          </w:tcPr>
          <w:p>
            <w:r>
              <w:t>Purpose</w:t>
            </w:r>
          </w:p>
        </w:tc>
        <w:tc>
          <w:tcPr>
            <w:tcW w:type="dxa" w:w="7200"/>
          </w:tcPr>
          <w:p>
            <w:r>
              <w:t>عرض الهيكل التنظيمي المقترح للفريق مع توضيح أن جميع الأدوار ملفات مفتوحة قيد التعيين وفق ملحق 2.</w:t>
            </w:r>
          </w:p>
        </w:tc>
      </w:tr>
      <w:tr>
        <w:tc>
          <w:tcPr>
            <w:tcW w:type="dxa" w:w="2160"/>
          </w:tcPr>
          <w:p>
            <w:r>
              <w:t>Key Message</w:t>
            </w:r>
          </w:p>
        </w:tc>
        <w:tc>
          <w:tcPr>
            <w:tcW w:type="dxa" w:w="7200"/>
          </w:tcPr>
          <w:p>
            <w:r>
              <w:t>فريق مصمم بهيكل هرمي يجمع بين خبراء في المراحل الحرجة ومحللين في مهام الحصر لتحقيق الكفاءة التشغيلية والتنافسية السعرية. — يتطلب تأكيد التعيينات من المحرك الثاني</w:t>
            </w:r>
          </w:p>
        </w:tc>
      </w:tr>
      <w:tr>
        <w:tc>
          <w:tcPr>
            <w:tcW w:type="dxa" w:w="2160"/>
          </w:tcPr>
          <w:p>
            <w:r>
              <w:t>Bullet Logic</w:t>
            </w:r>
          </w:p>
        </w:tc>
        <w:tc>
          <w:tcPr>
            <w:tcW w:type="dxa" w:w="7200"/>
          </w:tcPr>
          <w:p>
            <w:r>
              <w:t>مدير المشروع (15+ سنة): يقود التوجيه الاستراتيجي ويدير العلاقة مع المركز — مسؤول عن D-4, D-5, D-14 [HR-L1-018]</w:t>
              <w:br/>
              <w:t>خبير القطاع غير الربحي (12+ سنة): المحتوى الفني — مسؤول عن D-6, D-9, D-13, D-16, D-17, D-21</w:t>
              <w:br/>
              <w:t>خبير المقارنات الدولية (10+ سنة): دراسة 5 دول — مسؤول عن D-7, D-12 [EXT-001, EXT-005, EXT-007]</w:t>
              <w:br/>
              <w:t>محلل أول + محلل مبتدئ: تنفيذ الحصر الميداني وجمع البيانات — D-1, D-3, D-8, D-9, D-11</w:t>
              <w:br/>
              <w:t>خبير قياس الأثر (10+ سنة) + مسؤول التدريب (8+ سنة): المرحلتان 4-5 وSI-8 [EXT-009]</w:t>
            </w:r>
          </w:p>
        </w:tc>
      </w:tr>
      <w:tr>
        <w:tc>
          <w:tcPr>
            <w:tcW w:type="dxa" w:w="2160"/>
          </w:tcPr>
          <w:p>
            <w:r>
              <w:t>Proof Points</w:t>
            </w:r>
          </w:p>
        </w:tc>
        <w:tc>
          <w:tcPr>
            <w:tcW w:type="dxa" w:w="7200"/>
          </w:tcPr>
          <w:p>
            <w:r>
              <w:t>HR-L1-018, EXT-001, EXT-005, EXT-007, EXT-009</w:t>
            </w:r>
          </w:p>
        </w:tc>
      </w:tr>
      <w:tr>
        <w:tc>
          <w:tcPr>
            <w:tcW w:type="dxa" w:w="2160"/>
          </w:tcPr>
          <w:p>
            <w:r>
              <w:t>Visual</w:t>
            </w:r>
          </w:p>
        </w:tc>
        <w:tc>
          <w:tcPr>
            <w:tcW w:type="dxa" w:w="7200"/>
          </w:tcPr>
          <w:p>
            <w:r>
              <w:t>مخطط هيكل تنظيمي هرمي: مدير المشروع في القمة، 3 خبراء في المستوى الثاني، محللان ومسؤول تدريب في المستوى الثالث. كل دور يحمل علامة 'ملف مفتوح'.</w:t>
            </w:r>
          </w:p>
        </w:tc>
      </w:tr>
      <w:tr>
        <w:tc>
          <w:tcPr>
            <w:tcW w:type="dxa" w:w="2160"/>
          </w:tcPr>
          <w:p>
            <w:r>
              <w:t>Must-Have Evidence</w:t>
            </w:r>
          </w:p>
        </w:tc>
        <w:tc>
          <w:tcPr>
            <w:tcW w:type="dxa" w:w="7200"/>
          </w:tcPr>
          <w:p>
            <w:r>
              <w:t>HR-L1-018</w:t>
            </w:r>
          </w:p>
        </w:tc>
      </w:tr>
      <w:tr>
        <w:tc>
          <w:tcPr>
            <w:tcW w:type="dxa" w:w="2160"/>
          </w:tcPr>
          <w:p>
            <w:r>
              <w:t>Forbidden</w:t>
            </w:r>
          </w:p>
        </w:tc>
        <w:tc>
          <w:tcPr>
            <w:tcW w:type="dxa" w:w="7200"/>
          </w:tcPr>
          <w:p>
            <w:r>
              <w:t>ادعاء أن الفريق مؤكد أو معيّن, استخدام أسماء دون تأكيد, ادعاء استيفاء كامل لمتطلبات ملحق 2 قبل الحصول عليه</w:t>
            </w:r>
          </w:p>
        </w:tc>
      </w:tr>
    </w:tbl>
    <w:p/>
    <w:p>
      <w:pPr>
        <w:pStyle w:val="Heading2"/>
      </w:pPr>
      <w:r>
        <w:t>Slide 13: مصفوفة المسؤوليات — كل مخرج بدور محدد</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الفريق</w:t>
            </w:r>
          </w:p>
        </w:tc>
      </w:tr>
      <w:tr>
        <w:tc>
          <w:tcPr>
            <w:tcW w:type="dxa" w:w="2160"/>
          </w:tcPr>
          <w:p>
            <w:r>
              <w:t>Layout</w:t>
            </w:r>
          </w:p>
        </w:tc>
        <w:tc>
          <w:tcPr>
            <w:tcW w:type="dxa" w:w="7200"/>
          </w:tcPr>
          <w:p>
            <w:r>
              <w:t>مصفوفة RACI مبسطة — الأدوار × المخرجات</w:t>
            </w:r>
          </w:p>
        </w:tc>
      </w:tr>
      <w:tr>
        <w:tc>
          <w:tcPr>
            <w:tcW w:type="dxa" w:w="2160"/>
          </w:tcPr>
          <w:p>
            <w:r>
              <w:t>Purpose</w:t>
            </w:r>
          </w:p>
        </w:tc>
        <w:tc>
          <w:tcPr>
            <w:tcW w:type="dxa" w:w="7200"/>
          </w:tcPr>
          <w:p>
            <w:r>
              <w:t>إثبات أن كل مخرج إلزامي له دور منفذ ومراجع ومعتمد محدد بوضوح.</w:t>
            </w:r>
          </w:p>
        </w:tc>
      </w:tr>
      <w:tr>
        <w:tc>
          <w:tcPr>
            <w:tcW w:type="dxa" w:w="2160"/>
          </w:tcPr>
          <w:p>
            <w:r>
              <w:t>Key Message</w:t>
            </w:r>
          </w:p>
        </w:tc>
        <w:tc>
          <w:tcPr>
            <w:tcW w:type="dxa" w:w="7200"/>
          </w:tcPr>
          <w:p>
            <w:r>
              <w:t>مصفوفة RACI تغطي جميع المخرجات الـ 23 مع تحديد المنفذ والمراجع والمعتمد لكل مخرج لإزالة أي غموض في المساءلة. — يتطلب تأكيد التعيينات من المحرك الثاني</w:t>
            </w:r>
          </w:p>
        </w:tc>
      </w:tr>
      <w:tr>
        <w:tc>
          <w:tcPr>
            <w:tcW w:type="dxa" w:w="2160"/>
          </w:tcPr>
          <w:p>
            <w:r>
              <w:t>Bullet Logic</w:t>
            </w:r>
          </w:p>
        </w:tc>
        <w:tc>
          <w:tcPr>
            <w:tcW w:type="dxa" w:w="7200"/>
          </w:tcPr>
          <w:p>
            <w:r>
              <w:t>SG تملك الإنتاج (R) لجميع المخرجات التعاقدية الـ 23 — لا يُسند إنتاج أي مخرج لفريق العميل [HR-L1-030 إلى HR-L1-052]</w:t>
              <w:br/>
              <w:t>مدير الارتباط SG هو حارس الجودة (A-جودة): مراجعة مستقلة لكل مخرج قبل تقديمه للمركز [EXT-002]</w:t>
              <w:br/>
              <w:t>اللجنة التوجيهية تحتفظ بالاعتماد النهائي عند بوابات الحوكمة الخمس</w:t>
              <w:br/>
              <w:t>مراجعة أقران للمخرجات الاستراتيجية: D-7, D-13, D-17, D-22</w:t>
            </w:r>
          </w:p>
        </w:tc>
      </w:tr>
      <w:tr>
        <w:tc>
          <w:tcPr>
            <w:tcW w:type="dxa" w:w="2160"/>
          </w:tcPr>
          <w:p>
            <w:r>
              <w:t>Proof Points</w:t>
            </w:r>
          </w:p>
        </w:tc>
        <w:tc>
          <w:tcPr>
            <w:tcW w:type="dxa" w:w="7200"/>
          </w:tcPr>
          <w:p>
            <w:r>
              <w:t>HR-L1-030, HR-L1-052, EXT-002</w:t>
            </w:r>
          </w:p>
        </w:tc>
      </w:tr>
      <w:tr>
        <w:tc>
          <w:tcPr>
            <w:tcW w:type="dxa" w:w="2160"/>
          </w:tcPr>
          <w:p>
            <w:r>
              <w:t>Visual</w:t>
            </w:r>
          </w:p>
        </w:tc>
        <w:tc>
          <w:tcPr>
            <w:tcW w:type="dxa" w:w="7200"/>
          </w:tcPr>
          <w:p>
            <w:r>
              <w:t>مصفوفة RACI مبسطة: الصفوف = المخرجات D-1 إلى D-23 (مجمعة حسب المرحلة)، الأعمدة = الأدوار السبعة. خلايا ملونة بـ R/A/C/I.</w:t>
            </w:r>
          </w:p>
        </w:tc>
      </w:tr>
      <w:tr>
        <w:tc>
          <w:tcPr>
            <w:tcW w:type="dxa" w:w="2160"/>
          </w:tcPr>
          <w:p>
            <w:r>
              <w:t>Must-Have Evidence</w:t>
            </w:r>
          </w:p>
        </w:tc>
        <w:tc>
          <w:tcPr>
            <w:tcW w:type="dxa" w:w="7200"/>
          </w:tcPr>
          <w:p>
            <w:r>
              <w:t>HR-L1-030</w:t>
            </w:r>
          </w:p>
        </w:tc>
      </w:tr>
      <w:tr>
        <w:tc>
          <w:tcPr>
            <w:tcW w:type="dxa" w:w="2160"/>
          </w:tcPr>
          <w:p>
            <w:r>
              <w:t>Forbidden</w:t>
            </w:r>
          </w:p>
        </w:tc>
        <w:tc>
          <w:tcPr>
            <w:tcW w:type="dxa" w:w="7200"/>
          </w:tcPr>
          <w:p>
            <w:r>
              <w:t>ترك أي مخرج بدون دور R محدد, ادعاء أن المصفوفة نهائية قبل تأكيد الفريق</w:t>
            </w:r>
          </w:p>
        </w:tc>
      </w:tr>
    </w:tbl>
    <w:p/>
    <w:p>
      <w:pPr>
        <w:pStyle w:val="Heading2"/>
      </w:pPr>
      <w:r>
        <w:t>Slide 14: انتشار الفريق عبر المراحل — كفاءة تشغيلية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الفريق</w:t>
            </w:r>
          </w:p>
        </w:tc>
      </w:tr>
      <w:tr>
        <w:tc>
          <w:tcPr>
            <w:tcW w:type="dxa" w:w="2160"/>
          </w:tcPr>
          <w:p>
            <w:r>
              <w:t>Layout</w:t>
            </w:r>
          </w:p>
        </w:tc>
        <w:tc>
          <w:tcPr>
            <w:tcW w:type="dxa" w:w="7200"/>
          </w:tcPr>
          <w:p>
            <w:r>
              <w:t>مخطط انتشار زمني — الأدوار × الأشهر</w:t>
            </w:r>
          </w:p>
        </w:tc>
      </w:tr>
      <w:tr>
        <w:tc>
          <w:tcPr>
            <w:tcW w:type="dxa" w:w="2160"/>
          </w:tcPr>
          <w:p>
            <w:r>
              <w:t>Purpose</w:t>
            </w:r>
          </w:p>
        </w:tc>
        <w:tc>
          <w:tcPr>
            <w:tcW w:type="dxa" w:w="7200"/>
          </w:tcPr>
          <w:p>
            <w:r>
              <w:t>إظهار كيفية توزيع الفريق عبر المراحل الخمس مع التركيز على الكفاءة التشغيلية.</w:t>
            </w:r>
          </w:p>
        </w:tc>
      </w:tr>
      <w:tr>
        <w:tc>
          <w:tcPr>
            <w:tcW w:type="dxa" w:w="2160"/>
          </w:tcPr>
          <w:p>
            <w:r>
              <w:t>Key Message</w:t>
            </w:r>
          </w:p>
        </w:tc>
        <w:tc>
          <w:tcPr>
            <w:tcW w:type="dxa" w:w="7200"/>
          </w:tcPr>
          <w:p>
            <w:r>
              <w:t>تصميم هرمي يركز الخبراء في المراحل الحرجة ويستخدم المحللين في مهام الحصر لتحقيق التوازن بين الجودة والتنافسية السعرية. — يتطلب تأكيد التعيينات من المحرك الثاني</w:t>
            </w:r>
          </w:p>
        </w:tc>
      </w:tr>
      <w:tr>
        <w:tc>
          <w:tcPr>
            <w:tcW w:type="dxa" w:w="2160"/>
          </w:tcPr>
          <w:p>
            <w:r>
              <w:t>Bullet Logic</w:t>
            </w:r>
          </w:p>
        </w:tc>
        <w:tc>
          <w:tcPr>
            <w:tcW w:type="dxa" w:w="7200"/>
          </w:tcPr>
          <w:p>
            <w:r>
              <w:t>المرحلة 1 (أشهر 1-2): مدير المشروع (كامل) + محلل أول (كامل) + مسؤول تدريب (جزئي) [HR-L1-002]</w:t>
              <w:br/>
              <w:t>المرحلة 2 (أشهر 3-5): الفريق الكامل — أعلى كثافة بـ 9 مخرجات تعاقدية [HR-L1-035 إلى HR-L1-042]</w:t>
              <w:br/>
              <w:t>المرحلتان 3-4 (أشهر 6-10): خبراء قطاعيون بدوام كامل + خبير قياس أثر (جزئي مكثف) [EXT-009]</w:t>
              <w:br/>
              <w:t>المرحلة 5 (أشهر 11-12): خبير قياس الأثر (كامل) + مسؤول التدريب (مكثف) لنقل المعرفة الختامي [SI-8]</w:t>
            </w:r>
          </w:p>
        </w:tc>
      </w:tr>
      <w:tr>
        <w:tc>
          <w:tcPr>
            <w:tcW w:type="dxa" w:w="2160"/>
          </w:tcPr>
          <w:p>
            <w:r>
              <w:t>Proof Points</w:t>
            </w:r>
          </w:p>
        </w:tc>
        <w:tc>
          <w:tcPr>
            <w:tcW w:type="dxa" w:w="7200"/>
          </w:tcPr>
          <w:p>
            <w:r>
              <w:t>HR-L1-002, HR-L1-035, HR-L1-042, EXT-009</w:t>
            </w:r>
          </w:p>
        </w:tc>
      </w:tr>
      <w:tr>
        <w:tc>
          <w:tcPr>
            <w:tcW w:type="dxa" w:w="2160"/>
          </w:tcPr>
          <w:p>
            <w:r>
              <w:t>Visual</w:t>
            </w:r>
          </w:p>
        </w:tc>
        <w:tc>
          <w:tcPr>
            <w:tcW w:type="dxa" w:w="7200"/>
          </w:tcPr>
          <w:p>
            <w:r>
              <w:t>مخطط Gantt مبسط: الصفوف = الأدوار السبعة، الأعمدة = الأشهر 1-12. أشرطة ملونة تمثل كثافة الانتشار (كامل/جزئي مكثف/جزئي).</w:t>
            </w:r>
          </w:p>
        </w:tc>
      </w:tr>
      <w:tr>
        <w:tc>
          <w:tcPr>
            <w:tcW w:type="dxa" w:w="2160"/>
          </w:tcPr>
          <w:p>
            <w:r>
              <w:t>Must-Have Evidence</w:t>
            </w:r>
          </w:p>
        </w:tc>
        <w:tc>
          <w:tcPr>
            <w:tcW w:type="dxa" w:w="7200"/>
          </w:tcPr>
          <w:p>
            <w:r>
              <w:t>HR-L1-002</w:t>
            </w:r>
          </w:p>
        </w:tc>
      </w:tr>
      <w:tr>
        <w:tc>
          <w:tcPr>
            <w:tcW w:type="dxa" w:w="2160"/>
          </w:tcPr>
          <w:p>
            <w:r>
              <w:t>Forbidden</w:t>
            </w:r>
          </w:p>
        </w:tc>
        <w:tc>
          <w:tcPr>
            <w:tcW w:type="dxa" w:w="7200"/>
          </w:tcPr>
          <w:p>
            <w:r>
              <w:t>تحديد أسماء استشاريين غير مؤكدين, ادعاء أن التوزيع نهائي قبل تأكيد ملحق 2</w:t>
            </w:r>
          </w:p>
        </w:tc>
      </w:tr>
    </w:tbl>
    <w:p/>
    <w:p>
      <w:pPr>
        <w:pStyle w:val="Heading2"/>
      </w:pPr>
      <w:r>
        <w:t>Slide 15: المنهجية — تصميم بحثي مختلط من 5 مراحل</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نظرة عامة على المنهجية</w:t>
            </w:r>
          </w:p>
        </w:tc>
      </w:tr>
      <w:tr>
        <w:tc>
          <w:tcPr>
            <w:tcW w:type="dxa" w:w="2160"/>
          </w:tcPr>
          <w:p>
            <w:r>
              <w:t>Layout</w:t>
            </w:r>
          </w:p>
        </w:tc>
        <w:tc>
          <w:tcPr>
            <w:tcW w:type="dxa" w:w="7200"/>
          </w:tcPr>
          <w:p>
            <w:r>
              <w:t>مخطط تدفق — 5 مراحل مع 3 مسارات</w:t>
            </w:r>
          </w:p>
        </w:tc>
      </w:tr>
      <w:tr>
        <w:tc>
          <w:tcPr>
            <w:tcW w:type="dxa" w:w="2160"/>
          </w:tcPr>
          <w:p>
            <w:r>
              <w:t>Purpose</w:t>
            </w:r>
          </w:p>
        </w:tc>
        <w:tc>
          <w:tcPr>
            <w:tcW w:type="dxa" w:w="7200"/>
          </w:tcPr>
          <w:p>
            <w:r>
              <w:t>تقديم المنهجية الشاملة بصورة مرئية واضحة تربط بين المراحل الخمس والمسارات التحليلية الثلاثة.</w:t>
            </w:r>
          </w:p>
        </w:tc>
      </w:tr>
      <w:tr>
        <w:tc>
          <w:tcPr>
            <w:tcW w:type="dxa" w:w="2160"/>
          </w:tcPr>
          <w:p>
            <w:r>
              <w:t>Key Message</w:t>
            </w:r>
          </w:p>
        </w:tc>
        <w:tc>
          <w:tcPr>
            <w:tcW w:type="dxa" w:w="7200"/>
          </w:tcPr>
          <w:p>
            <w:r>
              <w:t>منهجية بحثية مختلطة تجمع بين التحليل الكمي والنوعي والمقارنة المعيارية الدولية عبر 5 مراحل متسلسلة مع بوابات حوكمة.</w:t>
            </w:r>
          </w:p>
        </w:tc>
      </w:tr>
      <w:tr>
        <w:tc>
          <w:tcPr>
            <w:tcW w:type="dxa" w:w="2160"/>
          </w:tcPr>
          <w:p>
            <w:r>
              <w:t>Bullet Logic</w:t>
            </w:r>
          </w:p>
        </w:tc>
        <w:tc>
          <w:tcPr>
            <w:tcW w:type="dxa" w:w="7200"/>
          </w:tcPr>
          <w:p>
            <w:r>
              <w:t>التصميم المختلط: 3 مسارات متكاملة — كمي (حصر وتصنيف) + نوعي (مقابلات وورش) + مقارن (5 دول) [EXT-001, EXT-006]</w:t>
              <w:br/>
              <w:t>تبرير الاختيار: البدائل الثلاثة (كمي بحت، نوعي بحت، مكتبي تقليدي) غير كافية لتغطية تعقيد نطاق العمل [SI-1 إلى SI-8]</w:t>
              <w:br/>
              <w:t>بوابات الحوكمة: 5 بوابات اعتماد (G1-G5) تضمن جودة المخرجات قبل الانتقال بين المراحل [EXT-002]</w:t>
              <w:br/>
              <w:t>نقل المعرفة المستمر: ورشة تدريبية تطبيقية في كل مرحلة لفريق المركز [SI-8 — DIRECT_RFP_FACT]</w:t>
            </w:r>
          </w:p>
        </w:tc>
      </w:tr>
      <w:tr>
        <w:tc>
          <w:tcPr>
            <w:tcW w:type="dxa" w:w="2160"/>
          </w:tcPr>
          <w:p>
            <w:r>
              <w:t>Proof Points</w:t>
            </w:r>
          </w:p>
        </w:tc>
        <w:tc>
          <w:tcPr>
            <w:tcW w:type="dxa" w:w="7200"/>
          </w:tcPr>
          <w:p>
            <w:r>
              <w:t>EXT-001, EXT-002, EXT-006</w:t>
            </w:r>
          </w:p>
        </w:tc>
      </w:tr>
      <w:tr>
        <w:tc>
          <w:tcPr>
            <w:tcW w:type="dxa" w:w="2160"/>
          </w:tcPr>
          <w:p>
            <w:r>
              <w:t>Visual</w:t>
            </w:r>
          </w:p>
        </w:tc>
        <w:tc>
          <w:tcPr>
            <w:tcW w:type="dxa" w:w="7200"/>
          </w:tcPr>
          <w:p>
            <w:r>
              <w:t>مخطط تدفق أفقي: 5 مراحل متسلسلة مع بوابات حوكمة بينها. 3 مسارات أفقية تمر عبر المراحل (كمي/نوعي/مقارن). شريط سفلي يمثل نقل المعرفة المستمر.</w:t>
            </w:r>
          </w:p>
        </w:tc>
      </w:tr>
      <w:tr>
        <w:tc>
          <w:tcPr>
            <w:tcW w:type="dxa" w:w="2160"/>
          </w:tcPr>
          <w:p>
            <w:r>
              <w:t>Must-Have Evidence</w:t>
            </w:r>
          </w:p>
        </w:tc>
        <w:tc>
          <w:tcPr>
            <w:tcW w:type="dxa" w:w="7200"/>
          </w:tcPr>
          <w:p>
            <w:r>
              <w:t>EXT-001, EXT-006</w:t>
            </w:r>
          </w:p>
        </w:tc>
      </w:tr>
      <w:tr>
        <w:tc>
          <w:tcPr>
            <w:tcW w:type="dxa" w:w="2160"/>
          </w:tcPr>
          <w:p>
            <w:r>
              <w:t>Forbidden</w:t>
            </w:r>
          </w:p>
        </w:tc>
        <w:tc>
          <w:tcPr>
            <w:tcW w:type="dxa" w:w="7200"/>
          </w:tcPr>
          <w:p>
            <w:r>
              <w:t>تقديم المنهجية كمنهجية SG حصرية, إغفال ذكر بوابات الحوكمة, عدم ربط المنهجية بالمخرجات الإلزامية</w:t>
            </w:r>
          </w:p>
        </w:tc>
      </w:tr>
    </w:tbl>
    <w:p/>
    <w:p>
      <w:pPr>
        <w:pStyle w:val="Heading2"/>
      </w:pPr>
      <w:r>
        <w:t>Slide 16: لماذا النهج المختلط — مقارنة مع البدائل</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نظرة عامة على المنهجية</w:t>
            </w:r>
          </w:p>
        </w:tc>
      </w:tr>
      <w:tr>
        <w:tc>
          <w:tcPr>
            <w:tcW w:type="dxa" w:w="2160"/>
          </w:tcPr>
          <w:p>
            <w:r>
              <w:t>Layout</w:t>
            </w:r>
          </w:p>
        </w:tc>
        <w:tc>
          <w:tcPr>
            <w:tcW w:type="dxa" w:w="7200"/>
          </w:tcPr>
          <w:p>
            <w:r>
              <w:t>مقارنة بدائل — 4 أعمدة</w:t>
            </w:r>
          </w:p>
        </w:tc>
      </w:tr>
      <w:tr>
        <w:tc>
          <w:tcPr>
            <w:tcW w:type="dxa" w:w="2160"/>
          </w:tcPr>
          <w:p>
            <w:r>
              <w:t>Purpose</w:t>
            </w:r>
          </w:p>
        </w:tc>
        <w:tc>
          <w:tcPr>
            <w:tcW w:type="dxa" w:w="7200"/>
          </w:tcPr>
          <w:p>
            <w:r>
              <w:t>تبرير اختيار النهج المختلط مقابل البدائل الثلاثة بربط كل بديل بقصور محدد في تغطية نطاق العمل.</w:t>
            </w:r>
          </w:p>
        </w:tc>
      </w:tr>
      <w:tr>
        <w:tc>
          <w:tcPr>
            <w:tcW w:type="dxa" w:w="2160"/>
          </w:tcPr>
          <w:p>
            <w:r>
              <w:t>Key Message</w:t>
            </w:r>
          </w:p>
        </w:tc>
        <w:tc>
          <w:tcPr>
            <w:tcW w:type="dxa" w:w="7200"/>
          </w:tcPr>
          <w:p>
            <w:r>
              <w:t>النهج المختلط هو الوحيد القادر على تغطية تعقيد نطاق العمل الذي يجمع بين الحصر الكمي والتحليل النوعي والمقارنة الدولية والتفعيل التشغيلي. — يتطلب تأكيد التعيينات من المحرك الثاني</w:t>
            </w:r>
          </w:p>
        </w:tc>
      </w:tr>
      <w:tr>
        <w:tc>
          <w:tcPr>
            <w:tcW w:type="dxa" w:w="2160"/>
          </w:tcPr>
          <w:p>
            <w:r>
              <w:t>Bullet Logic</w:t>
            </w:r>
          </w:p>
        </w:tc>
        <w:tc>
          <w:tcPr>
            <w:tcW w:type="dxa" w:w="7200"/>
          </w:tcPr>
          <w:p>
            <w:r>
              <w:t>البديل الكمي البحت: غير كافٍ — تعقيد أشكال الخدمات (وقف، تبرعات، تطوع، استضافة) يتطلب فهماً نوعياً للسياق [SI-4]</w:t>
              <w:br/>
              <w:t>البديل النوعي البحت: غير كافٍ — حصر 5 قطاعات يتطلب بيانات كمية منظمة قابلة للتصنيف والمقارنة [SI-2, EXT-003]</w:t>
              <w:br/>
              <w:t>البديل المكتبي التقليدي: غير كافٍ — المنافسة تطلب بطاقات تشغيلية (D-21) وحزم تحفيزية (D-20) تتجاوز التوصيات النظرية [SI-6]</w:t>
              <w:br/>
              <w:t>النهج المختلط: يعالج الفجوات الثلاث بتوفير عمق كمي ونوعي ومقارن مع ربط كل مسار بمخرجات إلزامية محددة [EXT-001, EXT-006]</w:t>
            </w:r>
          </w:p>
        </w:tc>
      </w:tr>
      <w:tr>
        <w:tc>
          <w:tcPr>
            <w:tcW w:type="dxa" w:w="2160"/>
          </w:tcPr>
          <w:p>
            <w:r>
              <w:t>Proof Points</w:t>
            </w:r>
          </w:p>
        </w:tc>
        <w:tc>
          <w:tcPr>
            <w:tcW w:type="dxa" w:w="7200"/>
          </w:tcPr>
          <w:p>
            <w:r>
              <w:t>EXT-001, EXT-003, EXT-006</w:t>
            </w:r>
          </w:p>
        </w:tc>
      </w:tr>
      <w:tr>
        <w:tc>
          <w:tcPr>
            <w:tcW w:type="dxa" w:w="2160"/>
          </w:tcPr>
          <w:p>
            <w:r>
              <w:t>Visual</w:t>
            </w:r>
          </w:p>
        </w:tc>
        <w:tc>
          <w:tcPr>
            <w:tcW w:type="dxa" w:w="7200"/>
          </w:tcPr>
          <w:p>
            <w:r>
              <w:t>جدول مقارنة 4 أعمدة: البدائل الثلاثة + النهج المختلط. صفوف المقارنة: تغطية SI-2, SI-4, SI-6, SI-7. علامات ✓ و✗ لكل بديل.</w:t>
            </w:r>
          </w:p>
        </w:tc>
      </w:tr>
      <w:tr>
        <w:tc>
          <w:tcPr>
            <w:tcW w:type="dxa" w:w="2160"/>
          </w:tcPr>
          <w:p>
            <w:r>
              <w:t>Must-Have Evidence</w:t>
            </w:r>
          </w:p>
        </w:tc>
        <w:tc>
          <w:tcPr>
            <w:tcW w:type="dxa" w:w="7200"/>
          </w:tcPr>
          <w:p>
            <w:r>
              <w:t>EXT-001</w:t>
            </w:r>
          </w:p>
        </w:tc>
      </w:tr>
      <w:tr>
        <w:tc>
          <w:tcPr>
            <w:tcW w:type="dxa" w:w="2160"/>
          </w:tcPr>
          <w:p>
            <w:r>
              <w:t>Forbidden</w:t>
            </w:r>
          </w:p>
        </w:tc>
        <w:tc>
          <w:tcPr>
            <w:tcW w:type="dxa" w:w="7200"/>
          </w:tcPr>
          <w:p>
            <w:r>
              <w:t>تقديم البدائل بشكل مبالغ في السلبية, ادعاء أن النهج المختلط يحل جميع التحديات</w:t>
            </w:r>
          </w:p>
        </w:tc>
      </w:tr>
    </w:tbl>
    <w:p/>
    <w:p>
      <w:pPr>
        <w:pStyle w:val="Heading2"/>
      </w:pPr>
      <w:r>
        <w:t>Slide 17: المرحلة 1 — التأسيس والتصميم المنهجي (الأشهر 1-2)</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 — المرحلة 1</w:t>
            </w:r>
          </w:p>
        </w:tc>
      </w:tr>
      <w:tr>
        <w:tc>
          <w:tcPr>
            <w:tcW w:type="dxa" w:w="2160"/>
          </w:tcPr>
          <w:p>
            <w:r>
              <w:t>Layout</w:t>
            </w:r>
          </w:p>
        </w:tc>
        <w:tc>
          <w:tcPr>
            <w:tcW w:type="dxa" w:w="7200"/>
          </w:tcPr>
          <w:p>
            <w:r>
              <w:t>بطاقة مرحلة — أنشطة ومخرجات</w:t>
            </w:r>
          </w:p>
        </w:tc>
      </w:tr>
      <w:tr>
        <w:tc>
          <w:tcPr>
            <w:tcW w:type="dxa" w:w="2160"/>
          </w:tcPr>
          <w:p>
            <w:r>
              <w:t>Purpose</w:t>
            </w:r>
          </w:p>
        </w:tc>
        <w:tc>
          <w:tcPr>
            <w:tcW w:type="dxa" w:w="7200"/>
          </w:tcPr>
          <w:p>
            <w:r>
              <w:t>تفصيل المرحلة الأولى (التأسيس والتصميم المنهجي) مع ربط كل نشاط بمخرجاته الإلزامية.</w:t>
            </w:r>
          </w:p>
        </w:tc>
      </w:tr>
      <w:tr>
        <w:tc>
          <w:tcPr>
            <w:tcW w:type="dxa" w:w="2160"/>
          </w:tcPr>
          <w:p>
            <w:r>
              <w:t>Key Message</w:t>
            </w:r>
          </w:p>
        </w:tc>
        <w:tc>
          <w:tcPr>
            <w:tcW w:type="dxa" w:w="7200"/>
          </w:tcPr>
          <w:p>
            <w:r>
              <w:t>المرحلة التأسيسية تبني الإطار المنهجي والتصنيفي وتحدد مصادر البيانات والخبراء والحوكمة كشرط مسبق لجميع المراحل اللاحقة.</w:t>
            </w:r>
          </w:p>
        </w:tc>
      </w:tr>
      <w:tr>
        <w:tc>
          <w:tcPr>
            <w:tcW w:type="dxa" w:w="2160"/>
          </w:tcPr>
          <w:p>
            <w:r>
              <w:t>Bullet Logic</w:t>
            </w:r>
          </w:p>
        </w:tc>
        <w:tc>
          <w:tcPr>
            <w:tcW w:type="dxa" w:w="7200"/>
          </w:tcPr>
          <w:p>
            <w:r>
              <w:t>D-1: منهجية الدراسة — تصميم بحثي مختلط مع إطار تصنيف هجين ISIC/NAICS/ICNPO [EXT-001, EXT-003]</w:t>
              <w:br/>
              <w:t>D-2: قائمة خبراء السوق المحليين والدوليين — معايير تأهيل واضحة وخبير واحد على الأقل لكل قطاع [HR-L1-031]</w:t>
              <w:br/>
              <w:t>D-3: الخطة التنفيذية — مخطط Gantt تفصيلي + مصفوفة RACI + خطة مخاطر [HR-L1-032]</w:t>
              <w:br/>
              <w:t>D-4 وD-5: الحوكمة وميثاق المشروع — بوابات اعتماد + آلية تصعيد + معايير قبول [HR-L1-033, HR-L1-034]</w:t>
              <w:br/>
              <w:t>بوابة G1: اعتماد المنهجية والقطاعات والدول المرشحة قبل الانتقال للمرحلة 2</w:t>
            </w:r>
          </w:p>
        </w:tc>
      </w:tr>
      <w:tr>
        <w:tc>
          <w:tcPr>
            <w:tcW w:type="dxa" w:w="2160"/>
          </w:tcPr>
          <w:p>
            <w:r>
              <w:t>Proof Points</w:t>
            </w:r>
          </w:p>
        </w:tc>
        <w:tc>
          <w:tcPr>
            <w:tcW w:type="dxa" w:w="7200"/>
          </w:tcPr>
          <w:p>
            <w:r>
              <w:t>HR-L1-031, HR-L1-032, HR-L1-033, HR-L1-034, EXT-001, EXT-003</w:t>
            </w:r>
          </w:p>
        </w:tc>
      </w:tr>
      <w:tr>
        <w:tc>
          <w:tcPr>
            <w:tcW w:type="dxa" w:w="2160"/>
          </w:tcPr>
          <w:p>
            <w:r>
              <w:t>Visual</w:t>
            </w:r>
          </w:p>
        </w:tc>
        <w:tc>
          <w:tcPr>
            <w:tcW w:type="dxa" w:w="7200"/>
          </w:tcPr>
          <w:p>
            <w:r>
              <w:t>بطاقة مرحلة: شريط علوي بالمدة والأشهر، قسم أنشطة رئيسية (5 أنشطة)، قسم مخرجات (D-1 إلى D-5)، شريط سفلي لبوابة الحوكمة G1.</w:t>
            </w:r>
          </w:p>
        </w:tc>
      </w:tr>
      <w:tr>
        <w:tc>
          <w:tcPr>
            <w:tcW w:type="dxa" w:w="2160"/>
          </w:tcPr>
          <w:p>
            <w:r>
              <w:t>Must-Have Evidence</w:t>
            </w:r>
          </w:p>
        </w:tc>
        <w:tc>
          <w:tcPr>
            <w:tcW w:type="dxa" w:w="7200"/>
          </w:tcPr>
          <w:p>
            <w:r>
              <w:t>HR-L1-031, EXT-001</w:t>
            </w:r>
          </w:p>
        </w:tc>
      </w:tr>
      <w:tr>
        <w:tc>
          <w:tcPr>
            <w:tcW w:type="dxa" w:w="2160"/>
          </w:tcPr>
          <w:p>
            <w:r>
              <w:t>Forbidden</w:t>
            </w:r>
          </w:p>
        </w:tc>
        <w:tc>
          <w:tcPr>
            <w:tcW w:type="dxa" w:w="7200"/>
          </w:tcPr>
          <w:p>
            <w:r>
              <w:t>إغفال أي مخرج من D-1 إلى D-5, عدم ذكر بوابة الحوكمة G1</w:t>
            </w:r>
          </w:p>
        </w:tc>
      </w:tr>
    </w:tbl>
    <w:p/>
    <w:p>
      <w:pPr>
        <w:pStyle w:val="Heading2"/>
      </w:pPr>
      <w:r>
        <w:t>Slide 18: المرحلة 2 — الحصر القطاعي والمقارنات المعيارية (الأشهر 3-5.5)</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 — المرحلة 2</w:t>
            </w:r>
          </w:p>
        </w:tc>
      </w:tr>
      <w:tr>
        <w:tc>
          <w:tcPr>
            <w:tcW w:type="dxa" w:w="2160"/>
          </w:tcPr>
          <w:p>
            <w:r>
              <w:t>Layout</w:t>
            </w:r>
          </w:p>
        </w:tc>
        <w:tc>
          <w:tcPr>
            <w:tcW w:type="dxa" w:w="7200"/>
          </w:tcPr>
          <w:p>
            <w:r>
              <w:t>بطاقة مرحلة — 3 مسارات متوازية</w:t>
            </w:r>
          </w:p>
        </w:tc>
      </w:tr>
      <w:tr>
        <w:tc>
          <w:tcPr>
            <w:tcW w:type="dxa" w:w="2160"/>
          </w:tcPr>
          <w:p>
            <w:r>
              <w:t>Purpose</w:t>
            </w:r>
          </w:p>
        </w:tc>
        <w:tc>
          <w:tcPr>
            <w:tcW w:type="dxa" w:w="7200"/>
          </w:tcPr>
          <w:p>
            <w:r>
              <w:t>تفصيل المرحلة الثانية (الحصر والمسح القطاعي) مع إبراز التوازي بين المسارات الثلاثة.</w:t>
            </w:r>
          </w:p>
        </w:tc>
      </w:tr>
      <w:tr>
        <w:tc>
          <w:tcPr>
            <w:tcW w:type="dxa" w:w="2160"/>
          </w:tcPr>
          <w:p>
            <w:r>
              <w:t>Key Message</w:t>
            </w:r>
          </w:p>
        </w:tc>
        <w:tc>
          <w:tcPr>
            <w:tcW w:type="dxa" w:w="7200"/>
          </w:tcPr>
          <w:p>
            <w:r>
              <w:t>المرحلة الأكثر كثافة (9 مخرجات) تُنفَّذ عبر 3 مسارات متوازية: حصر محلي ومقارنات دولية ومشاركة مجتمعية.</w:t>
            </w:r>
          </w:p>
        </w:tc>
      </w:tr>
      <w:tr>
        <w:tc>
          <w:tcPr>
            <w:tcW w:type="dxa" w:w="2160"/>
          </w:tcPr>
          <w:p>
            <w:r>
              <w:t>Bullet Logic</w:t>
            </w:r>
          </w:p>
        </w:tc>
        <w:tc>
          <w:tcPr>
            <w:tcW w:type="dxa" w:w="7200"/>
          </w:tcPr>
          <w:p>
            <w:r>
              <w:t>مسار الحصر المحلي: D-6 (دراسة 5 قطاعات+) + D-9 (الوضع الراهن) + D-10 (تحليل المزايا والتحديات) [SI-2, EXT-002, EXT-003]</w:t>
              <w:br/>
              <w:t>مسار المقارنات الدولية: D-7 (ممارسات 5 دول+) + D-12 (ممارسات محلية ودولية رائدة) [SI-3, EXT-001, EXT-005, EXT-007]</w:t>
              <w:br/>
              <w:t>مسار المشاركة: D-8 (خارطة أصحاب المصلحة) + D-11 (ورش عمل تشاركية) [SI-4, EXT-004]</w:t>
              <w:br/>
              <w:t>مخرجات تكاملية: D-13 (القائمة النهائية للمنتجات المبتكرة) + D-14 (ملخص تنفيذي) [HR-L1-042]</w:t>
              <w:br/>
              <w:t>بوابة G2: اعتماد نتائج الحصر والمقارنات كأساس للمرحلة 3</w:t>
            </w:r>
          </w:p>
        </w:tc>
      </w:tr>
      <w:tr>
        <w:tc>
          <w:tcPr>
            <w:tcW w:type="dxa" w:w="2160"/>
          </w:tcPr>
          <w:p>
            <w:r>
              <w:t>Proof Points</w:t>
            </w:r>
          </w:p>
        </w:tc>
        <w:tc>
          <w:tcPr>
            <w:tcW w:type="dxa" w:w="7200"/>
          </w:tcPr>
          <w:p>
            <w:r>
              <w:t>EXT-001, EXT-002, EXT-003, EXT-004, EXT-005, EXT-007, HR-L1-042</w:t>
            </w:r>
          </w:p>
        </w:tc>
      </w:tr>
      <w:tr>
        <w:tc>
          <w:tcPr>
            <w:tcW w:type="dxa" w:w="2160"/>
          </w:tcPr>
          <w:p>
            <w:r>
              <w:t>Visual</w:t>
            </w:r>
          </w:p>
        </w:tc>
        <w:tc>
          <w:tcPr>
            <w:tcW w:type="dxa" w:w="7200"/>
          </w:tcPr>
          <w:p>
            <w:r>
              <w:t>3 مسارات أفقية متوازية مع أسهم تقاطع تُظهر نقاط التكامل. كل مسار يحتوي مخرجاته. بوابة G2 في النهاية.</w:t>
            </w:r>
          </w:p>
        </w:tc>
      </w:tr>
      <w:tr>
        <w:tc>
          <w:tcPr>
            <w:tcW w:type="dxa" w:w="2160"/>
          </w:tcPr>
          <w:p>
            <w:r>
              <w:t>Must-Have Evidence</w:t>
            </w:r>
          </w:p>
        </w:tc>
        <w:tc>
          <w:tcPr>
            <w:tcW w:type="dxa" w:w="7200"/>
          </w:tcPr>
          <w:p>
            <w:r>
              <w:t>EXT-002, EXT-003</w:t>
            </w:r>
          </w:p>
        </w:tc>
      </w:tr>
      <w:tr>
        <w:tc>
          <w:tcPr>
            <w:tcW w:type="dxa" w:w="2160"/>
          </w:tcPr>
          <w:p>
            <w:r>
              <w:t>Forbidden</w:t>
            </w:r>
          </w:p>
        </w:tc>
        <w:tc>
          <w:tcPr>
            <w:tcW w:type="dxa" w:w="7200"/>
          </w:tcPr>
          <w:p>
            <w:r>
              <w:t>تقليص عدد القطاعات عن 5, تقليص عدد الدول عن 5, إغفال أي مخرج من D-6 إلى D-14</w:t>
            </w:r>
          </w:p>
        </w:tc>
      </w:tr>
    </w:tbl>
    <w:p/>
    <w:p>
      <w:pPr>
        <w:pStyle w:val="Heading2"/>
      </w:pPr>
      <w:r>
        <w:t>Slide 19: المرحلة 3 — تحليل الاحتياجات وتصميم المنتجات المبتكرة (الأشهر 6-8)</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 — المرحلة 3</w:t>
            </w:r>
          </w:p>
        </w:tc>
      </w:tr>
      <w:tr>
        <w:tc>
          <w:tcPr>
            <w:tcW w:type="dxa" w:w="2160"/>
          </w:tcPr>
          <w:p>
            <w:r>
              <w:t>Layout</w:t>
            </w:r>
          </w:p>
        </w:tc>
        <w:tc>
          <w:tcPr>
            <w:tcW w:type="dxa" w:w="7200"/>
          </w:tcPr>
          <w:p>
            <w:r>
              <w:t>بطاقة مرحلة — مصفوفة ربط</w:t>
            </w:r>
          </w:p>
        </w:tc>
      </w:tr>
      <w:tr>
        <w:tc>
          <w:tcPr>
            <w:tcW w:type="dxa" w:w="2160"/>
          </w:tcPr>
          <w:p>
            <w:r>
              <w:t>Purpose</w:t>
            </w:r>
          </w:p>
        </w:tc>
        <w:tc>
          <w:tcPr>
            <w:tcW w:type="dxa" w:w="7200"/>
          </w:tcPr>
          <w:p>
            <w:r>
              <w:t>تفصيل المرحلة الثالثة (تحليل الاحتياجات والربط) مع إبراز منطق الربط بين الاحتياجات والمنتجات المبتكرة.</w:t>
            </w:r>
          </w:p>
        </w:tc>
      </w:tr>
      <w:tr>
        <w:tc>
          <w:tcPr>
            <w:tcW w:type="dxa" w:w="2160"/>
          </w:tcPr>
          <w:p>
            <w:r>
              <w:t>Key Message</w:t>
            </w:r>
          </w:p>
        </w:tc>
        <w:tc>
          <w:tcPr>
            <w:tcW w:type="dxa" w:w="7200"/>
          </w:tcPr>
          <w:p>
            <w:r>
              <w:t>تحوّل بيانات الحصر إلى تصميم منتجات وخدمات مبتكرة مربوطة بالاحتياجات التنموية الفعلية مع اختبار جدوى أولي.</w:t>
            </w:r>
          </w:p>
        </w:tc>
      </w:tr>
      <w:tr>
        <w:tc>
          <w:tcPr>
            <w:tcW w:type="dxa" w:w="2160"/>
          </w:tcPr>
          <w:p>
            <w:r>
              <w:t>Bullet Logic</w:t>
            </w:r>
          </w:p>
        </w:tc>
        <w:tc>
          <w:tcPr>
            <w:tcW w:type="dxa" w:w="7200"/>
          </w:tcPr>
          <w:p>
            <w:r>
              <w:t>D-15: منهجية التحليل — إطار CNA مكيّف للسياق السعودي يربط الاحتياجات بالتدخلات [EXT-006, HR-L1-045]</w:t>
              <w:br/>
              <w:t>D-16: تحليل الاحتياجات التنموية — فجوات العرض والطلب عبر 5 قطاعات مع توزيع جغرافي [HR-L1-046]</w:t>
              <w:br/>
              <w:t>D-17: مصفوفة ربط شاملة — كل منتج/خدمة مرتبط باحتياج محدد مع سلسلة أثر (نظرية التغيير) [HR-L1-047]</w:t>
              <w:br/>
              <w:t>اختبار الجدوى: تقييم تشغيلي ومالي وتنظيمي لكل منتج/خدمة مقترحة قبل إدراجها في القائمة النهائية</w:t>
              <w:br/>
              <w:t>بوابة G3: اعتماد القائمة النهائية كأساس لمرحلة التفعيل</w:t>
            </w:r>
          </w:p>
        </w:tc>
      </w:tr>
      <w:tr>
        <w:tc>
          <w:tcPr>
            <w:tcW w:type="dxa" w:w="2160"/>
          </w:tcPr>
          <w:p>
            <w:r>
              <w:t>Proof Points</w:t>
            </w:r>
          </w:p>
        </w:tc>
        <w:tc>
          <w:tcPr>
            <w:tcW w:type="dxa" w:w="7200"/>
          </w:tcPr>
          <w:p>
            <w:r>
              <w:t>EXT-006, HR-L1-045, HR-L1-046, HR-L1-047</w:t>
            </w:r>
          </w:p>
        </w:tc>
      </w:tr>
      <w:tr>
        <w:tc>
          <w:tcPr>
            <w:tcW w:type="dxa" w:w="2160"/>
          </w:tcPr>
          <w:p>
            <w:r>
              <w:t>Visual</w:t>
            </w:r>
          </w:p>
        </w:tc>
        <w:tc>
          <w:tcPr>
            <w:tcW w:type="dxa" w:w="7200"/>
          </w:tcPr>
          <w:p>
            <w:r>
              <w:t>مصفوفة ربط مبسطة: الصفوف = الاحتياجات التنموية، الأعمدة = المنتجات/الخدمات المقترحة. أسهم تربط بين الاحتياجات والتدخلات.</w:t>
            </w:r>
          </w:p>
        </w:tc>
      </w:tr>
      <w:tr>
        <w:tc>
          <w:tcPr>
            <w:tcW w:type="dxa" w:w="2160"/>
          </w:tcPr>
          <w:p>
            <w:r>
              <w:t>Must-Have Evidence</w:t>
            </w:r>
          </w:p>
        </w:tc>
        <w:tc>
          <w:tcPr>
            <w:tcW w:type="dxa" w:w="7200"/>
          </w:tcPr>
          <w:p>
            <w:r>
              <w:t>EXT-006, HR-L1-045</w:t>
            </w:r>
          </w:p>
        </w:tc>
      </w:tr>
      <w:tr>
        <w:tc>
          <w:tcPr>
            <w:tcW w:type="dxa" w:w="2160"/>
          </w:tcPr>
          <w:p>
            <w:r>
              <w:t>Forbidden</w:t>
            </w:r>
          </w:p>
        </w:tc>
        <w:tc>
          <w:tcPr>
            <w:tcW w:type="dxa" w:w="7200"/>
          </w:tcPr>
          <w:p>
            <w:r>
              <w:t>تقديم الآثار المتوقعة كحقائق مؤكدة, إغفال اختبار الجدوى, عدم ربط كل منتج باحتياج محدد</w:t>
            </w:r>
          </w:p>
        </w:tc>
      </w:tr>
    </w:tbl>
    <w:p/>
    <w:p>
      <w:pPr>
        <w:pStyle w:val="Heading2"/>
      </w:pPr>
      <w:r>
        <w:t>Slide 20: المرحلة 4 — التفعيل والتحفيز وأدوات التنفيذ (الأشهر 9-10.5)</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 — المرحلة 4</w:t>
            </w:r>
          </w:p>
        </w:tc>
      </w:tr>
      <w:tr>
        <w:tc>
          <w:tcPr>
            <w:tcW w:type="dxa" w:w="2160"/>
          </w:tcPr>
          <w:p>
            <w:r>
              <w:t>Layout</w:t>
            </w:r>
          </w:p>
        </w:tc>
        <w:tc>
          <w:tcPr>
            <w:tcW w:type="dxa" w:w="7200"/>
          </w:tcPr>
          <w:p>
            <w:r>
              <w:t>بطاقة مرحلة — بطاقات منتجات وحزم تحفيزية</w:t>
            </w:r>
          </w:p>
        </w:tc>
      </w:tr>
      <w:tr>
        <w:tc>
          <w:tcPr>
            <w:tcW w:type="dxa" w:w="2160"/>
          </w:tcPr>
          <w:p>
            <w:r>
              <w:t>Purpose</w:t>
            </w:r>
          </w:p>
        </w:tc>
        <w:tc>
          <w:tcPr>
            <w:tcW w:type="dxa" w:w="7200"/>
          </w:tcPr>
          <w:p>
            <w:r>
              <w:t>تفصيل المرحلة الرابعة (التفعيل والتحفيز) مع عرض هيكل بطاقات المنتجات والحزمة التحفيزية.</w:t>
            </w:r>
          </w:p>
        </w:tc>
      </w:tr>
      <w:tr>
        <w:tc>
          <w:tcPr>
            <w:tcW w:type="dxa" w:w="2160"/>
          </w:tcPr>
          <w:p>
            <w:r>
              <w:t>Key Message</w:t>
            </w:r>
          </w:p>
        </w:tc>
        <w:tc>
          <w:tcPr>
            <w:tcW w:type="dxa" w:w="7200"/>
          </w:tcPr>
          <w:p>
            <w:r>
              <w:t>تحوّل التحليل إلى أدوات تنفيذية جاهزة: بطاقات تشغيلية لكل منتج/خدمة وحزمة تحفيزية وخطة تنفيذ مرحلية.</w:t>
            </w:r>
          </w:p>
        </w:tc>
      </w:tr>
      <w:tr>
        <w:tc>
          <w:tcPr>
            <w:tcW w:type="dxa" w:w="2160"/>
          </w:tcPr>
          <w:p>
            <w:r>
              <w:t>Bullet Logic</w:t>
            </w:r>
          </w:p>
        </w:tc>
        <w:tc>
          <w:tcPr>
            <w:tcW w:type="dxa" w:w="7200"/>
          </w:tcPr>
          <w:p>
            <w:r>
              <w:t>D-18: منهجية ترتيب الأولويات — عملية التحليل الشبكي ANP بمعايير متعددة معتمدة من المركز [EXT-007, HR-L1-048]</w:t>
              <w:br/>
              <w:t>D-21: بطاقة لكل منتج/خدمة ذات أولوية — 8 حقول إلزامية: وصف، تشغيل، اقتصاديات، تبعيات، مخاطر، مؤشرات، حوافز، محفز إطلاق [HR-L1-050, EXT-005]</w:t>
              <w:br/>
              <w:t>D-20: الحزمة التحفيزية — حوافز مالية وتنظيمية وفنية ومعنوية مع آليات تفعيل وتكلفة تقديرية [HR-L1-049, EXT-010]</w:t>
              <w:br/>
              <w:t>D-19: الخطة التنفيذية — 3 موجات (ما بعد المشروع) مع تمييز واضح بين التصميم ضمن العقد والتنفيذ الموصى به [HR-L1-048]</w:t>
            </w:r>
          </w:p>
        </w:tc>
      </w:tr>
      <w:tr>
        <w:tc>
          <w:tcPr>
            <w:tcW w:type="dxa" w:w="2160"/>
          </w:tcPr>
          <w:p>
            <w:r>
              <w:t>Proof Points</w:t>
            </w:r>
          </w:p>
        </w:tc>
        <w:tc>
          <w:tcPr>
            <w:tcW w:type="dxa" w:w="7200"/>
          </w:tcPr>
          <w:p>
            <w:r>
              <w:t>EXT-005, EXT-007, EXT-010, HR-L1-048, HR-L1-049, HR-L1-050</w:t>
            </w:r>
          </w:p>
        </w:tc>
      </w:tr>
      <w:tr>
        <w:tc>
          <w:tcPr>
            <w:tcW w:type="dxa" w:w="2160"/>
          </w:tcPr>
          <w:p>
            <w:r>
              <w:t>Visual</w:t>
            </w:r>
          </w:p>
        </w:tc>
        <w:tc>
          <w:tcPr>
            <w:tcW w:type="dxa" w:w="7200"/>
          </w:tcPr>
          <w:p>
            <w:r>
              <w:t>نموذج بطاقة منتج/خدمة مبسط يعرض الحقول الثمانية. بجانبه نموذج حافز مبسط. في الأسفل شريط زمني للموجات الثلاث.</w:t>
            </w:r>
          </w:p>
        </w:tc>
      </w:tr>
      <w:tr>
        <w:tc>
          <w:tcPr>
            <w:tcW w:type="dxa" w:w="2160"/>
          </w:tcPr>
          <w:p>
            <w:r>
              <w:t>Must-Have Evidence</w:t>
            </w:r>
          </w:p>
        </w:tc>
        <w:tc>
          <w:tcPr>
            <w:tcW w:type="dxa" w:w="7200"/>
          </w:tcPr>
          <w:p>
            <w:r>
              <w:t>HR-L1-050, EXT-005</w:t>
            </w:r>
          </w:p>
        </w:tc>
      </w:tr>
      <w:tr>
        <w:tc>
          <w:tcPr>
            <w:tcW w:type="dxa" w:w="2160"/>
          </w:tcPr>
          <w:p>
            <w:r>
              <w:t>Forbidden</w:t>
            </w:r>
          </w:p>
        </w:tc>
        <w:tc>
          <w:tcPr>
            <w:tcW w:type="dxa" w:w="7200"/>
          </w:tcPr>
          <w:p>
            <w:r>
              <w:t>خلط بين مخرجات العقد وأفق التنفيذ بعد العقد, إغفال التمييز بين التصميم والتنفيذ, تقديم تكاليف تقديرية كالتزامات</w:t>
            </w:r>
          </w:p>
        </w:tc>
      </w:tr>
    </w:tbl>
    <w:p/>
    <w:p>
      <w:pPr>
        <w:pStyle w:val="Heading2"/>
      </w:pPr>
      <w:r>
        <w:t>Slide 21: المرحلة 5 — قياس الأثر والاستدامة ونقل المعرفة (الأشهر 11-12)</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 — المرحلة 5</w:t>
            </w:r>
          </w:p>
        </w:tc>
      </w:tr>
      <w:tr>
        <w:tc>
          <w:tcPr>
            <w:tcW w:type="dxa" w:w="2160"/>
          </w:tcPr>
          <w:p>
            <w:r>
              <w:t>Layout</w:t>
            </w:r>
          </w:p>
        </w:tc>
        <w:tc>
          <w:tcPr>
            <w:tcW w:type="dxa" w:w="7200"/>
          </w:tcPr>
          <w:p>
            <w:r>
              <w:t>بطاقة مرحلة — إطار قياس أثر</w:t>
            </w:r>
          </w:p>
        </w:tc>
      </w:tr>
      <w:tr>
        <w:tc>
          <w:tcPr>
            <w:tcW w:type="dxa" w:w="2160"/>
          </w:tcPr>
          <w:p>
            <w:r>
              <w:t>Purpose</w:t>
            </w:r>
          </w:p>
        </w:tc>
        <w:tc>
          <w:tcPr>
            <w:tcW w:type="dxa" w:w="7200"/>
          </w:tcPr>
          <w:p>
            <w:r>
              <w:t>تفصيل المرحلة الخامسة (قياس الأثر والاستدامة) مع عرض هيكل المنهجية والمؤشرات.</w:t>
            </w:r>
          </w:p>
        </w:tc>
      </w:tr>
      <w:tr>
        <w:tc>
          <w:tcPr>
            <w:tcW w:type="dxa" w:w="2160"/>
          </w:tcPr>
          <w:p>
            <w:r>
              <w:t>Key Message</w:t>
            </w:r>
          </w:p>
        </w:tc>
        <w:tc>
          <w:tcPr>
            <w:tcW w:type="dxa" w:w="7200"/>
          </w:tcPr>
          <w:p>
            <w:r>
              <w:t>تصميم منهجية قياس أثر مؤسسية مع قائمة مؤشرات SMART مربوطة بمستهدفات رؤية 2030 وإطار استدامة يمكّن المركز من التشغيل المستقل.</w:t>
            </w:r>
          </w:p>
        </w:tc>
      </w:tr>
      <w:tr>
        <w:tc>
          <w:tcPr>
            <w:tcW w:type="dxa" w:w="2160"/>
          </w:tcPr>
          <w:p>
            <w:r>
              <w:t>Bullet Logic</w:t>
            </w:r>
          </w:p>
        </w:tc>
        <w:tc>
          <w:tcPr>
            <w:tcW w:type="dxa" w:w="7200"/>
          </w:tcPr>
          <w:p>
            <w:r>
              <w:t>D-22: منهجية قياس الأثر — نظرية التغيير + SROI مكيّفة + 3 مستويات قياس (مخرجات/نتائج/أثر) [HR-L1-051, EXT-009]</w:t>
              <w:br/>
              <w:t>D-23: قائمة مؤشرات SMART — لكل مؤشر: تعريف، وحدة قياس، خط أساس، مستهدف، مصدر بيانات، دورية، مسؤول [HR-L1-052]</w:t>
              <w:br/>
              <w:t>ربط بالرؤية: طبقة ربط بين مؤشرات الأثر ومستهدفات رؤية 2030 للقطاع غير الربحي [EXT-009]</w:t>
              <w:br/>
              <w:t>إطار الاستدامة: آلية تحديث دوري للمنظومة + نماذج تقارير جاهزة + دليل مستخدم شامل</w:t>
              <w:br/>
              <w:t>نقل المعرفة الختامي: برنامج تدريبي مكثف (3-5 أيام) + تقييم مقارن قبل/بعد [SI-8]</w:t>
            </w:r>
          </w:p>
        </w:tc>
      </w:tr>
      <w:tr>
        <w:tc>
          <w:tcPr>
            <w:tcW w:type="dxa" w:w="2160"/>
          </w:tcPr>
          <w:p>
            <w:r>
              <w:t>Proof Points</w:t>
            </w:r>
          </w:p>
        </w:tc>
        <w:tc>
          <w:tcPr>
            <w:tcW w:type="dxa" w:w="7200"/>
          </w:tcPr>
          <w:p>
            <w:r>
              <w:t>HR-L1-051, HR-L1-052, EXT-009</w:t>
            </w:r>
          </w:p>
        </w:tc>
      </w:tr>
      <w:tr>
        <w:tc>
          <w:tcPr>
            <w:tcW w:type="dxa" w:w="2160"/>
          </w:tcPr>
          <w:p>
            <w:r>
              <w:t>Visual</w:t>
            </w:r>
          </w:p>
        </w:tc>
        <w:tc>
          <w:tcPr>
            <w:tcW w:type="dxa" w:w="7200"/>
          </w:tcPr>
          <w:p>
            <w:r>
              <w:t>هرم قياس الأثر: 3 مستويات (مخرجات ← نتائج ← أثر). بجانبه نموذج مؤشر SMART مبسط. في الأسفل شريط نقل المعرفة.</w:t>
            </w:r>
          </w:p>
        </w:tc>
      </w:tr>
      <w:tr>
        <w:tc>
          <w:tcPr>
            <w:tcW w:type="dxa" w:w="2160"/>
          </w:tcPr>
          <w:p>
            <w:r>
              <w:t>Must-Have Evidence</w:t>
            </w:r>
          </w:p>
        </w:tc>
        <w:tc>
          <w:tcPr>
            <w:tcW w:type="dxa" w:w="7200"/>
          </w:tcPr>
          <w:p>
            <w:r>
              <w:t>HR-L1-051, EXT-009</w:t>
            </w:r>
          </w:p>
        </w:tc>
      </w:tr>
      <w:tr>
        <w:tc>
          <w:tcPr>
            <w:tcW w:type="dxa" w:w="2160"/>
          </w:tcPr>
          <w:p>
            <w:r>
              <w:t>Forbidden</w:t>
            </w:r>
          </w:p>
        </w:tc>
        <w:tc>
          <w:tcPr>
            <w:tcW w:type="dxa" w:w="7200"/>
          </w:tcPr>
          <w:p>
            <w:r>
              <w:t>ادعاء قدرة مثبتة في قياس الأثر الاجتماعي دون إثبات, تقديم مؤشرات نهائية قبل اكتمال المراحل السابقة</w:t>
            </w:r>
          </w:p>
        </w:tc>
      </w:tr>
    </w:tbl>
    <w:p/>
    <w:p>
      <w:pPr>
        <w:pStyle w:val="Heading2"/>
      </w:pPr>
      <w:r>
        <w:t>Slide 22: نموذج الحوكمة — 3 مستويات و5 بوابات اعتماد</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الحوكمة</w:t>
            </w:r>
          </w:p>
        </w:tc>
      </w:tr>
      <w:tr>
        <w:tc>
          <w:tcPr>
            <w:tcW w:type="dxa" w:w="2160"/>
          </w:tcPr>
          <w:p>
            <w:r>
              <w:t>Layout</w:t>
            </w:r>
          </w:p>
        </w:tc>
        <w:tc>
          <w:tcPr>
            <w:tcW w:type="dxa" w:w="7200"/>
          </w:tcPr>
          <w:p>
            <w:r>
              <w:t>هيكل حوكمة — 3 مستويات</w:t>
            </w:r>
          </w:p>
        </w:tc>
      </w:tr>
      <w:tr>
        <w:tc>
          <w:tcPr>
            <w:tcW w:type="dxa" w:w="2160"/>
          </w:tcPr>
          <w:p>
            <w:r>
              <w:t>Purpose</w:t>
            </w:r>
          </w:p>
        </w:tc>
        <w:tc>
          <w:tcPr>
            <w:tcW w:type="dxa" w:w="7200"/>
          </w:tcPr>
          <w:p>
            <w:r>
              <w:t>عرض نموذج الحوكمة ثلاثي المستويات مع بوابات الاعتماد وآلية التصعيد.</w:t>
            </w:r>
          </w:p>
        </w:tc>
      </w:tr>
      <w:tr>
        <w:tc>
          <w:tcPr>
            <w:tcW w:type="dxa" w:w="2160"/>
          </w:tcPr>
          <w:p>
            <w:r>
              <w:t>Key Message</w:t>
            </w:r>
          </w:p>
        </w:tc>
        <w:tc>
          <w:tcPr>
            <w:tcW w:type="dxa" w:w="7200"/>
          </w:tcPr>
          <w:p>
            <w:r>
              <w:t>نموذج حوكمة من 3 مستويات (لجنة توجيهية، لجنة إشراف فنية، فريق تنفيذي) مع 5 بوابات اعتماد تضمن جودة المخرجات قبل الانتقال بين المراحل.</w:t>
            </w:r>
          </w:p>
        </w:tc>
      </w:tr>
      <w:tr>
        <w:tc>
          <w:tcPr>
            <w:tcW w:type="dxa" w:w="2160"/>
          </w:tcPr>
          <w:p>
            <w:r>
              <w:t>Bullet Logic</w:t>
            </w:r>
          </w:p>
        </w:tc>
        <w:tc>
          <w:tcPr>
            <w:tcW w:type="dxa" w:w="7200"/>
          </w:tcPr>
          <w:p>
            <w:r>
              <w:t>اللجنة التوجيهية: اجتماع شهري — اعتماد المخرجات الاستراتيجية وتغييرات النطاق [HR-L1-033, EXT-002]</w:t>
              <w:br/>
              <w:t>لجنة الإشراف الفنية: اجتماع نصف شهري — متابعة التنفيذ ومراجعة المسودات</w:t>
              <w:br/>
              <w:t>الفريق التنفيذي: اجتماع أسبوعي — تنسيق المهام وحل القضايا التشغيلية</w:t>
              <w:br/>
              <w:t>5 بوابات حوكمة (G1-G5): لا ينتقل المشروع للمرحلة التالية إلا بعد اعتماد مخرجات المرحلة الحالية رسمياً [HR-L1-034]</w:t>
              <w:br/>
              <w:t>آلية تصعيد من 4 مستويات: مدير المشروع (24 ساعة) ← راعي المشروع (48 ساعة) ← اللجنة التوجيهية (أسبوع) ← الراعي التنفيذي (72 ساعة)</w:t>
            </w:r>
          </w:p>
        </w:tc>
      </w:tr>
      <w:tr>
        <w:tc>
          <w:tcPr>
            <w:tcW w:type="dxa" w:w="2160"/>
          </w:tcPr>
          <w:p>
            <w:r>
              <w:t>Proof Points</w:t>
            </w:r>
          </w:p>
        </w:tc>
        <w:tc>
          <w:tcPr>
            <w:tcW w:type="dxa" w:w="7200"/>
          </w:tcPr>
          <w:p>
            <w:r>
              <w:t>HR-L1-033, HR-L1-034, EXT-002</w:t>
            </w:r>
          </w:p>
        </w:tc>
      </w:tr>
      <w:tr>
        <w:tc>
          <w:tcPr>
            <w:tcW w:type="dxa" w:w="2160"/>
          </w:tcPr>
          <w:p>
            <w:r>
              <w:t>Visual</w:t>
            </w:r>
          </w:p>
        </w:tc>
        <w:tc>
          <w:tcPr>
            <w:tcW w:type="dxa" w:w="7200"/>
          </w:tcPr>
          <w:p>
            <w:r>
              <w:t>مخطط هرمي: 3 مستويات حوكمة مع أسهم تصعيد. شريط أفقي سفلي يعرض البوابات الخمس (G1-G5) على الخط الزمني.</w:t>
            </w:r>
          </w:p>
        </w:tc>
      </w:tr>
      <w:tr>
        <w:tc>
          <w:tcPr>
            <w:tcW w:type="dxa" w:w="2160"/>
          </w:tcPr>
          <w:p>
            <w:r>
              <w:t>Must-Have Evidence</w:t>
            </w:r>
          </w:p>
        </w:tc>
        <w:tc>
          <w:tcPr>
            <w:tcW w:type="dxa" w:w="7200"/>
          </w:tcPr>
          <w:p>
            <w:r>
              <w:t>HR-L1-033, EXT-002</w:t>
            </w:r>
          </w:p>
        </w:tc>
      </w:tr>
      <w:tr>
        <w:tc>
          <w:tcPr>
            <w:tcW w:type="dxa" w:w="2160"/>
          </w:tcPr>
          <w:p>
            <w:r>
              <w:t>Forbidden</w:t>
            </w:r>
          </w:p>
        </w:tc>
        <w:tc>
          <w:tcPr>
            <w:tcW w:type="dxa" w:w="7200"/>
          </w:tcPr>
          <w:p>
            <w:r>
              <w:t>تقديم نموذج حوكمة معقد يرفع التكلفة دون قيمة مضافة للاجتياز الفني, إغفال آلية التصعيد</w:t>
            </w:r>
          </w:p>
        </w:tc>
      </w:tr>
    </w:tbl>
    <w:p/>
    <w:p>
      <w:pPr>
        <w:pStyle w:val="Heading2"/>
      </w:pPr>
      <w:r>
        <w:t>Slide 23: دورة مراجعة المخرجات — 5 مراحل لضمان الجودة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الحوكمة</w:t>
            </w:r>
          </w:p>
        </w:tc>
      </w:tr>
      <w:tr>
        <w:tc>
          <w:tcPr>
            <w:tcW w:type="dxa" w:w="2160"/>
          </w:tcPr>
          <w:p>
            <w:r>
              <w:t>Layout</w:t>
            </w:r>
          </w:p>
        </w:tc>
        <w:tc>
          <w:tcPr>
            <w:tcW w:type="dxa" w:w="7200"/>
          </w:tcPr>
          <w:p>
            <w:r>
              <w:t>دورة مراجعة — 5 خطوات</w:t>
            </w:r>
          </w:p>
        </w:tc>
      </w:tr>
      <w:tr>
        <w:tc>
          <w:tcPr>
            <w:tcW w:type="dxa" w:w="2160"/>
          </w:tcPr>
          <w:p>
            <w:r>
              <w:t>Purpose</w:t>
            </w:r>
          </w:p>
        </w:tc>
        <w:tc>
          <w:tcPr>
            <w:tcW w:type="dxa" w:w="7200"/>
          </w:tcPr>
          <w:p>
            <w:r>
              <w:t>عرض دورة مراجعة المخرجات من الإعداد إلى الاعتماد مع معايير الجودة.</w:t>
            </w:r>
          </w:p>
        </w:tc>
      </w:tr>
      <w:tr>
        <w:tc>
          <w:tcPr>
            <w:tcW w:type="dxa" w:w="2160"/>
          </w:tcPr>
          <w:p>
            <w:r>
              <w:t>Key Message</w:t>
            </w:r>
          </w:p>
        </w:tc>
        <w:tc>
          <w:tcPr>
            <w:tcW w:type="dxa" w:w="7200"/>
          </w:tcPr>
          <w:p>
            <w:r>
              <w:t>كل مخرج يمر بدورة من 5 مراحل: إعداد ← مراجعة داخلية ← تقديم للعميل ← تعديل ← اعتماد رسمي مع معايير قبول محددة.</w:t>
            </w:r>
          </w:p>
        </w:tc>
      </w:tr>
      <w:tr>
        <w:tc>
          <w:tcPr>
            <w:tcW w:type="dxa" w:w="2160"/>
          </w:tcPr>
          <w:p>
            <w:r>
              <w:t>Bullet Logic</w:t>
            </w:r>
          </w:p>
        </w:tc>
        <w:tc>
          <w:tcPr>
            <w:tcW w:type="dxa" w:w="7200"/>
          </w:tcPr>
          <w:p>
            <w:r>
              <w:t>المرحلة 1: إعداد المسودة الأولية من فريق التحليل SG [EXT-002]</w:t>
              <w:br/>
              <w:t>المرحلة 2: مراجعة جودة داخلية مستقلة من مدير الارتباط — 7 معايير (اكتمال، دقة، اتساق، تغطية قطاعية، تغطية دولية، لغة، قابلية تنفيذ)</w:t>
              <w:br/>
              <w:t>المرحلة 3: تقديم للعميل مع عرض تقديمي — 5 أيام مراجعة للمخرجات العادية و10 أيام للاستراتيجية [HR-L1-030]</w:t>
              <w:br/>
              <w:t>المرحلة 4: معالجة الملاحظات خلال 5 أيام مع جدول تتبع (Comment Tracker)</w:t>
              <w:br/>
              <w:t>المرحلة 5: اعتماد رسمي مكتوب — لا يُعتبر أي مخرج مكتملاً تعاقدياً بدونه</w:t>
            </w:r>
          </w:p>
        </w:tc>
      </w:tr>
      <w:tr>
        <w:tc>
          <w:tcPr>
            <w:tcW w:type="dxa" w:w="2160"/>
          </w:tcPr>
          <w:p>
            <w:r>
              <w:t>Proof Points</w:t>
            </w:r>
          </w:p>
        </w:tc>
        <w:tc>
          <w:tcPr>
            <w:tcW w:type="dxa" w:w="7200"/>
          </w:tcPr>
          <w:p>
            <w:r>
              <w:t>HR-L1-030, EXT-002</w:t>
            </w:r>
          </w:p>
        </w:tc>
      </w:tr>
      <w:tr>
        <w:tc>
          <w:tcPr>
            <w:tcW w:type="dxa" w:w="2160"/>
          </w:tcPr>
          <w:p>
            <w:r>
              <w:t>Visual</w:t>
            </w:r>
          </w:p>
        </w:tc>
        <w:tc>
          <w:tcPr>
            <w:tcW w:type="dxa" w:w="7200"/>
          </w:tcPr>
          <w:p>
            <w:r>
              <w:t>مخطط تدفق دائري: 5 مراحل متسلسلة مع أسهم. كل مرحلة تحتوي المسؤول والمدة. سهم رجوع من المرحلة 4 إلى 3 في حال ملاحظات إضافية.</w:t>
            </w:r>
          </w:p>
        </w:tc>
      </w:tr>
      <w:tr>
        <w:tc>
          <w:tcPr>
            <w:tcW w:type="dxa" w:w="2160"/>
          </w:tcPr>
          <w:p>
            <w:r>
              <w:t>Must-Have Evidence</w:t>
            </w:r>
          </w:p>
        </w:tc>
        <w:tc>
          <w:tcPr>
            <w:tcW w:type="dxa" w:w="7200"/>
          </w:tcPr>
          <w:p>
            <w:r>
              <w:t>HR-L1-030</w:t>
            </w:r>
          </w:p>
        </w:tc>
      </w:tr>
      <w:tr>
        <w:tc>
          <w:tcPr>
            <w:tcW w:type="dxa" w:w="2160"/>
          </w:tcPr>
          <w:p>
            <w:r>
              <w:t>Forbidden</w:t>
            </w:r>
          </w:p>
        </w:tc>
        <w:tc>
          <w:tcPr>
            <w:tcW w:type="dxa" w:w="7200"/>
          </w:tcPr>
          <w:p>
            <w:r>
              <w:t>تقديم دورة مراجعة مبسطة تتجاوز المراجعة الداخلية, إغفال معايير القبول</w:t>
            </w:r>
          </w:p>
        </w:tc>
      </w:tr>
    </w:tbl>
    <w:p/>
    <w:p>
      <w:pPr>
        <w:pStyle w:val="Heading2"/>
      </w:pPr>
      <w:r>
        <w:t>Slide 24: إطار التقارير والاتصالات — شفافية مستمرة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الحوكمة</w:t>
            </w:r>
          </w:p>
        </w:tc>
      </w:tr>
      <w:tr>
        <w:tc>
          <w:tcPr>
            <w:tcW w:type="dxa" w:w="2160"/>
          </w:tcPr>
          <w:p>
            <w:r>
              <w:t>Layout</w:t>
            </w:r>
          </w:p>
        </w:tc>
        <w:tc>
          <w:tcPr>
            <w:tcW w:type="dxa" w:w="7200"/>
          </w:tcPr>
          <w:p>
            <w:r>
              <w:t>إطار تقارير — جدول تكرارات</w:t>
            </w:r>
          </w:p>
        </w:tc>
      </w:tr>
      <w:tr>
        <w:tc>
          <w:tcPr>
            <w:tcW w:type="dxa" w:w="2160"/>
          </w:tcPr>
          <w:p>
            <w:r>
              <w:t>Purpose</w:t>
            </w:r>
          </w:p>
        </w:tc>
        <w:tc>
          <w:tcPr>
            <w:tcW w:type="dxa" w:w="7200"/>
          </w:tcPr>
          <w:p>
            <w:r>
              <w:t>عرض إطار التقارير والاتصالات الدورية مع تحديد التكرار والمحتوى والمستلمين.</w:t>
            </w:r>
          </w:p>
        </w:tc>
      </w:tr>
      <w:tr>
        <w:tc>
          <w:tcPr>
            <w:tcW w:type="dxa" w:w="2160"/>
          </w:tcPr>
          <w:p>
            <w:r>
              <w:t>Key Message</w:t>
            </w:r>
          </w:p>
        </w:tc>
        <w:tc>
          <w:tcPr>
            <w:tcW w:type="dxa" w:w="7200"/>
          </w:tcPr>
          <w:p>
            <w:r>
              <w:t>نظام تقارير متعدد المستويات يضمن شفافية كاملة: تقرير أسبوعي + لوحة متابعة شهرية + مراجعة ربع سنوية + تقارير بوابات الحوكمة.</w:t>
            </w:r>
          </w:p>
        </w:tc>
      </w:tr>
      <w:tr>
        <w:tc>
          <w:tcPr>
            <w:tcW w:type="dxa" w:w="2160"/>
          </w:tcPr>
          <w:p>
            <w:r>
              <w:t>Bullet Logic</w:t>
            </w:r>
          </w:p>
        </w:tc>
        <w:tc>
          <w:tcPr>
            <w:tcW w:type="dxa" w:w="7200"/>
          </w:tcPr>
          <w:p>
            <w:r>
              <w:t>تقرير أسبوعي (48 تقريراً): حالة المهام والمخرجات والقضايا المفتوحة — 2-3 صفحات PDF بالعربية [HR-L1-008]</w:t>
              <w:br/>
              <w:t>لوحة متابعة شهرية (12 لوحة): مؤشر صحة المشروع + حالة D-1 إلى D-23 + أعلى 5 مخاطر [EXT-002]</w:t>
              <w:br/>
              <w:t>مراجعة ربع سنوية (4 مراجعات): تقييم شامل + دروس مستفادة + تحديث خارطة المخاطر</w:t>
              <w:br/>
              <w:t>تقارير بوابات الحوكمة (5 تقارير): نتائج مراجعة الجودة + ملاحظات العميل + تقييم الجاهزية للانتقال</w:t>
            </w:r>
          </w:p>
        </w:tc>
      </w:tr>
      <w:tr>
        <w:tc>
          <w:tcPr>
            <w:tcW w:type="dxa" w:w="2160"/>
          </w:tcPr>
          <w:p>
            <w:r>
              <w:t>Proof Points</w:t>
            </w:r>
          </w:p>
        </w:tc>
        <w:tc>
          <w:tcPr>
            <w:tcW w:type="dxa" w:w="7200"/>
          </w:tcPr>
          <w:p>
            <w:r>
              <w:t>HR-L1-008, EXT-002</w:t>
            </w:r>
          </w:p>
        </w:tc>
      </w:tr>
      <w:tr>
        <w:tc>
          <w:tcPr>
            <w:tcW w:type="dxa" w:w="2160"/>
          </w:tcPr>
          <w:p>
            <w:r>
              <w:t>Visual</w:t>
            </w:r>
          </w:p>
        </w:tc>
        <w:tc>
          <w:tcPr>
            <w:tcW w:type="dxa" w:w="7200"/>
          </w:tcPr>
          <w:p>
            <w:r>
              <w:t>جدول: الصفوف = أنواع التقارير الأربعة، الأعمدة = التكرار، المُعد، المستلمون، المحتوى الرئيسي. ترميز لوني حسب المستوى.</w:t>
            </w:r>
          </w:p>
        </w:tc>
      </w:tr>
      <w:tr>
        <w:tc>
          <w:tcPr>
            <w:tcW w:type="dxa" w:w="2160"/>
          </w:tcPr>
          <w:p>
            <w:r>
              <w:t>Must-Have Evidence</w:t>
            </w:r>
          </w:p>
        </w:tc>
        <w:tc>
          <w:tcPr>
            <w:tcW w:type="dxa" w:w="7200"/>
          </w:tcPr>
          <w:p>
            <w:r>
              <w:t>HR-L1-008</w:t>
            </w:r>
          </w:p>
        </w:tc>
      </w:tr>
      <w:tr>
        <w:tc>
          <w:tcPr>
            <w:tcW w:type="dxa" w:w="2160"/>
          </w:tcPr>
          <w:p>
            <w:r>
              <w:t>Forbidden</w:t>
            </w:r>
          </w:p>
        </w:tc>
        <w:tc>
          <w:tcPr>
            <w:tcW w:type="dxa" w:w="7200"/>
          </w:tcPr>
          <w:p>
            <w:r>
              <w:t>تقديم تقارير بالإنجليزية فقط, إغفال التقارير باللغة العربية كمتطلب إلزامي</w:t>
            </w:r>
          </w:p>
        </w:tc>
      </w:tr>
    </w:tbl>
    <w:p/>
    <w:p>
      <w:pPr>
        <w:pStyle w:val="Heading2"/>
      </w:pPr>
      <w:r>
        <w:t>Slide 25: الجدول الزمني — 12 شهراً و5 مراحل و5 بوابات</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الجدول الزمني والمعالم</w:t>
            </w:r>
          </w:p>
        </w:tc>
      </w:tr>
      <w:tr>
        <w:tc>
          <w:tcPr>
            <w:tcW w:type="dxa" w:w="2160"/>
          </w:tcPr>
          <w:p>
            <w:r>
              <w:t>Layout</w:t>
            </w:r>
          </w:p>
        </w:tc>
        <w:tc>
          <w:tcPr>
            <w:tcW w:type="dxa" w:w="7200"/>
          </w:tcPr>
          <w:p>
            <w:r>
              <w:t>مخطط Gantt مبسط — 12 شهراً</w:t>
            </w:r>
          </w:p>
        </w:tc>
      </w:tr>
      <w:tr>
        <w:tc>
          <w:tcPr>
            <w:tcW w:type="dxa" w:w="2160"/>
          </w:tcPr>
          <w:p>
            <w:r>
              <w:t>Purpose</w:t>
            </w:r>
          </w:p>
        </w:tc>
        <w:tc>
          <w:tcPr>
            <w:tcW w:type="dxa" w:w="7200"/>
          </w:tcPr>
          <w:p>
            <w:r>
              <w:t>عرض الجدول الزمني الشامل للمشروع مع المسار الحرج والمعالم الرئيسية وبوابات الحوكمة.</w:t>
            </w:r>
          </w:p>
        </w:tc>
      </w:tr>
      <w:tr>
        <w:tc>
          <w:tcPr>
            <w:tcW w:type="dxa" w:w="2160"/>
          </w:tcPr>
          <w:p>
            <w:r>
              <w:t>Key Message</w:t>
            </w:r>
          </w:p>
        </w:tc>
        <w:tc>
          <w:tcPr>
            <w:tcW w:type="dxa" w:w="7200"/>
          </w:tcPr>
          <w:p>
            <w:r>
              <w:t>جدول زمني واقعي يوزع 23 مخرجاً على 12 شهراً مع هوامش زمنية مدمجة لحماية المسار الحرج وبوابات حوكمة بين كل مرحلة.</w:t>
            </w:r>
          </w:p>
        </w:tc>
      </w:tr>
      <w:tr>
        <w:tc>
          <w:tcPr>
            <w:tcW w:type="dxa" w:w="2160"/>
          </w:tcPr>
          <w:p>
            <w:r>
              <w:t>Bullet Logic</w:t>
            </w:r>
          </w:p>
        </w:tc>
        <w:tc>
          <w:tcPr>
            <w:tcW w:type="dxa" w:w="7200"/>
          </w:tcPr>
          <w:p>
            <w:r>
              <w:t>المرحلة 1 (أشهر 1-2): 5 مخرجات تأسيسية + بوابة G1 [HR-L1-002]</w:t>
              <w:br/>
              <w:t>المرحلة 2 (أشهر 2.5-5.5): 9 مخرجات — الأعلى كثافة مع هامش أسبوعين لتأخيرات البيانات + بوابة G2</w:t>
              <w:br/>
              <w:t>المرحلة 3 (أشهر 5-8): 3 مخرجات تحليلية + تداخل أسبوعين مع المرحلة 2 + بوابة G3</w:t>
              <w:br/>
              <w:t>المرحلة 4 (أشهر 8-10.5): 4 مخرجات تفعيلية + بوابة G4</w:t>
              <w:br/>
              <w:t>المرحلة 5 (أشهر 10.5-12): 2 مخرجات + حزمة معرفية نهائية + بوابة G5 والتسليم النهائي</w:t>
            </w:r>
          </w:p>
        </w:tc>
      </w:tr>
      <w:tr>
        <w:tc>
          <w:tcPr>
            <w:tcW w:type="dxa" w:w="2160"/>
          </w:tcPr>
          <w:p>
            <w:r>
              <w:t>Proof Points</w:t>
            </w:r>
          </w:p>
        </w:tc>
        <w:tc>
          <w:tcPr>
            <w:tcW w:type="dxa" w:w="7200"/>
          </w:tcPr>
          <w:p>
            <w:r>
              <w:t>HR-L1-002</w:t>
            </w:r>
          </w:p>
        </w:tc>
      </w:tr>
      <w:tr>
        <w:tc>
          <w:tcPr>
            <w:tcW w:type="dxa" w:w="2160"/>
          </w:tcPr>
          <w:p>
            <w:r>
              <w:t>Visual</w:t>
            </w:r>
          </w:p>
        </w:tc>
        <w:tc>
          <w:tcPr>
            <w:tcW w:type="dxa" w:w="7200"/>
          </w:tcPr>
          <w:p>
            <w:r>
              <w:t>مخطط Gantt أفقي: 5 أشرطة ملونة تمثل المراحل على محور 12 شهراً. معالم بوابات الحوكمة (G1-G5) كنقاط ماسية. المسار الحرج بخط أحمر.</w:t>
            </w:r>
          </w:p>
        </w:tc>
      </w:tr>
      <w:tr>
        <w:tc>
          <w:tcPr>
            <w:tcW w:type="dxa" w:w="2160"/>
          </w:tcPr>
          <w:p>
            <w:r>
              <w:t>Must-Have Evidence</w:t>
            </w:r>
          </w:p>
        </w:tc>
        <w:tc>
          <w:tcPr>
            <w:tcW w:type="dxa" w:w="7200"/>
          </w:tcPr>
          <w:p>
            <w:r>
              <w:t>HR-L1-002</w:t>
            </w:r>
          </w:p>
        </w:tc>
      </w:tr>
      <w:tr>
        <w:tc>
          <w:tcPr>
            <w:tcW w:type="dxa" w:w="2160"/>
          </w:tcPr>
          <w:p>
            <w:r>
              <w:t>Forbidden</w:t>
            </w:r>
          </w:p>
        </w:tc>
        <w:tc>
          <w:tcPr>
            <w:tcW w:type="dxa" w:w="7200"/>
          </w:tcPr>
          <w:p>
            <w:r>
              <w:t>تجاوز مدة 12 شهراً, إغفال بوابات الحوكمة, عدم تحديد المسار الحرج</w:t>
            </w:r>
          </w:p>
        </w:tc>
      </w:tr>
    </w:tbl>
    <w:p/>
    <w:p>
      <w:pPr>
        <w:pStyle w:val="Heading2"/>
      </w:pPr>
      <w:r>
        <w:t>Slide 26: جدول إنتاج المخرجات — D-1 إلى D-23</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الجدول الزمني والمعالم</w:t>
            </w:r>
          </w:p>
        </w:tc>
      </w:tr>
      <w:tr>
        <w:tc>
          <w:tcPr>
            <w:tcW w:type="dxa" w:w="2160"/>
          </w:tcPr>
          <w:p>
            <w:r>
              <w:t>Layout</w:t>
            </w:r>
          </w:p>
        </w:tc>
        <w:tc>
          <w:tcPr>
            <w:tcW w:type="dxa" w:w="7200"/>
          </w:tcPr>
          <w:p>
            <w:r>
              <w:t>جدول تفصيلي — المخرجات × الأشهر</w:t>
            </w:r>
          </w:p>
        </w:tc>
      </w:tr>
      <w:tr>
        <w:tc>
          <w:tcPr>
            <w:tcW w:type="dxa" w:w="2160"/>
          </w:tcPr>
          <w:p>
            <w:r>
              <w:t>Purpose</w:t>
            </w:r>
          </w:p>
        </w:tc>
        <w:tc>
          <w:tcPr>
            <w:tcW w:type="dxa" w:w="7200"/>
          </w:tcPr>
          <w:p>
            <w:r>
              <w:t>عرض جدول إنتاج المخرجات التفصيلي مع شهر البدء والتقديم والاعتماد لكل مخرج.</w:t>
            </w:r>
          </w:p>
        </w:tc>
      </w:tr>
      <w:tr>
        <w:tc>
          <w:tcPr>
            <w:tcW w:type="dxa" w:w="2160"/>
          </w:tcPr>
          <w:p>
            <w:r>
              <w:t>Key Message</w:t>
            </w:r>
          </w:p>
        </w:tc>
        <w:tc>
          <w:tcPr>
            <w:tcW w:type="dxa" w:w="7200"/>
          </w:tcPr>
          <w:p>
            <w:r>
              <w:t>كل مخرج إلزامي له شهر بدء وشهر تقديم وشهر اعتماد محدد مع تحديد بوابة الحوكمة المرتبطة.</w:t>
            </w:r>
          </w:p>
        </w:tc>
      </w:tr>
      <w:tr>
        <w:tc>
          <w:tcPr>
            <w:tcW w:type="dxa" w:w="2160"/>
          </w:tcPr>
          <w:p>
            <w:r>
              <w:t>Bullet Logic</w:t>
            </w:r>
          </w:p>
        </w:tc>
        <w:tc>
          <w:tcPr>
            <w:tcW w:type="dxa" w:w="7200"/>
          </w:tcPr>
          <w:p>
            <w:r>
              <w:t>المرحلة 1: D-1 إلى D-5 — بدء الشهر 1، تقديم الشهر 1.5، اعتماد عند G1 نهاية الشهر 2 [HR-L1-030 إلى HR-L1-034]</w:t>
              <w:br/>
              <w:t>المرحلة 2: D-6 إلى D-14 — بدء الشهر 2.5، تقديم متدرج أشهر 3.5-5.5، اعتماد عند G2 [HR-L1-035 إلى HR-L1-042]</w:t>
              <w:br/>
              <w:t>المرحلة 3: D-15 إلى D-17 — بدء الشهر 5، تقديم أشهر 6-7.5، اعتماد عند G3 نهاية الشهر 8 [HR-L1-045 إلى HR-L1-047]</w:t>
              <w:br/>
              <w:t>المرحلة 4: D-18 إلى D-21 — بدء الشهر 8، تقديم أشهر 9-10، اعتماد عند G4 [HR-L1-048 إلى HR-L1-050]</w:t>
              <w:br/>
              <w:t>المرحلة 5: D-22 وD-23 — بدء الشهر 10.5، تقديم الشهر 11.5، اعتماد عند G5 نهاية الشهر 12 [HR-L1-051, HR-L1-052]</w:t>
            </w:r>
          </w:p>
        </w:tc>
      </w:tr>
      <w:tr>
        <w:tc>
          <w:tcPr>
            <w:tcW w:type="dxa" w:w="2160"/>
          </w:tcPr>
          <w:p>
            <w:r>
              <w:t>Proof Points</w:t>
            </w:r>
          </w:p>
        </w:tc>
        <w:tc>
          <w:tcPr>
            <w:tcW w:type="dxa" w:w="7200"/>
          </w:tcPr>
          <w:p>
            <w:r>
              <w:t>HR-L1-030, HR-L1-034, HR-L1-035, HR-L1-042, HR-L1-045, HR-L1-047, HR-L1-048, HR-L1-050, HR-L1-051, HR-L1-052</w:t>
            </w:r>
          </w:p>
        </w:tc>
      </w:tr>
      <w:tr>
        <w:tc>
          <w:tcPr>
            <w:tcW w:type="dxa" w:w="2160"/>
          </w:tcPr>
          <w:p>
            <w:r>
              <w:t>Visual</w:t>
            </w:r>
          </w:p>
        </w:tc>
        <w:tc>
          <w:tcPr>
            <w:tcW w:type="dxa" w:w="7200"/>
          </w:tcPr>
          <w:p>
            <w:r>
              <w:t>جدول تفصيلي: الصفوف = D-1 إلى D-23، الأعمدة = المرحلة، شهر البدء، شهر التقديم، شهر الاعتماد، بوابة الحوكمة. ترميز لوني حسب المرحلة.</w:t>
            </w:r>
          </w:p>
        </w:tc>
      </w:tr>
      <w:tr>
        <w:tc>
          <w:tcPr>
            <w:tcW w:type="dxa" w:w="2160"/>
          </w:tcPr>
          <w:p>
            <w:r>
              <w:t>Must-Have Evidence</w:t>
            </w:r>
          </w:p>
        </w:tc>
        <w:tc>
          <w:tcPr>
            <w:tcW w:type="dxa" w:w="7200"/>
          </w:tcPr>
          <w:p>
            <w:r>
              <w:t>HR-L1-030, HR-L1-052</w:t>
            </w:r>
          </w:p>
        </w:tc>
      </w:tr>
      <w:tr>
        <w:tc>
          <w:tcPr>
            <w:tcW w:type="dxa" w:w="2160"/>
          </w:tcPr>
          <w:p>
            <w:r>
              <w:t>Forbidden</w:t>
            </w:r>
          </w:p>
        </w:tc>
        <w:tc>
          <w:tcPr>
            <w:tcW w:type="dxa" w:w="7200"/>
          </w:tcPr>
          <w:p>
            <w:r>
              <w:t>ترك أي مخرج بدون تاريخ محدد, تجاوز الشهر 12 لأي مخرج</w:t>
            </w:r>
          </w:p>
        </w:tc>
      </w:tr>
    </w:tbl>
    <w:p/>
    <w:p>
      <w:pPr>
        <w:pStyle w:val="Heading2"/>
      </w:pPr>
      <w:r>
        <w:t>Slide 27: مشروع سابق — المركز الوطني لتنمية القطاع غير الربحي</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 الأداء السابق</w:t>
            </w:r>
          </w:p>
        </w:tc>
      </w:tr>
      <w:tr>
        <w:tc>
          <w:tcPr>
            <w:tcW w:type="dxa" w:w="2160"/>
          </w:tcPr>
          <w:p>
            <w:r>
              <w:t>Layout</w:t>
            </w:r>
          </w:p>
        </w:tc>
        <w:tc>
          <w:tcPr>
            <w:tcW w:type="dxa" w:w="7200"/>
          </w:tcPr>
          <w:p>
            <w:r>
              <w:t>بطاقة مشروع — PRJ-001</w:t>
            </w:r>
          </w:p>
        </w:tc>
      </w:tr>
      <w:tr>
        <w:tc>
          <w:tcPr>
            <w:tcW w:type="dxa" w:w="2160"/>
          </w:tcPr>
          <w:p>
            <w:r>
              <w:t>Purpose</w:t>
            </w:r>
          </w:p>
        </w:tc>
        <w:tc>
          <w:tcPr>
            <w:tcW w:type="dxa" w:w="7200"/>
          </w:tcPr>
          <w:p>
            <w:r>
              <w:t>عرض المشروع السابق مع نفس العميل كدليل أولي على الفهم القطاعي مع الشفافية حول المعلومات المتاحة.</w:t>
            </w:r>
          </w:p>
        </w:tc>
      </w:tr>
      <w:tr>
        <w:tc>
          <w:tcPr>
            <w:tcW w:type="dxa" w:w="2160"/>
          </w:tcPr>
          <w:p>
            <w:r>
              <w:t>Key Message</w:t>
            </w:r>
          </w:p>
        </w:tc>
        <w:tc>
          <w:tcPr>
            <w:tcW w:type="dxa" w:w="7200"/>
          </w:tcPr>
          <w:p>
            <w:r>
              <w:t>نفذت SG مشروعاً سابقاً مع نفس العميل في مجال خدمات ومنتجات القطاع غير الربحي مما يوفر فهماً مؤسسياً وقطاعياً أولياً.</w:t>
            </w:r>
          </w:p>
        </w:tc>
      </w:tr>
      <w:tr>
        <w:tc>
          <w:tcPr>
            <w:tcW w:type="dxa" w:w="2160"/>
          </w:tcPr>
          <w:p>
            <w:r>
              <w:t>Bullet Logic</w:t>
            </w:r>
          </w:p>
        </w:tc>
        <w:tc>
          <w:tcPr>
            <w:tcW w:type="dxa" w:w="7200"/>
          </w:tcPr>
          <w:p>
            <w:r>
              <w:t>PRJ-001: خدمات ومنتجات القطاع غير الربحي — المركز الوطني لتنمية القطاع غير الربحي</w:t>
              <w:br/>
              <w:t>الصلة: نفس العميل ونفس المجال الموضوعي — دليل على العلاقة المؤسسية والفهم القطاعي</w:t>
              <w:br/>
              <w:t>الحالة: التفاصيل الكاملة (المنهجيات، المخرجات، النتائج) قيد الاسترجاع من أرشيف المشاريع</w:t>
              <w:br/>
              <w:t>القيمة المضافة: الخبرة السابقة تُسرّع مرحلة التأسيس وتعمّق فهم السياق المؤسسي للمركز</w:t>
            </w:r>
          </w:p>
        </w:tc>
      </w:tr>
      <w:tr>
        <w:tc>
          <w:tcPr>
            <w:tcW w:type="dxa" w:w="2160"/>
          </w:tcPr>
          <w:p>
            <w:r>
              <w:t>Proof Points</w:t>
            </w:r>
          </w:p>
        </w:tc>
        <w:tc>
          <w:tcPr>
            <w:tcW w:type="dxa" w:w="7200"/>
          </w:tcPr>
          <w:p>
            <w:r>
              <w:t>EXT-007</w:t>
            </w:r>
          </w:p>
        </w:tc>
      </w:tr>
      <w:tr>
        <w:tc>
          <w:tcPr>
            <w:tcW w:type="dxa" w:w="2160"/>
          </w:tcPr>
          <w:p>
            <w:r>
              <w:t>Visual</w:t>
            </w:r>
          </w:p>
        </w:tc>
        <w:tc>
          <w:tcPr>
            <w:tcW w:type="dxa" w:w="7200"/>
          </w:tcPr>
          <w:p>
            <w:r>
              <w:t>بطاقة مشروع بتصميم بارز: اسم المشروع، العميل، المجال. قسم 'التفاصيل قيد الاسترجاع' بلون مميز. أيقونة تمثل العلاقة المؤسسية.</w:t>
            </w:r>
          </w:p>
        </w:tc>
      </w:tr>
      <w:tr>
        <w:tc>
          <w:tcPr>
            <w:tcW w:type="dxa" w:w="2160"/>
          </w:tcPr>
          <w:p>
            <w:r>
              <w:t>Must-Have Evidence</w:t>
            </w:r>
          </w:p>
        </w:tc>
        <w:tc>
          <w:tcPr>
            <w:tcW w:type="dxa" w:w="7200"/>
          </w:tcPr>
          <w:p>
            <w:r>
              <w:t>EXT-007</w:t>
            </w:r>
          </w:p>
        </w:tc>
      </w:tr>
      <w:tr>
        <w:tc>
          <w:tcPr>
            <w:tcW w:type="dxa" w:w="2160"/>
          </w:tcPr>
          <w:p>
            <w:r>
              <w:t>Forbidden</w:t>
            </w:r>
          </w:p>
        </w:tc>
        <w:tc>
          <w:tcPr>
            <w:tcW w:type="dxa" w:w="7200"/>
          </w:tcPr>
          <w:p>
            <w:r>
              <w:t>ادعاء نتائج محددة غير مؤكدة, تقديم المشروع كدليل كامل, إخفاء أن التفاصيل غير متوفرة</w:t>
            </w:r>
          </w:p>
        </w:tc>
      </w:tr>
    </w:tbl>
    <w:p/>
    <w:p>
      <w:pPr>
        <w:pStyle w:val="Heading2"/>
      </w:pPr>
      <w:r>
        <w:t>Slide 28: نماذج دولية مرجعية — 3 دول من أصل 5</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 الأداء السابق</w:t>
            </w:r>
          </w:p>
        </w:tc>
      </w:tr>
      <w:tr>
        <w:tc>
          <w:tcPr>
            <w:tcW w:type="dxa" w:w="2160"/>
          </w:tcPr>
          <w:p>
            <w:r>
              <w:t>Layout</w:t>
            </w:r>
          </w:p>
        </w:tc>
        <w:tc>
          <w:tcPr>
            <w:tcW w:type="dxa" w:w="7200"/>
          </w:tcPr>
          <w:p>
            <w:r>
              <w:t>3 بطاقات مقارنة معيارية دولية</w:t>
            </w:r>
          </w:p>
        </w:tc>
      </w:tr>
      <w:tr>
        <w:tc>
          <w:tcPr>
            <w:tcW w:type="dxa" w:w="2160"/>
          </w:tcPr>
          <w:p>
            <w:r>
              <w:t>Purpose</w:t>
            </w:r>
          </w:p>
        </w:tc>
        <w:tc>
          <w:tcPr>
            <w:tcW w:type="dxa" w:w="7200"/>
          </w:tcPr>
          <w:p>
            <w:r>
              <w:t>عرض النماذج الدولية الثلاثة المتوفرة كمراجع منهجية داعمة للمقارنة المعيارية.</w:t>
            </w:r>
          </w:p>
        </w:tc>
      </w:tr>
      <w:tr>
        <w:tc>
          <w:tcPr>
            <w:tcW w:type="dxa" w:w="2160"/>
          </w:tcPr>
          <w:p>
            <w:r>
              <w:t>Key Message</w:t>
            </w:r>
          </w:p>
        </w:tc>
        <w:tc>
          <w:tcPr>
            <w:tcW w:type="dxa" w:w="7200"/>
          </w:tcPr>
          <w:p>
            <w:r>
              <w:t>تتوفر مراجع بحثية معمقة لثلاث دول (أمريكا، أستراليا، إندونيسيا) مع خطة استكمال لدولتين إضافيتين لتحقيق متطلب الـ 5 دول.</w:t>
            </w:r>
          </w:p>
        </w:tc>
      </w:tr>
      <w:tr>
        <w:tc>
          <w:tcPr>
            <w:tcW w:type="dxa" w:w="2160"/>
          </w:tcPr>
          <w:p>
            <w:r>
              <w:t>Bullet Logic</w:t>
            </w:r>
          </w:p>
        </w:tc>
        <w:tc>
          <w:tcPr>
            <w:tcW w:type="dxa" w:w="7200"/>
          </w:tcPr>
          <w:p>
            <w:r>
              <w:t>الولايات المتحدة: إطار السياسات القائمة على الأدلة — نموذج القطاع غير الربحي الأكثر نضجاً (NTEE) [EXT-001]</w:t>
              <w:br/>
              <w:t>أستراليا: إطار إدارة محفظة الابتكار في الخدمات العامة — معيار الخدمة الرقمية DSS [EXT-005]</w:t>
              <w:br/>
              <w:t>إندونيسيا: نموذج إدارة الزكاة في القطاع الصحي — منهجية ANP لتحديد الأولويات في سياق إسلامي [EXT-007]</w:t>
              <w:br/>
              <w:t>خطة الاستكمال: المملكة المتحدة (Charity Commission) + ماليزيا أو تركيا (نماذج الوقف المتطور) — بحث إضافي مطلوب</w:t>
            </w:r>
          </w:p>
        </w:tc>
      </w:tr>
      <w:tr>
        <w:tc>
          <w:tcPr>
            <w:tcW w:type="dxa" w:w="2160"/>
          </w:tcPr>
          <w:p>
            <w:r>
              <w:t>Proof Points</w:t>
            </w:r>
          </w:p>
        </w:tc>
        <w:tc>
          <w:tcPr>
            <w:tcW w:type="dxa" w:w="7200"/>
          </w:tcPr>
          <w:p>
            <w:r>
              <w:t>EXT-001, EXT-005, EXT-007</w:t>
            </w:r>
          </w:p>
        </w:tc>
      </w:tr>
      <w:tr>
        <w:tc>
          <w:tcPr>
            <w:tcW w:type="dxa" w:w="2160"/>
          </w:tcPr>
          <w:p>
            <w:r>
              <w:t>Visual</w:t>
            </w:r>
          </w:p>
        </w:tc>
        <w:tc>
          <w:tcPr>
            <w:tcW w:type="dxa" w:w="7200"/>
          </w:tcPr>
          <w:p>
            <w:r>
              <w:t>3 بطاقات دول متجاورة: كل بطاقة تحتوي علم الدولة، النموذج المرجعي، المخرجات المستهدفة. بطاقتان إضافيتان بلون باهت تمثلان الدولتين المطلوبتين.</w:t>
            </w:r>
          </w:p>
        </w:tc>
      </w:tr>
      <w:tr>
        <w:tc>
          <w:tcPr>
            <w:tcW w:type="dxa" w:w="2160"/>
          </w:tcPr>
          <w:p>
            <w:r>
              <w:t>Must-Have Evidence</w:t>
            </w:r>
          </w:p>
        </w:tc>
        <w:tc>
          <w:tcPr>
            <w:tcW w:type="dxa" w:w="7200"/>
          </w:tcPr>
          <w:p>
            <w:r>
              <w:t>EXT-001, EXT-005, EXT-007</w:t>
            </w:r>
          </w:p>
        </w:tc>
      </w:tr>
      <w:tr>
        <w:tc>
          <w:tcPr>
            <w:tcW w:type="dxa" w:w="2160"/>
          </w:tcPr>
          <w:p>
            <w:r>
              <w:t>Forbidden</w:t>
            </w:r>
          </w:p>
        </w:tc>
        <w:tc>
          <w:tcPr>
            <w:tcW w:type="dxa" w:w="7200"/>
          </w:tcPr>
          <w:p>
            <w:r>
              <w:t>تقديم النماذج الدولية كدليل على قدرات SG, ادعاء تغطية 5 دول قبل استكمال البحث, إسقاط نتائج كمية من سياقات أخرى على الوضع السعودي</w:t>
            </w:r>
          </w:p>
        </w:tc>
      </w:tr>
    </w:tbl>
    <w:p/>
    <w:p>
      <w:pPr>
        <w:pStyle w:val="Heading2"/>
      </w:pPr>
      <w:r>
        <w:t>Slide 29: الأطر المنهجية الدولية — مراجع داعمة للتصميم</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 الأداء السابق</w:t>
            </w:r>
          </w:p>
        </w:tc>
      </w:tr>
      <w:tr>
        <w:tc>
          <w:tcPr>
            <w:tcW w:type="dxa" w:w="2160"/>
          </w:tcPr>
          <w:p>
            <w:r>
              <w:t>Layout</w:t>
            </w:r>
          </w:p>
        </w:tc>
        <w:tc>
          <w:tcPr>
            <w:tcW w:type="dxa" w:w="7200"/>
          </w:tcPr>
          <w:p>
            <w:r>
              <w:t>بطاقة منهجية — أطر دولية داعمة</w:t>
            </w:r>
          </w:p>
        </w:tc>
      </w:tr>
      <w:tr>
        <w:tc>
          <w:tcPr>
            <w:tcW w:type="dxa" w:w="2160"/>
          </w:tcPr>
          <w:p>
            <w:r>
              <w:t>Purpose</w:t>
            </w:r>
          </w:p>
        </w:tc>
        <w:tc>
          <w:tcPr>
            <w:tcW w:type="dxa" w:w="7200"/>
          </w:tcPr>
          <w:p>
            <w:r>
              <w:t>عرض الأطر المنهجية الدولية المستخدمة كمراجع داعمة لتصميم المنهجية المقترحة.</w:t>
            </w:r>
          </w:p>
        </w:tc>
      </w:tr>
      <w:tr>
        <w:tc>
          <w:tcPr>
            <w:tcW w:type="dxa" w:w="2160"/>
          </w:tcPr>
          <w:p>
            <w:r>
              <w:t>Key Message</w:t>
            </w:r>
          </w:p>
        </w:tc>
        <w:tc>
          <w:tcPr>
            <w:tcW w:type="dxa" w:w="7200"/>
          </w:tcPr>
          <w:p>
            <w:r>
              <w:t>تستند المنهجية المقترحة إلى أطر دولية مطلوبة أكاديمياً تُستخدم كمراجع داعمة للتصميم وليس كدليل على قدرات SG.</w:t>
            </w:r>
          </w:p>
        </w:tc>
      </w:tr>
      <w:tr>
        <w:tc>
          <w:tcPr>
            <w:tcW w:type="dxa" w:w="2160"/>
          </w:tcPr>
          <w:p>
            <w:r>
              <w:t>Bullet Logic</w:t>
            </w:r>
          </w:p>
        </w:tc>
        <w:tc>
          <w:tcPr>
            <w:tcW w:type="dxa" w:w="7200"/>
          </w:tcPr>
          <w:p>
            <w:r>
              <w:t>DMAIC (Six Sigma): ضبط جودة الحصر القطاعي عبر 5 مراحل منظمة — يدعم D-6, D-9, D-10 [EXT-002]</w:t>
              <w:br/>
              <w:t>ISIC/NAICS/ICNPO: أنظمة تصنيف دولية لبناء إطار تصنيف هجين — يدعم D-6, D-7 [EXT-003]</w:t>
              <w:br/>
              <w:t>CNA (تقييم الاحتياجات المجتمعية): ربط الاحتياجات بالتدخلات — يدعم D-15, D-16, D-17 [EXT-006]</w:t>
              <w:br/>
              <w:t>أدوات المشاركة المتعددة (68 أداة): تصميم ورش العمل التشاركية — يدعم D-8, D-11 [EXT-004]</w:t>
              <w:br/>
              <w:t>أنظمة المراقبة والتقييم: تصميم منهجية قياس الأثر — يدعم D-22, D-23 [EXT-009]</w:t>
            </w:r>
          </w:p>
        </w:tc>
      </w:tr>
      <w:tr>
        <w:tc>
          <w:tcPr>
            <w:tcW w:type="dxa" w:w="2160"/>
          </w:tcPr>
          <w:p>
            <w:r>
              <w:t>Proof Points</w:t>
            </w:r>
          </w:p>
        </w:tc>
        <w:tc>
          <w:tcPr>
            <w:tcW w:type="dxa" w:w="7200"/>
          </w:tcPr>
          <w:p>
            <w:r>
              <w:t>EXT-002, EXT-003, EXT-004, EXT-006, EXT-009</w:t>
            </w:r>
          </w:p>
        </w:tc>
      </w:tr>
      <w:tr>
        <w:tc>
          <w:tcPr>
            <w:tcW w:type="dxa" w:w="2160"/>
          </w:tcPr>
          <w:p>
            <w:r>
              <w:t>Visual</w:t>
            </w:r>
          </w:p>
        </w:tc>
        <w:tc>
          <w:tcPr>
            <w:tcW w:type="dxa" w:w="7200"/>
          </w:tcPr>
          <w:p>
            <w:r>
              <w:t>5 بطاقات أطر منهجية: كل بطاقة تحتوي اسم الإطار، المصدر، المخرجات المستهدفة. أسهم تربط كل إطار بالمخرجات ذات الصلة.</w:t>
            </w:r>
          </w:p>
        </w:tc>
      </w:tr>
      <w:tr>
        <w:tc>
          <w:tcPr>
            <w:tcW w:type="dxa" w:w="2160"/>
          </w:tcPr>
          <w:p>
            <w:r>
              <w:t>Must-Have Evidence</w:t>
            </w:r>
          </w:p>
        </w:tc>
        <w:tc>
          <w:tcPr>
            <w:tcW w:type="dxa" w:w="7200"/>
          </w:tcPr>
          <w:p>
            <w:r>
              <w:t>EXT-002, EXT-003, EXT-006</w:t>
            </w:r>
          </w:p>
        </w:tc>
      </w:tr>
      <w:tr>
        <w:tc>
          <w:tcPr>
            <w:tcW w:type="dxa" w:w="2160"/>
          </w:tcPr>
          <w:p>
            <w:r>
              <w:t>Forbidden</w:t>
            </w:r>
          </w:p>
        </w:tc>
        <w:tc>
          <w:tcPr>
            <w:tcW w:type="dxa" w:w="7200"/>
          </w:tcPr>
          <w:p>
            <w:r>
              <w:t>تقديم الأطر كملكية فكرية لـ SG, ادعاء أن استخدام الأطر يثبت القدرة التنفيذية</w:t>
            </w:r>
          </w:p>
        </w:tc>
      </w:tr>
    </w:tbl>
    <w:p/>
    <w:p>
      <w:pPr>
        <w:pStyle w:val="Heading2"/>
      </w:pPr>
      <w:r>
        <w:t>Slide 30: مشاريع إضافية مطلوبة — خطة استكمال الأدلة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 الأداء السابق</w:t>
            </w:r>
          </w:p>
        </w:tc>
      </w:tr>
      <w:tr>
        <w:tc>
          <w:tcPr>
            <w:tcW w:type="dxa" w:w="2160"/>
          </w:tcPr>
          <w:p>
            <w:r>
              <w:t>Layout</w:t>
            </w:r>
          </w:p>
        </w:tc>
        <w:tc>
          <w:tcPr>
            <w:tcW w:type="dxa" w:w="7200"/>
          </w:tcPr>
          <w:p>
            <w:r>
              <w:t>بطاقة مشاريع إضافية مطلوبة</w:t>
            </w:r>
          </w:p>
        </w:tc>
      </w:tr>
      <w:tr>
        <w:tc>
          <w:tcPr>
            <w:tcW w:type="dxa" w:w="2160"/>
          </w:tcPr>
          <w:p>
            <w:r>
              <w:t>Purpose</w:t>
            </w:r>
          </w:p>
        </w:tc>
        <w:tc>
          <w:tcPr>
            <w:tcW w:type="dxa" w:w="7200"/>
          </w:tcPr>
          <w:p>
            <w:r>
              <w:t>توضيح المشاريع الإضافية المطلوبة من Engine 2 لتعزيز العرض الفني مع تحديد الأولويات.</w:t>
            </w:r>
          </w:p>
        </w:tc>
      </w:tr>
      <w:tr>
        <w:tc>
          <w:tcPr>
            <w:tcW w:type="dxa" w:w="2160"/>
          </w:tcPr>
          <w:p>
            <w:r>
              <w:t>Key Message</w:t>
            </w:r>
          </w:p>
        </w:tc>
        <w:tc>
          <w:tcPr>
            <w:tcW w:type="dxa" w:w="7200"/>
          </w:tcPr>
          <w:p>
            <w:r>
              <w:t>تحدد SG بشفافية المشاريع السابقة المطلوب استرجاعها من أرشيف المشاريع لتعزيز الاجتياز الفني مع ترتيب أولويات واضح.</w:t>
            </w:r>
          </w:p>
        </w:tc>
      </w:tr>
      <w:tr>
        <w:tc>
          <w:tcPr>
            <w:tcW w:type="dxa" w:w="2160"/>
          </w:tcPr>
          <w:p>
            <w:r>
              <w:t>Bullet Logic</w:t>
            </w:r>
          </w:p>
        </w:tc>
        <w:tc>
          <w:tcPr>
            <w:tcW w:type="dxa" w:w="7200"/>
          </w:tcPr>
          <w:p>
            <w:r>
              <w:t>أولوية حرجة: 1-2 مشاريع دراسات قطاعية شاملة في السعودية (حصر وتصنيف وتحليل احتياجات) — تدعم D-6, D-9, D-16</w:t>
              <w:br/>
              <w:t>أولوية عالية: 1-2 مشاريع تصميم خدمات/منتجات لجهات حكومية مع بطاقات تفصيلية — تدعم D-20, D-21 [EXT-005]</w:t>
              <w:br/>
              <w:t>أولوية عالية: 1 مشروع مقارنات معيارية دولية (3+ دول) — يدعم D-7, D-12 [EXT-001]</w:t>
              <w:br/>
              <w:t>أولوية متوسطة: 1 مشروع بناء قدرات وتدريب مع جهة حكومية — يدعم SI-8</w:t>
            </w:r>
          </w:p>
        </w:tc>
      </w:tr>
      <w:tr>
        <w:tc>
          <w:tcPr>
            <w:tcW w:type="dxa" w:w="2160"/>
          </w:tcPr>
          <w:p>
            <w:r>
              <w:t>Proof Points</w:t>
            </w:r>
          </w:p>
        </w:tc>
        <w:tc>
          <w:tcPr>
            <w:tcW w:type="dxa" w:w="7200"/>
          </w:tcPr>
          <w:p>
            <w:r>
              <w:t>EXT-001, EXT-005</w:t>
            </w:r>
          </w:p>
        </w:tc>
      </w:tr>
      <w:tr>
        <w:tc>
          <w:tcPr>
            <w:tcW w:type="dxa" w:w="2160"/>
          </w:tcPr>
          <w:p>
            <w:r>
              <w:t>Visual</w:t>
            </w:r>
          </w:p>
        </w:tc>
        <w:tc>
          <w:tcPr>
            <w:tcW w:type="dxa" w:w="7200"/>
          </w:tcPr>
          <w:p>
            <w:r>
              <w:t>جدول أولويات: الصفوف = المشاريع المطلوبة، الأعمدة = الأولوية، المخرجات المدعومة، الحالة (قيد الاسترجاع). ترميز لوني حسب الأولوية.</w:t>
            </w:r>
          </w:p>
        </w:tc>
      </w:tr>
      <w:tr>
        <w:tc>
          <w:tcPr>
            <w:tcW w:type="dxa" w:w="2160"/>
          </w:tcPr>
          <w:p>
            <w:r>
              <w:t>Must-Have Evidence</w:t>
            </w:r>
          </w:p>
        </w:tc>
        <w:tc>
          <w:tcPr>
            <w:tcW w:type="dxa" w:w="7200"/>
          </w:tcPr>
          <w:p>
            <w:r>
              <w:t>EXT-001</w:t>
            </w:r>
          </w:p>
        </w:tc>
      </w:tr>
      <w:tr>
        <w:tc>
          <w:tcPr>
            <w:tcW w:type="dxa" w:w="2160"/>
          </w:tcPr>
          <w:p>
            <w:r>
              <w:t>Forbidden</w:t>
            </w:r>
          </w:p>
        </w:tc>
        <w:tc>
          <w:tcPr>
            <w:tcW w:type="dxa" w:w="7200"/>
          </w:tcPr>
          <w:p>
            <w:r>
              <w:t>ادعاء وجود مشاريع غير مؤكدة, إخفاء أن المشاريع قيد الاسترجاع</w:t>
            </w:r>
          </w:p>
        </w:tc>
      </w:tr>
    </w:tbl>
    <w:p/>
    <w:p>
      <w:pPr>
        <w:pStyle w:val="Heading2"/>
      </w:pPr>
      <w:r>
        <w:t>Slide 31: إدارة المخاطر — أعلى 5 مخاطر وخطط التخفيف</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إدارة المخاطر</w:t>
            </w:r>
          </w:p>
        </w:tc>
      </w:tr>
      <w:tr>
        <w:tc>
          <w:tcPr>
            <w:tcW w:type="dxa" w:w="2160"/>
          </w:tcPr>
          <w:p>
            <w:r>
              <w:t>Layout</w:t>
            </w:r>
          </w:p>
        </w:tc>
        <w:tc>
          <w:tcPr>
            <w:tcW w:type="dxa" w:w="7200"/>
          </w:tcPr>
          <w:p>
            <w:r>
              <w:t>مصفوفة مخاطر — 5 مخاطر رئيسية</w:t>
            </w:r>
          </w:p>
        </w:tc>
      </w:tr>
      <w:tr>
        <w:tc>
          <w:tcPr>
            <w:tcW w:type="dxa" w:w="2160"/>
          </w:tcPr>
          <w:p>
            <w:r>
              <w:t>Purpose</w:t>
            </w:r>
          </w:p>
        </w:tc>
        <w:tc>
          <w:tcPr>
            <w:tcW w:type="dxa" w:w="7200"/>
          </w:tcPr>
          <w:p>
            <w:r>
              <w:t>عرض أعلى 5 مخاطر مع تقييم الخطورة وخطط التخفيف المحددة.</w:t>
            </w:r>
          </w:p>
        </w:tc>
      </w:tr>
      <w:tr>
        <w:tc>
          <w:tcPr>
            <w:tcW w:type="dxa" w:w="2160"/>
          </w:tcPr>
          <w:p>
            <w:r>
              <w:t>Key Message</w:t>
            </w:r>
          </w:p>
        </w:tc>
        <w:tc>
          <w:tcPr>
            <w:tcW w:type="dxa" w:w="7200"/>
          </w:tcPr>
          <w:p>
            <w:r>
              <w:t>تحدد SG المخاطر الرئيسية مسبقاً مع خطط تخفيف محددة المسؤوليات والمواعيد لحماية المسار الحرج وبوابات الحوكمة.</w:t>
            </w:r>
          </w:p>
        </w:tc>
      </w:tr>
      <w:tr>
        <w:tc>
          <w:tcPr>
            <w:tcW w:type="dxa" w:w="2160"/>
          </w:tcPr>
          <w:p>
            <w:r>
              <w:t>Bullet Logic</w:t>
            </w:r>
          </w:p>
        </w:tc>
        <w:tc>
          <w:tcPr>
            <w:tcW w:type="dxa" w:w="7200"/>
          </w:tcPr>
          <w:p>
            <w:r>
              <w:t>تأخر البيانات (حرج-12): خطابات دعم من المركز + مصادر بديلة + هامش أسبوعين في المرحلة 2 [HR-L1-035]</w:t>
              <w:br/>
              <w:t>صعوبة تنسيق ورش العمل (عالٍ-8): جدولة مبكرة + صيغ مرنة (حضوري+افتراضي) + استبيانات بديلة [EXT-004]</w:t>
              <w:br/>
              <w:t>عدم كفاية المقارنات الدولية (عالٍ-9): 7-8 دول مرشحة + خبراء دوليون + مصادر متعددة [EXT-001, EXT-005, EXT-007]</w:t>
              <w:br/>
              <w:t>رفض مخرجات عند بوابة حوكمة (عالٍ-8): مسودات مبكرة + مراجعات تقنية + هوامش زمنية [EXT-002]</w:t>
              <w:br/>
              <w:t>تغيير أولويات المركز (متوسط-6): ربط بالأهداف الاستراتيجية + توثيق القرارات + مرونة منهجية</w:t>
            </w:r>
          </w:p>
        </w:tc>
      </w:tr>
      <w:tr>
        <w:tc>
          <w:tcPr>
            <w:tcW w:type="dxa" w:w="2160"/>
          </w:tcPr>
          <w:p>
            <w:r>
              <w:t>Proof Points</w:t>
            </w:r>
          </w:p>
        </w:tc>
        <w:tc>
          <w:tcPr>
            <w:tcW w:type="dxa" w:w="7200"/>
          </w:tcPr>
          <w:p>
            <w:r>
              <w:t>HR-L1-035, EXT-001, EXT-002, EXT-004, EXT-005, EXT-007</w:t>
            </w:r>
          </w:p>
        </w:tc>
      </w:tr>
      <w:tr>
        <w:tc>
          <w:tcPr>
            <w:tcW w:type="dxa" w:w="2160"/>
          </w:tcPr>
          <w:p>
            <w:r>
              <w:t>Visual</w:t>
            </w:r>
          </w:p>
        </w:tc>
        <w:tc>
          <w:tcPr>
            <w:tcW w:type="dxa" w:w="7200"/>
          </w:tcPr>
          <w:p>
            <w:r>
              <w:t>مصفوفة خطورة 4×4 (احتمال × أثر) مع تحديد موقع كل خطر. جدول مرافق يعرض خطة التخفيف لكل خطر.</w:t>
            </w:r>
          </w:p>
        </w:tc>
      </w:tr>
      <w:tr>
        <w:tc>
          <w:tcPr>
            <w:tcW w:type="dxa" w:w="2160"/>
          </w:tcPr>
          <w:p>
            <w:r>
              <w:t>Must-Have Evidence</w:t>
            </w:r>
          </w:p>
        </w:tc>
        <w:tc>
          <w:tcPr>
            <w:tcW w:type="dxa" w:w="7200"/>
          </w:tcPr>
          <w:p>
            <w:r>
              <w:t>HR-L1-035, EXT-002</w:t>
            </w:r>
          </w:p>
        </w:tc>
      </w:tr>
      <w:tr>
        <w:tc>
          <w:tcPr>
            <w:tcW w:type="dxa" w:w="2160"/>
          </w:tcPr>
          <w:p>
            <w:r>
              <w:t>Forbidden</w:t>
            </w:r>
          </w:p>
        </w:tc>
        <w:tc>
          <w:tcPr>
            <w:tcW w:type="dxa" w:w="7200"/>
          </w:tcPr>
          <w:p>
            <w:r>
              <w:t>تقليل أهمية المخاطر, خطط تخفيف عامة غير محددة, إغفال المخاطر المرتبطة بفجوات الأدلة</w:t>
            </w:r>
          </w:p>
        </w:tc>
      </w:tr>
    </w:tbl>
    <w:p/>
    <w:p>
      <w:pPr>
        <w:pStyle w:val="Heading2"/>
      </w:pPr>
      <w:r>
        <w:t>Slide 32: عرض القيمة — لماذا Strategic Gears</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عرض القيمة / التمايز</w:t>
            </w:r>
          </w:p>
        </w:tc>
      </w:tr>
      <w:tr>
        <w:tc>
          <w:tcPr>
            <w:tcW w:type="dxa" w:w="2160"/>
          </w:tcPr>
          <w:p>
            <w:r>
              <w:t>Layout</w:t>
            </w:r>
          </w:p>
        </w:tc>
        <w:tc>
          <w:tcPr>
            <w:tcW w:type="dxa" w:w="7200"/>
          </w:tcPr>
          <w:p>
            <w:r>
              <w:t>5 عناصر تمايز — بطاقات</w:t>
            </w:r>
          </w:p>
        </w:tc>
      </w:tr>
      <w:tr>
        <w:tc>
          <w:tcPr>
            <w:tcW w:type="dxa" w:w="2160"/>
          </w:tcPr>
          <w:p>
            <w:r>
              <w:t>Purpose</w:t>
            </w:r>
          </w:p>
        </w:tc>
        <w:tc>
          <w:tcPr>
            <w:tcW w:type="dxa" w:w="7200"/>
          </w:tcPr>
          <w:p>
            <w:r>
              <w:t>تلخيص عناصر التمايز الرئيسية لـ SG مع الالتزام بمبدأ الشفافية حول الأدلة المتاحة.</w:t>
            </w:r>
          </w:p>
        </w:tc>
      </w:tr>
      <w:tr>
        <w:tc>
          <w:tcPr>
            <w:tcW w:type="dxa" w:w="2160"/>
          </w:tcPr>
          <w:p>
            <w:r>
              <w:t>Key Message</w:t>
            </w:r>
          </w:p>
        </w:tc>
        <w:tc>
          <w:tcPr>
            <w:tcW w:type="dxa" w:w="7200"/>
          </w:tcPr>
          <w:p>
            <w:r>
              <w:t>تجمع SG بين خبرة سابقة مع نفس العميل وتصميم منهجي مستند إلى أطر دولية مرجعية وهيكل فريق مُحسَّن للكفاءة التشغيلية. — يتطلب تأكيد التعيينات من المحرك الثاني</w:t>
            </w:r>
          </w:p>
        </w:tc>
      </w:tr>
      <w:tr>
        <w:tc>
          <w:tcPr>
            <w:tcW w:type="dxa" w:w="2160"/>
          </w:tcPr>
          <w:p>
            <w:r>
              <w:t>Bullet Logic</w:t>
            </w:r>
          </w:p>
        </w:tc>
        <w:tc>
          <w:tcPr>
            <w:tcW w:type="dxa" w:w="7200"/>
          </w:tcPr>
          <w:p>
            <w:r>
              <w:t>خبرة سابقة مع نفس العميل: PRJ-001 مع المركز الوطني — فهم مؤسسي وقطاعي أولي (التفاصيل قيد الاسترجاع)</w:t>
              <w:br/>
              <w:t>تصميم منهجي متكامل: نهج بحثي مختلط مستند إلى 7 أطر دولية مرجعية [EXT-001 إلى EXT-010]</w:t>
              <w:br/>
              <w:t>تغطية شاملة: منهجية مصممة لتسليم جميع المخرجات الـ 23 مع معايير قبول محددة لكل مخرج [HR-L1-030 إلى HR-L1-052]</w:t>
              <w:br/>
              <w:t>نقل معرفة حقيقي: برنامج تدريبي متدرج عبر 5 مراحل مع أدوات قابلة لإعادة الاستخدام [SI-8]</w:t>
              <w:br/>
              <w:t>كفاءة تشغيلية: هيكل فريق هرمي يحقق التوازن بين الجودة والتنافسية السعرية [HR-L1-001]</w:t>
            </w:r>
          </w:p>
        </w:tc>
      </w:tr>
      <w:tr>
        <w:tc>
          <w:tcPr>
            <w:tcW w:type="dxa" w:w="2160"/>
          </w:tcPr>
          <w:p>
            <w:r>
              <w:t>Proof Points</w:t>
            </w:r>
          </w:p>
        </w:tc>
        <w:tc>
          <w:tcPr>
            <w:tcW w:type="dxa" w:w="7200"/>
          </w:tcPr>
          <w:p>
            <w:r>
              <w:t>HR-L1-001, HR-L1-030, HR-L1-052, EXT-001, EXT-006</w:t>
            </w:r>
          </w:p>
        </w:tc>
      </w:tr>
      <w:tr>
        <w:tc>
          <w:tcPr>
            <w:tcW w:type="dxa" w:w="2160"/>
          </w:tcPr>
          <w:p>
            <w:r>
              <w:t>Visual</w:t>
            </w:r>
          </w:p>
        </w:tc>
        <w:tc>
          <w:tcPr>
            <w:tcW w:type="dxa" w:w="7200"/>
          </w:tcPr>
          <w:p>
            <w:r>
              <w:t>5 بطاقات تمايز متجاورة: كل بطاقة تحتوي أيقونة وعنوان ووصف مختصر. تصميم نظيف يعكس الاحترافية.</w:t>
            </w:r>
          </w:p>
        </w:tc>
      </w:tr>
      <w:tr>
        <w:tc>
          <w:tcPr>
            <w:tcW w:type="dxa" w:w="2160"/>
          </w:tcPr>
          <w:p>
            <w:r>
              <w:t>Must-Have Evidence</w:t>
            </w:r>
          </w:p>
        </w:tc>
        <w:tc>
          <w:tcPr>
            <w:tcW w:type="dxa" w:w="7200"/>
          </w:tcPr>
          <w:p>
            <w:r>
              <w:t>HR-L1-001, HR-L1-030</w:t>
            </w:r>
          </w:p>
        </w:tc>
      </w:tr>
      <w:tr>
        <w:tc>
          <w:tcPr>
            <w:tcW w:type="dxa" w:w="2160"/>
          </w:tcPr>
          <w:p>
            <w:r>
              <w:t>Forbidden</w:t>
            </w:r>
          </w:p>
        </w:tc>
        <w:tc>
          <w:tcPr>
            <w:tcW w:type="dxa" w:w="7200"/>
          </w:tcPr>
          <w:p>
            <w:r>
              <w:t>ادعاء تفوق فني مطلق, استخدام كلمات مثل 'مثبتة بالكامل' أو 'قدرات موثقة' دون إثبات, ادعاء أن SG الخيار الوحيد المؤهل</w:t>
            </w:r>
          </w:p>
        </w:tc>
      </w:tr>
    </w:tbl>
    <w:p/>
    <w:p>
      <w:pPr>
        <w:pStyle w:val="Heading2"/>
      </w:pPr>
      <w:r>
        <w:t>Slide 33: برنامج بناء القدرات — تدريب متدرج عبر 5 مراحل</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بناء القدرات ونقل المعرفة</w:t>
            </w:r>
          </w:p>
        </w:tc>
      </w:tr>
      <w:tr>
        <w:tc>
          <w:tcPr>
            <w:tcW w:type="dxa" w:w="2160"/>
          </w:tcPr>
          <w:p>
            <w:r>
              <w:t>Layout</w:t>
            </w:r>
          </w:p>
        </w:tc>
        <w:tc>
          <w:tcPr>
            <w:tcW w:type="dxa" w:w="7200"/>
          </w:tcPr>
          <w:p>
            <w:r>
              <w:t>برنامج تدريبي — 5 مراحل</w:t>
            </w:r>
          </w:p>
        </w:tc>
      </w:tr>
      <w:tr>
        <w:tc>
          <w:tcPr>
            <w:tcW w:type="dxa" w:w="2160"/>
          </w:tcPr>
          <w:p>
            <w:r>
              <w:t>Purpose</w:t>
            </w:r>
          </w:p>
        </w:tc>
        <w:tc>
          <w:tcPr>
            <w:tcW w:type="dxa" w:w="7200"/>
          </w:tcPr>
          <w:p>
            <w:r>
              <w:t>تفصيل برنامج بناء القدرات لموظفي المركز عبر جميع المراحل كمتطلب إلزامي في SI-8.</w:t>
            </w:r>
          </w:p>
        </w:tc>
      </w:tr>
      <w:tr>
        <w:tc>
          <w:tcPr>
            <w:tcW w:type="dxa" w:w="2160"/>
          </w:tcPr>
          <w:p>
            <w:r>
              <w:t>Key Message</w:t>
            </w:r>
          </w:p>
        </w:tc>
        <w:tc>
          <w:tcPr>
            <w:tcW w:type="dxa" w:w="7200"/>
          </w:tcPr>
          <w:p>
            <w:r>
              <w:t>برنامج تدريبي تطبيقي مصمم وفق مبدأ التعلم بالممارسة يمتد عبر جميع مراحل المشروع لتمكين فريق المركز من تحديث المنظومة ذاتياً. — يتطلب تأكيد التعيينات من المحرك الثاني</w:t>
            </w:r>
          </w:p>
        </w:tc>
      </w:tr>
      <w:tr>
        <w:tc>
          <w:tcPr>
            <w:tcW w:type="dxa" w:w="2160"/>
          </w:tcPr>
          <w:p>
            <w:r>
              <w:t>Bullet Logic</w:t>
            </w:r>
          </w:p>
        </w:tc>
        <w:tc>
          <w:tcPr>
            <w:tcW w:type="dxa" w:w="7200"/>
          </w:tcPr>
          <w:p>
            <w:r>
              <w:t>المرحلة 1: ورشة تأسيسية (يومان) — منهجية البحث المختلط وأدوات جمع البيانات وإطار التصنيف [SI-8, EXT-001]</w:t>
              <w:br/>
              <w:t>المرحلة 2: ورشة تطبيقية (يوم) — أدوات الحصر القطاعي والمقارنة المعيارية وتحليل أصحاب المصلحة [EXT-003, EXT-004]</w:t>
              <w:br/>
              <w:t>المرحلة 3: ورشة تطبيقية (يوم) — تحليل الاحتياجات وتصميم المنتجات المبتكرة ونظرية التغيير [EXT-006]</w:t>
              <w:br/>
              <w:t>المرحلة 4: ورشة تطبيقية (يومان) — ترتيب الأولويات وبطاقات المنتجات والحزم التحفيزية [EXT-007]</w:t>
              <w:br/>
              <w:t>المرحلة 5: برنامج مكثف (3-5 أيام) — قياس الأثر + مراجعة شاملة + محاكاة عملية + تسليم الحزمة المعرفية [EXT-009]</w:t>
            </w:r>
          </w:p>
        </w:tc>
      </w:tr>
      <w:tr>
        <w:tc>
          <w:tcPr>
            <w:tcW w:type="dxa" w:w="2160"/>
          </w:tcPr>
          <w:p>
            <w:r>
              <w:t>Proof Points</w:t>
            </w:r>
          </w:p>
        </w:tc>
        <w:tc>
          <w:tcPr>
            <w:tcW w:type="dxa" w:w="7200"/>
          </w:tcPr>
          <w:p>
            <w:r>
              <w:t>EXT-001, EXT-003, EXT-004, EXT-006, EXT-007, EXT-009</w:t>
            </w:r>
          </w:p>
        </w:tc>
      </w:tr>
      <w:tr>
        <w:tc>
          <w:tcPr>
            <w:tcW w:type="dxa" w:w="2160"/>
          </w:tcPr>
          <w:p>
            <w:r>
              <w:t>Visual</w:t>
            </w:r>
          </w:p>
        </w:tc>
        <w:tc>
          <w:tcPr>
            <w:tcW w:type="dxa" w:w="7200"/>
          </w:tcPr>
          <w:p>
            <w:r>
              <w:t>مخطط تصاعدي: 5 درجات تمثل المراحل مع تصاعد في عمق المحتوى. كل درجة تحتوي موضوع الورشة ومدتها. سهم صاعد يمثل تراكم المعرفة.</w:t>
            </w:r>
          </w:p>
        </w:tc>
      </w:tr>
      <w:tr>
        <w:tc>
          <w:tcPr>
            <w:tcW w:type="dxa" w:w="2160"/>
          </w:tcPr>
          <w:p>
            <w:r>
              <w:t>Must-Have Evidence</w:t>
            </w:r>
          </w:p>
        </w:tc>
        <w:tc>
          <w:tcPr>
            <w:tcW w:type="dxa" w:w="7200"/>
          </w:tcPr>
          <w:p>
            <w:r>
              <w:t>EXT-001, EXT-006</w:t>
            </w:r>
          </w:p>
        </w:tc>
      </w:tr>
      <w:tr>
        <w:tc>
          <w:tcPr>
            <w:tcW w:type="dxa" w:w="2160"/>
          </w:tcPr>
          <w:p>
            <w:r>
              <w:t>Forbidden</w:t>
            </w:r>
          </w:p>
        </w:tc>
        <w:tc>
          <w:tcPr>
            <w:tcW w:type="dxa" w:w="7200"/>
          </w:tcPr>
          <w:p>
            <w:r>
              <w:t>تقديم التدريب كنشاط شكلي, إغفال التقييم قبل/بعد, عدم ذكر الأدوات القابلة لإعادة الاستخدام</w:t>
            </w:r>
          </w:p>
        </w:tc>
      </w:tr>
    </w:tbl>
    <w:p/>
    <w:p>
      <w:pPr>
        <w:pStyle w:val="Heading2"/>
      </w:pPr>
      <w:r>
        <w:t>Slide 34: الامتثال النظامي — قائمة التحقق المُستهدَفة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الامتثال النظامي</w:t>
            </w:r>
          </w:p>
        </w:tc>
      </w:tr>
      <w:tr>
        <w:tc>
          <w:tcPr>
            <w:tcW w:type="dxa" w:w="2160"/>
          </w:tcPr>
          <w:p>
            <w:r>
              <w:t>Layout</w:t>
            </w:r>
          </w:p>
        </w:tc>
        <w:tc>
          <w:tcPr>
            <w:tcW w:type="dxa" w:w="7200"/>
          </w:tcPr>
          <w:p>
            <w:r>
              <w:t>قائمة تحقق — الشهادات والضمانات</w:t>
            </w:r>
          </w:p>
        </w:tc>
      </w:tr>
      <w:tr>
        <w:tc>
          <w:tcPr>
            <w:tcW w:type="dxa" w:w="2160"/>
          </w:tcPr>
          <w:p>
            <w:r>
              <w:t>Purpose</w:t>
            </w:r>
          </w:p>
        </w:tc>
        <w:tc>
          <w:tcPr>
            <w:tcW w:type="dxa" w:w="7200"/>
          </w:tcPr>
          <w:p>
            <w:r>
              <w:t>إثبات الامتثال الكامل لجميع المتطلبات النظامية الإلزامية (CR-1 إلى CR-10).</w:t>
            </w:r>
          </w:p>
        </w:tc>
      </w:tr>
      <w:tr>
        <w:tc>
          <w:tcPr>
            <w:tcW w:type="dxa" w:w="2160"/>
          </w:tcPr>
          <w:p>
            <w:r>
              <w:t>Key Message</w:t>
            </w:r>
          </w:p>
        </w:tc>
        <w:tc>
          <w:tcPr>
            <w:tcW w:type="dxa" w:w="7200"/>
          </w:tcPr>
          <w:p>
            <w:r>
              <w:t>تلتزم SG بتقديم جميع الشهادات النظامية الست والضمانات المالية المطلوبة وفق المواعيد المحددة في كراسة الشروط. — يتطلب تأكيد التعيينات من المحرك الثاني</w:t>
            </w:r>
          </w:p>
        </w:tc>
      </w:tr>
      <w:tr>
        <w:tc>
          <w:tcPr>
            <w:tcW w:type="dxa" w:w="2160"/>
          </w:tcPr>
          <w:p>
            <w:r>
              <w:t>Bullet Logic</w:t>
            </w:r>
          </w:p>
        </w:tc>
        <w:tc>
          <w:tcPr>
            <w:tcW w:type="dxa" w:w="7200"/>
          </w:tcPr>
          <w:p>
            <w:r>
              <w:t>الشهادات النظامية الست: سجل تجاري + زكاة + ضريبة + تأمينات + غرفة تجارية + سعودة — جميعها سارية [HR-L1-009 إلى HR-L1-014]</w:t>
              <w:br/>
              <w:t>الضمان الابتدائي: 1% من القيمة الإجمالية — يُرفق أصله في المظروف المالي [HR-L1-015]</w:t>
              <w:br/>
              <w:t>الضمان النهائي: 5% من قيمة العقد — خلال 15 يوم عمل من الترسية [HR-L1-016]</w:t>
              <w:br/>
              <w:t>سريان العرض: 90 يوماً من تاريخ التسليم [HR-L1-017]</w:t>
              <w:br/>
              <w:t>التقديم: مظروفان مشفران PDF عبر منصة اعتماد [HR-L1-019]</w:t>
            </w:r>
          </w:p>
        </w:tc>
      </w:tr>
      <w:tr>
        <w:tc>
          <w:tcPr>
            <w:tcW w:type="dxa" w:w="2160"/>
          </w:tcPr>
          <w:p>
            <w:r>
              <w:t>Proof Points</w:t>
            </w:r>
          </w:p>
        </w:tc>
        <w:tc>
          <w:tcPr>
            <w:tcW w:type="dxa" w:w="7200"/>
          </w:tcPr>
          <w:p>
            <w:r>
              <w:t>HR-L1-009, HR-L1-010, HR-L1-011, HR-L1-012, HR-L1-013, HR-L1-014, HR-L1-015, HR-L1-016, HR-L1-017, HR-L1-019</w:t>
            </w:r>
          </w:p>
        </w:tc>
      </w:tr>
      <w:tr>
        <w:tc>
          <w:tcPr>
            <w:tcW w:type="dxa" w:w="2160"/>
          </w:tcPr>
          <w:p>
            <w:r>
              <w:t>Visual</w:t>
            </w:r>
          </w:p>
        </w:tc>
        <w:tc>
          <w:tcPr>
            <w:tcW w:type="dxa" w:w="7200"/>
          </w:tcPr>
          <w:p>
            <w:r>
              <w:t>قائمة تحقق بعلامات ✓: كل بند يحتوي المتطلب والمرجع والحالة والمسؤول. ترميز لوني: أخضر (جاهز) / أصفر (قيد التجهيز).</w:t>
            </w:r>
          </w:p>
        </w:tc>
      </w:tr>
      <w:tr>
        <w:tc>
          <w:tcPr>
            <w:tcW w:type="dxa" w:w="2160"/>
          </w:tcPr>
          <w:p>
            <w:r>
              <w:t>Must-Have Evidence</w:t>
            </w:r>
          </w:p>
        </w:tc>
        <w:tc>
          <w:tcPr>
            <w:tcW w:type="dxa" w:w="7200"/>
          </w:tcPr>
          <w:p>
            <w:r>
              <w:t>HR-L1-009, HR-L1-015</w:t>
            </w:r>
          </w:p>
        </w:tc>
      </w:tr>
      <w:tr>
        <w:tc>
          <w:tcPr>
            <w:tcW w:type="dxa" w:w="2160"/>
          </w:tcPr>
          <w:p>
            <w:r>
              <w:t>Forbidden</w:t>
            </w:r>
          </w:p>
        </w:tc>
        <w:tc>
          <w:tcPr>
            <w:tcW w:type="dxa" w:w="7200"/>
          </w:tcPr>
          <w:p>
            <w:r>
              <w:t>ادعاء جاهزية الشهادات قبل التحقق الفعلي, إغفال أي متطلب من CR-1 إلى CR-10</w:t>
            </w:r>
          </w:p>
        </w:tc>
      </w:tr>
    </w:tbl>
    <w:p/>
    <w:p>
      <w:pPr>
        <w:pStyle w:val="Heading2"/>
      </w:pPr>
      <w:r>
        <w:t>Slide 35: الخلاصة والخطوات التالية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الإغلاق / الخطوات التالية</w:t>
            </w:r>
          </w:p>
        </w:tc>
      </w:tr>
      <w:tr>
        <w:tc>
          <w:tcPr>
            <w:tcW w:type="dxa" w:w="2160"/>
          </w:tcPr>
          <w:p>
            <w:r>
              <w:t>Layout</w:t>
            </w:r>
          </w:p>
        </w:tc>
        <w:tc>
          <w:tcPr>
            <w:tcW w:type="dxa" w:w="7200"/>
          </w:tcPr>
          <w:p>
            <w:r>
              <w:t>ملخص ختامي — 3 رسائل رئيسية + خطوات</w:t>
            </w:r>
          </w:p>
        </w:tc>
      </w:tr>
      <w:tr>
        <w:tc>
          <w:tcPr>
            <w:tcW w:type="dxa" w:w="2160"/>
          </w:tcPr>
          <w:p>
            <w:r>
              <w:t>Purpose</w:t>
            </w:r>
          </w:p>
        </w:tc>
        <w:tc>
          <w:tcPr>
            <w:tcW w:type="dxa" w:w="7200"/>
          </w:tcPr>
          <w:p>
            <w:r>
              <w:t>تلخيص العرض في 3 رسائل رئيسية مع تحديد الخطوات التالية المطلوبة.</w:t>
            </w:r>
          </w:p>
        </w:tc>
      </w:tr>
      <w:tr>
        <w:tc>
          <w:tcPr>
            <w:tcW w:type="dxa" w:w="2160"/>
          </w:tcPr>
          <w:p>
            <w:r>
              <w:t>Key Message</w:t>
            </w:r>
          </w:p>
        </w:tc>
        <w:tc>
          <w:tcPr>
            <w:tcW w:type="dxa" w:w="7200"/>
          </w:tcPr>
          <w:p>
            <w:r>
              <w:t>تقدم SG عرضاً فنياً يغطي المتطلبات الإلزامية بمنهجية مختلطة من 5 مراحل مع التزام بمدة 12 شهراً وبناء قدرات مستدام.</w:t>
            </w:r>
          </w:p>
        </w:tc>
      </w:tr>
      <w:tr>
        <w:tc>
          <w:tcPr>
            <w:tcW w:type="dxa" w:w="2160"/>
          </w:tcPr>
          <w:p>
            <w:r>
              <w:t>Bullet Logic</w:t>
            </w:r>
          </w:p>
        </w:tc>
        <w:tc>
          <w:tcPr>
            <w:tcW w:type="dxa" w:w="7200"/>
          </w:tcPr>
          <w:p>
            <w:r>
              <w:t>التغطية الشاملة: 23 مخرجاً إلزامياً عبر 5 مراحل مع بوابات حوكمة ومعايير قبول محددة [HR-L1-030 إلى HR-L1-052]</w:t>
              <w:br/>
              <w:t>المنهجية المتكاملة: تصميم بحثي مختلط يجمع بين الحصر الكمي والتحليل النوعي والمقارنة المعيارية الدولية [EXT-001, EXT-006]</w:t>
              <w:br/>
              <w:t>الاستدامة: برنامج نقل معرفة متدرج + أدوات قابلة لإعادة الاستخدام + منهجية قياس أثر مؤسسية [SI-8, EXT-009]</w:t>
              <w:br/>
              <w:t>الخطوة التالية: نتطلع لمناقشة العرض الفني مع فريق المركز والإجابة على أي استفسارات</w:t>
            </w:r>
          </w:p>
        </w:tc>
      </w:tr>
      <w:tr>
        <w:tc>
          <w:tcPr>
            <w:tcW w:type="dxa" w:w="2160"/>
          </w:tcPr>
          <w:p>
            <w:r>
              <w:t>Proof Points</w:t>
            </w:r>
          </w:p>
        </w:tc>
        <w:tc>
          <w:tcPr>
            <w:tcW w:type="dxa" w:w="7200"/>
          </w:tcPr>
          <w:p>
            <w:r>
              <w:t>HR-L1-030, HR-L1-052, EXT-001, EXT-006, EXT-009</w:t>
            </w:r>
          </w:p>
        </w:tc>
      </w:tr>
      <w:tr>
        <w:tc>
          <w:tcPr>
            <w:tcW w:type="dxa" w:w="2160"/>
          </w:tcPr>
          <w:p>
            <w:r>
              <w:t>Visual</w:t>
            </w:r>
          </w:p>
        </w:tc>
        <w:tc>
          <w:tcPr>
            <w:tcW w:type="dxa" w:w="7200"/>
          </w:tcPr>
          <w:p>
            <w:r>
              <w:t>3 بطاقات رسائل رئيسية في الأعلى. قسم 'الخطوات التالية' في الأسفل مع معلومات الاتصال. تصميم ختامي احترافي.</w:t>
            </w:r>
          </w:p>
        </w:tc>
      </w:tr>
      <w:tr>
        <w:tc>
          <w:tcPr>
            <w:tcW w:type="dxa" w:w="2160"/>
          </w:tcPr>
          <w:p>
            <w:r>
              <w:t>Must-Have Evidence</w:t>
            </w:r>
          </w:p>
        </w:tc>
        <w:tc>
          <w:tcPr>
            <w:tcW w:type="dxa" w:w="7200"/>
          </w:tcPr>
          <w:p>
            <w:r>
              <w:t>HR-L1-030, EXT-001</w:t>
            </w:r>
          </w:p>
        </w:tc>
      </w:tr>
      <w:tr>
        <w:tc>
          <w:tcPr>
            <w:tcW w:type="dxa" w:w="2160"/>
          </w:tcPr>
          <w:p>
            <w:r>
              <w:t>Forbidden</w:t>
            </w:r>
          </w:p>
        </w:tc>
        <w:tc>
          <w:tcPr>
            <w:tcW w:type="dxa" w:w="7200"/>
          </w:tcPr>
          <w:p>
            <w:r>
              <w:t>ادعاءات تفوق غير مدعومة, أي إشارة للسعر في المظروف الفني, وعود خارج نطاق العقد</w:t>
            </w:r>
          </w:p>
        </w:tc>
      </w:tr>
    </w:tbl>
    <w:p/>
    <w:p>
      <w:pPr>
        <w:pStyle w:val="Heading1"/>
      </w:pPr>
      <w:r>
        <w:t>7. Evidence Ledger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Claim ID</w:t>
            </w:r>
          </w:p>
        </w:tc>
        <w:tc>
          <w:tcPr>
            <w:tcW w:type="dxa" w:w="1440"/>
          </w:tcPr>
          <w:p>
            <w:r>
              <w:t>Claim Text</w:t>
            </w:r>
          </w:p>
        </w:tc>
        <w:tc>
          <w:tcPr>
            <w:tcW w:type="dxa" w:w="1440"/>
          </w:tcPr>
          <w:p>
            <w:r>
              <w:t>Source Type</w:t>
            </w:r>
          </w:p>
        </w:tc>
        <w:tc>
          <w:tcPr>
            <w:tcW w:type="dxa" w:w="1440"/>
          </w:tcPr>
          <w:p>
            <w:r>
              <w:t>Source Reference</w:t>
            </w:r>
          </w:p>
        </w:tc>
        <w:tc>
          <w:tcPr>
            <w:tcW w:type="dxa" w:w="1440"/>
          </w:tcPr>
          <w:p>
            <w:r>
              <w:t>Confidence</w:t>
            </w:r>
          </w:p>
        </w:tc>
        <w:tc>
          <w:tcPr>
            <w:tcW w:type="dxa" w:w="1440"/>
          </w:tcPr>
          <w:p>
            <w:r>
              <w:t>Status</w:t>
            </w:r>
          </w:p>
        </w:tc>
      </w:tr>
      <w:tr>
        <w:tc>
          <w:tcPr>
            <w:tcW w:type="dxa" w:w="1440"/>
          </w:tcPr>
          <w:p>
            <w:r>
              <w:t>CLAIM-001</w:t>
            </w:r>
          </w:p>
        </w:tc>
        <w:tc>
          <w:tcPr>
            <w:tcW w:type="dxa" w:w="1440"/>
          </w:tcPr>
          <w:p>
            <w:r>
              <w:t>مدة العقد 12 شهراً بالضبط من تاريخ إشعار البدء بالعمل</w:t>
            </w:r>
          </w:p>
        </w:tc>
        <w:tc>
          <w:tcPr>
            <w:tcW w:type="dxa" w:w="1440"/>
          </w:tcPr>
          <w:p>
            <w:r>
              <w:t>internal</w:t>
            </w:r>
          </w:p>
        </w:tc>
        <w:tc>
          <w:tcPr>
            <w:tcW w:type="dxa" w:w="1440"/>
          </w:tcPr>
          <w:p>
            <w:r>
              <w:t>HR-L1-002</w:t>
            </w:r>
          </w:p>
        </w:tc>
        <w:tc>
          <w:tcPr>
            <w:tcW w:type="dxa" w:w="1440"/>
          </w:tcPr>
          <w:p>
            <w:r>
              <w:t>0.90</w:t>
            </w:r>
          </w:p>
        </w:tc>
        <w:tc>
          <w:tcPr>
            <w:tcW w:type="dxa" w:w="1440"/>
          </w:tcPr>
          <w:p>
            <w:r>
              <w:t>gap</w:t>
            </w:r>
          </w:p>
        </w:tc>
      </w:tr>
      <w:tr>
        <w:tc>
          <w:tcPr>
            <w:tcW w:type="dxa" w:w="1440"/>
          </w:tcPr>
          <w:p>
            <w:r>
              <w:t>CLAIM-002</w:t>
            </w:r>
          </w:p>
        </w:tc>
        <w:tc>
          <w:tcPr>
            <w:tcW w:type="dxa" w:w="1440"/>
          </w:tcPr>
          <w:p>
            <w:r>
              <w:t>آلية الترسية هي اجتياز فني ثنائي (ناجح/راسب) ثم أقل سعر بين المجتازين فنياً</w:t>
            </w:r>
          </w:p>
        </w:tc>
        <w:tc>
          <w:tcPr>
            <w:tcW w:type="dxa" w:w="1440"/>
          </w:tcPr>
          <w:p>
            <w:r>
              <w:t>internal</w:t>
            </w:r>
          </w:p>
        </w:tc>
        <w:tc>
          <w:tcPr>
            <w:tcW w:type="dxa" w:w="1440"/>
          </w:tcPr>
          <w:p>
            <w:r>
              <w:t>HR-L1-001</w:t>
            </w:r>
          </w:p>
        </w:tc>
        <w:tc>
          <w:tcPr>
            <w:tcW w:type="dxa" w:w="1440"/>
          </w:tcPr>
          <w:p>
            <w:r>
              <w:t>0.90</w:t>
            </w:r>
          </w:p>
        </w:tc>
        <w:tc>
          <w:tcPr>
            <w:tcW w:type="dxa" w:w="1440"/>
          </w:tcPr>
          <w:p>
            <w:r>
              <w:t>gap</w:t>
            </w:r>
          </w:p>
        </w:tc>
      </w:tr>
      <w:tr>
        <w:tc>
          <w:tcPr>
            <w:tcW w:type="dxa" w:w="1440"/>
          </w:tcPr>
          <w:p>
            <w:r>
              <w:t>CLAIM-003</w:t>
            </w:r>
          </w:p>
        </w:tc>
        <w:tc>
          <w:tcPr>
            <w:tcW w:type="dxa" w:w="1440"/>
          </w:tcPr>
          <w:p>
            <w:r>
              <w:t>المشروع يُنتج 23 مخرجاً إلزامياً (D-1 إلى D-23) جميعها mandatory=true</w:t>
            </w:r>
          </w:p>
        </w:tc>
        <w:tc>
          <w:tcPr>
            <w:tcW w:type="dxa" w:w="1440"/>
          </w:tcPr>
          <w:p>
            <w:r>
              <w:t>internal</w:t>
            </w:r>
          </w:p>
        </w:tc>
        <w:tc>
          <w:tcPr>
            <w:tcW w:type="dxa" w:w="1440"/>
          </w:tcPr>
          <w:p>
            <w:r>
              <w:t>HR-L1-030 إلى HR-L1-052</w:t>
            </w:r>
          </w:p>
        </w:tc>
        <w:tc>
          <w:tcPr>
            <w:tcW w:type="dxa" w:w="1440"/>
          </w:tcPr>
          <w:p>
            <w:r>
              <w:t>0.90</w:t>
            </w:r>
          </w:p>
        </w:tc>
        <w:tc>
          <w:tcPr>
            <w:tcW w:type="dxa" w:w="1440"/>
          </w:tcPr>
          <w:p>
            <w:r>
              <w:t>gap</w:t>
            </w:r>
          </w:p>
        </w:tc>
      </w:tr>
      <w:tr>
        <w:tc>
          <w:tcPr>
            <w:tcW w:type="dxa" w:w="1440"/>
          </w:tcPr>
          <w:p>
            <w:r>
              <w:t>CLAIM-004</w:t>
            </w:r>
          </w:p>
        </w:tc>
        <w:tc>
          <w:tcPr>
            <w:tcW w:type="dxa" w:w="1440"/>
          </w:tcPr>
          <w:p>
            <w:r>
              <w:t>تغطية 5 قطاعات كحد أدنى في حصر المنتجات والخدمات</w:t>
            </w:r>
          </w:p>
        </w:tc>
        <w:tc>
          <w:tcPr>
            <w:tcW w:type="dxa" w:w="1440"/>
          </w:tcPr>
          <w:p>
            <w:r>
              <w:t>internal</w:t>
            </w:r>
          </w:p>
        </w:tc>
        <w:tc>
          <w:tcPr>
            <w:tcW w:type="dxa" w:w="1440"/>
          </w:tcPr>
          <w:p>
            <w:r>
              <w:t>SI-2</w:t>
            </w:r>
          </w:p>
        </w:tc>
        <w:tc>
          <w:tcPr>
            <w:tcW w:type="dxa" w:w="1440"/>
          </w:tcPr>
          <w:p>
            <w:r>
              <w:t>0.90</w:t>
            </w:r>
          </w:p>
        </w:tc>
        <w:tc>
          <w:tcPr>
            <w:tcW w:type="dxa" w:w="1440"/>
          </w:tcPr>
          <w:p>
            <w:r>
              <w:t>gap</w:t>
            </w:r>
          </w:p>
        </w:tc>
      </w:tr>
      <w:tr>
        <w:tc>
          <w:tcPr>
            <w:tcW w:type="dxa" w:w="1440"/>
          </w:tcPr>
          <w:p>
            <w:r>
              <w:t>CLAIM-005</w:t>
            </w:r>
          </w:p>
        </w:tc>
        <w:tc>
          <w:tcPr>
            <w:tcW w:type="dxa" w:w="1440"/>
          </w:tcPr>
          <w:p>
            <w:r>
              <w:t>دراسة الممارسات الدولية في 5 دول كحد أدنى</w:t>
            </w:r>
          </w:p>
        </w:tc>
        <w:tc>
          <w:tcPr>
            <w:tcW w:type="dxa" w:w="1440"/>
          </w:tcPr>
          <w:p>
            <w:r>
              <w:t>internal</w:t>
            </w:r>
          </w:p>
        </w:tc>
        <w:tc>
          <w:tcPr>
            <w:tcW w:type="dxa" w:w="1440"/>
          </w:tcPr>
          <w:p>
            <w:r>
              <w:t>SI-3</w:t>
            </w:r>
          </w:p>
        </w:tc>
        <w:tc>
          <w:tcPr>
            <w:tcW w:type="dxa" w:w="1440"/>
          </w:tcPr>
          <w:p>
            <w:r>
              <w:t>0.90</w:t>
            </w:r>
          </w:p>
        </w:tc>
        <w:tc>
          <w:tcPr>
            <w:tcW w:type="dxa" w:w="1440"/>
          </w:tcPr>
          <w:p>
            <w:r>
              <w:t>gap</w:t>
            </w:r>
          </w:p>
        </w:tc>
      </w:tr>
      <w:tr>
        <w:tc>
          <w:tcPr>
            <w:tcW w:type="dxa" w:w="1440"/>
          </w:tcPr>
          <w:p>
            <w:r>
              <w:t>CLAIM-006</w:t>
            </w:r>
          </w:p>
        </w:tc>
        <w:tc>
          <w:tcPr>
            <w:tcW w:type="dxa" w:w="1440"/>
          </w:tcPr>
          <w:p>
            <w:r>
              <w:t>تدريب وتطوير العاملين في المركز قبل المشروع وفي كافة مراحله</w:t>
            </w:r>
          </w:p>
        </w:tc>
        <w:tc>
          <w:tcPr>
            <w:tcW w:type="dxa" w:w="1440"/>
          </w:tcPr>
          <w:p>
            <w:r>
              <w:t>internal</w:t>
            </w:r>
          </w:p>
        </w:tc>
        <w:tc>
          <w:tcPr>
            <w:tcW w:type="dxa" w:w="1440"/>
          </w:tcPr>
          <w:p>
            <w:r>
              <w:t>SI-8</w:t>
            </w:r>
          </w:p>
        </w:tc>
        <w:tc>
          <w:tcPr>
            <w:tcW w:type="dxa" w:w="1440"/>
          </w:tcPr>
          <w:p>
            <w:r>
              <w:t>0.90</w:t>
            </w:r>
          </w:p>
        </w:tc>
        <w:tc>
          <w:tcPr>
            <w:tcW w:type="dxa" w:w="1440"/>
          </w:tcPr>
          <w:p>
            <w:r>
              <w:t>gap</w:t>
            </w:r>
          </w:p>
        </w:tc>
      </w:tr>
      <w:tr>
        <w:tc>
          <w:tcPr>
            <w:tcW w:type="dxa" w:w="1440"/>
          </w:tcPr>
          <w:p>
            <w:r>
              <w:t>CLAIM-007</w:t>
            </w:r>
          </w:p>
        </w:tc>
        <w:tc>
          <w:tcPr>
            <w:tcW w:type="dxa" w:w="1440"/>
          </w:tcPr>
          <w:p>
            <w:r>
              <w:t>الأشكال السائدة حالياً تشمل جمع التبرعات والتطوع والوقف والاستضافة</w:t>
            </w:r>
          </w:p>
        </w:tc>
        <w:tc>
          <w:tcPr>
            <w:tcW w:type="dxa" w:w="1440"/>
          </w:tcPr>
          <w:p>
            <w:r>
              <w:t>internal</w:t>
            </w:r>
          </w:p>
        </w:tc>
        <w:tc>
          <w:tcPr>
            <w:tcW w:type="dxa" w:w="1440"/>
          </w:tcPr>
          <w:p>
            <w:r>
              <w:t>SI-4</w:t>
            </w:r>
          </w:p>
        </w:tc>
        <w:tc>
          <w:tcPr>
            <w:tcW w:type="dxa" w:w="1440"/>
          </w:tcPr>
          <w:p>
            <w:r>
              <w:t>0.90</w:t>
            </w:r>
          </w:p>
        </w:tc>
        <w:tc>
          <w:tcPr>
            <w:tcW w:type="dxa" w:w="1440"/>
          </w:tcPr>
          <w:p>
            <w:r>
              <w:t>gap</w:t>
            </w:r>
          </w:p>
        </w:tc>
      </w:tr>
      <w:tr>
        <w:tc>
          <w:tcPr>
            <w:tcW w:type="dxa" w:w="1440"/>
          </w:tcPr>
          <w:p>
            <w:r>
              <w:t>CLAIM-008</w:t>
            </w:r>
          </w:p>
        </w:tc>
        <w:tc>
          <w:tcPr>
            <w:tcW w:type="dxa" w:w="1440"/>
          </w:tcPr>
          <w:p>
            <w:r>
              <w:t>جميع وثائق العرض بالعربية. الوثائق الداعمة بالإنجليزية مقبولة مع ترجمة. النص العربي يسود عند التعارض</w:t>
            </w:r>
          </w:p>
        </w:tc>
        <w:tc>
          <w:tcPr>
            <w:tcW w:type="dxa" w:w="1440"/>
          </w:tcPr>
          <w:p>
            <w:r>
              <w:t>internal</w:t>
            </w:r>
          </w:p>
        </w:tc>
        <w:tc>
          <w:tcPr>
            <w:tcW w:type="dxa" w:w="1440"/>
          </w:tcPr>
          <w:p>
            <w:r>
              <w:t>CR-1 / HR-L1-008</w:t>
            </w:r>
          </w:p>
        </w:tc>
        <w:tc>
          <w:tcPr>
            <w:tcW w:type="dxa" w:w="1440"/>
          </w:tcPr>
          <w:p>
            <w:r>
              <w:t>0.90</w:t>
            </w:r>
          </w:p>
        </w:tc>
        <w:tc>
          <w:tcPr>
            <w:tcW w:type="dxa" w:w="1440"/>
          </w:tcPr>
          <w:p>
            <w:r>
              <w:t>gap</w:t>
            </w:r>
          </w:p>
        </w:tc>
      </w:tr>
      <w:tr>
        <w:tc>
          <w:tcPr>
            <w:tcW w:type="dxa" w:w="1440"/>
          </w:tcPr>
          <w:p>
            <w:r>
              <w:t>CLAIM-009</w:t>
            </w:r>
          </w:p>
        </w:tc>
        <w:tc>
          <w:tcPr>
            <w:tcW w:type="dxa" w:w="1440"/>
          </w:tcPr>
          <w:p>
            <w:r>
              <w:t>أصل خطاب الضمان البنكي بنسبة 1% يُرفق في ملف العرض المالي</w:t>
            </w:r>
          </w:p>
        </w:tc>
        <w:tc>
          <w:tcPr>
            <w:tcW w:type="dxa" w:w="1440"/>
          </w:tcPr>
          <w:p>
            <w:r>
              <w:t>internal</w:t>
            </w:r>
          </w:p>
        </w:tc>
        <w:tc>
          <w:tcPr>
            <w:tcW w:type="dxa" w:w="1440"/>
          </w:tcPr>
          <w:p>
            <w:r>
              <w:t>CR-8 / HR-L1-015</w:t>
            </w:r>
          </w:p>
        </w:tc>
        <w:tc>
          <w:tcPr>
            <w:tcW w:type="dxa" w:w="1440"/>
          </w:tcPr>
          <w:p>
            <w:r>
              <w:t>0.90</w:t>
            </w:r>
          </w:p>
        </w:tc>
        <w:tc>
          <w:tcPr>
            <w:tcW w:type="dxa" w:w="1440"/>
          </w:tcPr>
          <w:p>
            <w:r>
              <w:t>gap</w:t>
            </w:r>
          </w:p>
        </w:tc>
      </w:tr>
      <w:tr>
        <w:tc>
          <w:tcPr>
            <w:tcW w:type="dxa" w:w="1440"/>
          </w:tcPr>
          <w:p>
            <w:r>
              <w:t>CLAIM-010</w:t>
            </w:r>
          </w:p>
        </w:tc>
        <w:tc>
          <w:tcPr>
            <w:tcW w:type="dxa" w:w="1440"/>
          </w:tcPr>
          <w:p>
            <w:r>
              <w:t>ضمان نهائي بنسبة 5% من قيمة العقد خلال 15 يوم عمل من تاريخ إبلاغ الترسية</w:t>
            </w:r>
          </w:p>
        </w:tc>
        <w:tc>
          <w:tcPr>
            <w:tcW w:type="dxa" w:w="1440"/>
          </w:tcPr>
          <w:p>
            <w:r>
              <w:t>internal</w:t>
            </w:r>
          </w:p>
        </w:tc>
        <w:tc>
          <w:tcPr>
            <w:tcW w:type="dxa" w:w="1440"/>
          </w:tcPr>
          <w:p>
            <w:r>
              <w:t>CR-9 / HR-L1-016</w:t>
            </w:r>
          </w:p>
        </w:tc>
        <w:tc>
          <w:tcPr>
            <w:tcW w:type="dxa" w:w="1440"/>
          </w:tcPr>
          <w:p>
            <w:r>
              <w:t>0.90</w:t>
            </w:r>
          </w:p>
        </w:tc>
        <w:tc>
          <w:tcPr>
            <w:tcW w:type="dxa" w:w="1440"/>
          </w:tcPr>
          <w:p>
            <w:r>
              <w:t>gap</w:t>
            </w:r>
          </w:p>
        </w:tc>
      </w:tr>
      <w:tr>
        <w:tc>
          <w:tcPr>
            <w:tcW w:type="dxa" w:w="1440"/>
          </w:tcPr>
          <w:p>
            <w:r>
              <w:t>CLAIM-011</w:t>
            </w:r>
          </w:p>
        </w:tc>
        <w:tc>
          <w:tcPr>
            <w:tcW w:type="dxa" w:w="1440"/>
          </w:tcPr>
          <w:p>
            <w:r>
              <w:t>سريان العرض 90 يوماً من تاريخ التسليم</w:t>
            </w:r>
          </w:p>
        </w:tc>
        <w:tc>
          <w:tcPr>
            <w:tcW w:type="dxa" w:w="1440"/>
          </w:tcPr>
          <w:p>
            <w:r>
              <w:t>internal</w:t>
            </w:r>
          </w:p>
        </w:tc>
        <w:tc>
          <w:tcPr>
            <w:tcW w:type="dxa" w:w="1440"/>
          </w:tcPr>
          <w:p>
            <w:r>
              <w:t>CR-10 / HR-L1-017</w:t>
            </w:r>
          </w:p>
        </w:tc>
        <w:tc>
          <w:tcPr>
            <w:tcW w:type="dxa" w:w="1440"/>
          </w:tcPr>
          <w:p>
            <w:r>
              <w:t>0.90</w:t>
            </w:r>
          </w:p>
        </w:tc>
        <w:tc>
          <w:tcPr>
            <w:tcW w:type="dxa" w:w="1440"/>
          </w:tcPr>
          <w:p>
            <w:r>
              <w:t>gap</w:t>
            </w:r>
          </w:p>
        </w:tc>
      </w:tr>
      <w:tr>
        <w:tc>
          <w:tcPr>
            <w:tcW w:type="dxa" w:w="1440"/>
          </w:tcPr>
          <w:p>
            <w:r>
              <w:t>CLAIM-012</w:t>
            </w:r>
          </w:p>
        </w:tc>
        <w:tc>
          <w:tcPr>
            <w:tcW w:type="dxa" w:w="1440"/>
          </w:tcPr>
          <w:p>
            <w:r>
              <w:t>الوكالات الحكومية تطبق مناهج متعددة التخصصات (إحصاء، علم نفس، علم اجتماع، علوم بيانات) لتصميم المسوح وتقليل أخطاء القياس</w:t>
            </w:r>
          </w:p>
        </w:tc>
        <w:tc>
          <w:tcPr>
            <w:tcW w:type="dxa" w:w="1440"/>
          </w:tcPr>
          <w:p>
            <w:r>
              <w:t>external</w:t>
            </w:r>
          </w:p>
        </w:tc>
        <w:tc>
          <w:tcPr>
            <w:tcW w:type="dxa" w:w="1440"/>
          </w:tcPr>
          <w:p>
            <w:r>
              <w:t>EXT-001: Government Agency Study Methodology and Required Data Information Programs: Implementation Best Practices (2024)</w:t>
            </w:r>
          </w:p>
        </w:tc>
        <w:tc>
          <w:tcPr>
            <w:tcW w:type="dxa" w:w="1440"/>
          </w:tcPr>
          <w:p>
            <w:r>
              <w:t>0.90</w:t>
            </w:r>
          </w:p>
        </w:tc>
        <w:tc>
          <w:tcPr>
            <w:tcW w:type="dxa" w:w="1440"/>
          </w:tcPr>
          <w:p>
            <w:r>
              <w:t>partially_verified</w:t>
            </w:r>
          </w:p>
        </w:tc>
      </w:tr>
      <w:tr>
        <w:tc>
          <w:tcPr>
            <w:tcW w:type="dxa" w:w="1440"/>
          </w:tcPr>
          <w:p>
            <w:r>
              <w:t>CLAIM-013</w:t>
            </w:r>
          </w:p>
        </w:tc>
        <w:tc>
          <w:tcPr>
            <w:tcW w:type="dxa" w:w="1440"/>
          </w:tcPr>
          <w:p>
            <w:r>
              <w:t>منهجية DMAIC من Six Sigma تُحسّن عمليات حصر الخدمات من خلال خمس مراحل منظمة (التعريف، القياس، التحليل، التحسين، الضبط)</w:t>
            </w:r>
          </w:p>
        </w:tc>
        <w:tc>
          <w:tcPr>
            <w:tcW w:type="dxa" w:w="1440"/>
          </w:tcPr>
          <w:p>
            <w:r>
              <w:t>external</w:t>
            </w:r>
          </w:p>
        </w:tc>
        <w:tc>
          <w:tcPr>
            <w:tcW w:type="dxa" w:w="1440"/>
          </w:tcPr>
          <w:p>
            <w:r>
              <w:t>EXT-002: Inventory Quality Products and Services Across Government Programs: Implementation Strategies (2024)</w:t>
            </w:r>
          </w:p>
        </w:tc>
        <w:tc>
          <w:tcPr>
            <w:tcW w:type="dxa" w:w="1440"/>
          </w:tcPr>
          <w:p>
            <w:r>
              <w:t>0.90</w:t>
            </w:r>
          </w:p>
        </w:tc>
        <w:tc>
          <w:tcPr>
            <w:tcW w:type="dxa" w:w="1440"/>
          </w:tcPr>
          <w:p>
            <w:r>
              <w:t>partially_verified</w:t>
            </w:r>
          </w:p>
        </w:tc>
      </w:tr>
      <w:tr>
        <w:tc>
          <w:tcPr>
            <w:tcW w:type="dxa" w:w="1440"/>
          </w:tcPr>
          <w:p>
            <w:r>
              <w:t>CLAIM-014</w:t>
            </w:r>
          </w:p>
        </w:tc>
        <w:tc>
          <w:tcPr>
            <w:tcW w:type="dxa" w:w="1440"/>
          </w:tcPr>
          <w:p>
            <w:r>
              <w:t>أنظمة التصنيف الدولية الثلاثة (NAICS بالتعاون بين أمريكا وكندا والمكسيك، ISIC من الأمم المتحدة، NACE من الاتحاد الأوروبي) تُبنى بشكل تشاركي مع مراجعات دورية كل 5 سنوات</w:t>
            </w:r>
          </w:p>
        </w:tc>
        <w:tc>
          <w:tcPr>
            <w:tcW w:type="dxa" w:w="1440"/>
          </w:tcPr>
          <w:p>
            <w:r>
              <w:t>external</w:t>
            </w:r>
          </w:p>
        </w:tc>
        <w:tc>
          <w:tcPr>
            <w:tcW w:type="dxa" w:w="1440"/>
          </w:tcPr>
          <w:p>
            <w:r>
              <w:t>EXT-003: Industry Classification Standards for Sector/Activity Analysis: NAICS, ISIC, and NACE Implementation by Government Agencies (2024)</w:t>
            </w:r>
          </w:p>
        </w:tc>
        <w:tc>
          <w:tcPr>
            <w:tcW w:type="dxa" w:w="1440"/>
          </w:tcPr>
          <w:p>
            <w:r>
              <w:t>0.90</w:t>
            </w:r>
          </w:p>
        </w:tc>
        <w:tc>
          <w:tcPr>
            <w:tcW w:type="dxa" w:w="1440"/>
          </w:tcPr>
          <w:p>
            <w:r>
              <w:t>partially_verified</w:t>
            </w:r>
          </w:p>
        </w:tc>
      </w:tr>
      <w:tr>
        <w:tc>
          <w:tcPr>
            <w:tcW w:type="dxa" w:w="1440"/>
          </w:tcPr>
          <w:p>
            <w:r>
              <w:t>CLAIM-015</w:t>
            </w:r>
          </w:p>
        </w:tc>
        <w:tc>
          <w:tcPr>
            <w:tcW w:type="dxa" w:w="1440"/>
          </w:tcPr>
          <w:p>
            <w:r>
              <w:t>أدوات المشاركة المتاحة تضم 68+ أداة تمكّن من الرسم المنهجي للمصالح والأولويات والفجوات الخدمية عبر فئات الأطراف المتنوعة</w:t>
            </w:r>
          </w:p>
        </w:tc>
        <w:tc>
          <w:tcPr>
            <w:tcW w:type="dxa" w:w="1440"/>
          </w:tcPr>
          <w:p>
            <w:r>
              <w:t>external</w:t>
            </w:r>
          </w:p>
        </w:tc>
        <w:tc>
          <w:tcPr>
            <w:tcW w:type="dxa" w:w="1440"/>
          </w:tcPr>
          <w:p>
            <w:r>
              <w:t>EXT-004: Stakeholder Landscape Analysis for Government Products, Services, and Programs: Multi-Stakeholder Partnership Models (2024)</w:t>
            </w:r>
          </w:p>
        </w:tc>
        <w:tc>
          <w:tcPr>
            <w:tcW w:type="dxa" w:w="1440"/>
          </w:tcPr>
          <w:p>
            <w:r>
              <w:t>0.90</w:t>
            </w:r>
          </w:p>
        </w:tc>
        <w:tc>
          <w:tcPr>
            <w:tcW w:type="dxa" w:w="1440"/>
          </w:tcPr>
          <w:p>
            <w:r>
              <w:t>partially_verified</w:t>
            </w:r>
          </w:p>
        </w:tc>
      </w:tr>
      <w:tr>
        <w:tc>
          <w:tcPr>
            <w:tcW w:type="dxa" w:w="1440"/>
          </w:tcPr>
          <w:p>
            <w:r>
              <w:t>CLAIM-016</w:t>
            </w:r>
          </w:p>
        </w:tc>
        <w:tc>
          <w:tcPr>
            <w:tcW w:type="dxa" w:w="1440"/>
          </w:tcPr>
          <w:p>
            <w:r>
              <w:t>معيار الخدمة الرقمية الأسترالي (DSS) يطبق إدارة عمليات الابتكار عبر منهجية البوابات المرحلية (Stages-and-Gates) وإدارة محفظة الابتكار</w:t>
            </w:r>
          </w:p>
        </w:tc>
        <w:tc>
          <w:tcPr>
            <w:tcW w:type="dxa" w:w="1440"/>
          </w:tcPr>
          <w:p>
            <w:r>
              <w:t>external</w:t>
            </w:r>
          </w:p>
        </w:tc>
        <w:tc>
          <w:tcPr>
            <w:tcW w:type="dxa" w:w="1440"/>
          </w:tcPr>
          <w:p>
            <w:r>
              <w:t>EXT-005: Reducing the gap between rhetoric and reality: Use of Digital Service Standards for public service innovation through digital transformation in Australia (2023)</w:t>
            </w:r>
          </w:p>
        </w:tc>
        <w:tc>
          <w:tcPr>
            <w:tcW w:type="dxa" w:w="1440"/>
          </w:tcPr>
          <w:p>
            <w:r>
              <w:t>0.90</w:t>
            </w:r>
          </w:p>
        </w:tc>
        <w:tc>
          <w:tcPr>
            <w:tcW w:type="dxa" w:w="1440"/>
          </w:tcPr>
          <w:p>
            <w:r>
              <w:t>partially_verified</w:t>
            </w:r>
          </w:p>
        </w:tc>
      </w:tr>
      <w:tr>
        <w:tc>
          <w:tcPr>
            <w:tcW w:type="dxa" w:w="1440"/>
          </w:tcPr>
          <w:p>
            <w:r>
              <w:t>CLAIM-017</w:t>
            </w:r>
          </w:p>
        </w:tc>
        <w:tc>
          <w:tcPr>
            <w:tcW w:type="dxa" w:w="1440"/>
          </w:tcPr>
          <w:p>
            <w:r>
              <w:t>تقييمات الاحتياجات المجتمعية (CNA) باستخدام المناهج المختلطة (مسوح + جلسات استماع) تحدد بفعالية الفجوات الخدمية والعوائق عبر الفئات الاجتماعية والاقتصادية</w:t>
            </w:r>
          </w:p>
        </w:tc>
        <w:tc>
          <w:tcPr>
            <w:tcW w:type="dxa" w:w="1440"/>
          </w:tcPr>
          <w:p>
            <w:r>
              <w:t>external</w:t>
            </w:r>
          </w:p>
        </w:tc>
        <w:tc>
          <w:tcPr>
            <w:tcW w:type="dxa" w:w="1440"/>
          </w:tcPr>
          <w:p>
            <w:r>
              <w:t>EXT-006: The story so far: a mixed-methods evaluation of county-level behavioral health needs, policies, and programs (2020)</w:t>
            </w:r>
          </w:p>
        </w:tc>
        <w:tc>
          <w:tcPr>
            <w:tcW w:type="dxa" w:w="1440"/>
          </w:tcPr>
          <w:p>
            <w:r>
              <w:t>0.90</w:t>
            </w:r>
          </w:p>
        </w:tc>
        <w:tc>
          <w:tcPr>
            <w:tcW w:type="dxa" w:w="1440"/>
          </w:tcPr>
          <w:p>
            <w:r>
              <w:t>partially_verified</w:t>
            </w:r>
          </w:p>
        </w:tc>
      </w:tr>
      <w:tr>
        <w:tc>
          <w:tcPr>
            <w:tcW w:type="dxa" w:w="1440"/>
          </w:tcPr>
          <w:p>
            <w:r>
              <w:t>CLAIM-018</w:t>
            </w:r>
          </w:p>
        </w:tc>
        <w:tc>
          <w:tcPr>
            <w:tcW w:type="dxa" w:w="1440"/>
          </w:tcPr>
          <w:p>
            <w:r>
              <w:t>منهجية عملية الشبكة التحليلية (ANP) فعالة في ترتيب أولويات تحديات وحلول خدمات القطاع غير الربحي بمشاركة 10 خبراء</w:t>
            </w:r>
          </w:p>
        </w:tc>
        <w:tc>
          <w:tcPr>
            <w:tcW w:type="dxa" w:w="1440"/>
          </w:tcPr>
          <w:p>
            <w:r>
              <w:t>external</w:t>
            </w:r>
          </w:p>
        </w:tc>
        <w:tc>
          <w:tcPr>
            <w:tcW w:type="dxa" w:w="1440"/>
          </w:tcPr>
          <w:p>
            <w:r>
              <w:t>EXT-007: The model of zakat management in the health sector for the welfare of mustahik in Indonesia (2026)</w:t>
            </w:r>
          </w:p>
        </w:tc>
        <w:tc>
          <w:tcPr>
            <w:tcW w:type="dxa" w:w="1440"/>
          </w:tcPr>
          <w:p>
            <w:r>
              <w:t>0.60</w:t>
            </w:r>
          </w:p>
        </w:tc>
        <w:tc>
          <w:tcPr>
            <w:tcW w:type="dxa" w:w="1440"/>
          </w:tcPr>
          <w:p>
            <w:r>
              <w:t>partially_verified</w:t>
            </w:r>
          </w:p>
        </w:tc>
      </w:tr>
      <w:tr>
        <w:tc>
          <w:tcPr>
            <w:tcW w:type="dxa" w:w="1440"/>
          </w:tcPr>
          <w:p>
            <w:r>
              <w:t>CLAIM-019</w:t>
            </w:r>
          </w:p>
        </w:tc>
        <w:tc>
          <w:tcPr>
            <w:tcW w:type="dxa" w:w="1440"/>
          </w:tcPr>
          <w:p>
            <w:r>
              <w:t>أنظمة المراقبة الفعالة لتنفيذ البرامج تتطلب ميزات محددة بوضوح تشمل بروتوكولات جمع البيانات وآليات الإبلاغ وحلقات التغذية الراجعة</w:t>
            </w:r>
          </w:p>
        </w:tc>
        <w:tc>
          <w:tcPr>
            <w:tcW w:type="dxa" w:w="1440"/>
          </w:tcPr>
          <w:p>
            <w:r>
              <w:t>external</w:t>
            </w:r>
          </w:p>
        </w:tc>
        <w:tc>
          <w:tcPr>
            <w:tcW w:type="dxa" w:w="1440"/>
          </w:tcPr>
          <w:p>
            <w:r>
              <w:t>EXT-009: Monitoring Systems for Public Health Program and Policy Implementation in Community Settings: Features and Suggested Actions from a Scoping Review (2026)</w:t>
            </w:r>
          </w:p>
        </w:tc>
        <w:tc>
          <w:tcPr>
            <w:tcW w:type="dxa" w:w="1440"/>
          </w:tcPr>
          <w:p>
            <w:r>
              <w:t>0.60</w:t>
            </w:r>
          </w:p>
        </w:tc>
        <w:tc>
          <w:tcPr>
            <w:tcW w:type="dxa" w:w="1440"/>
          </w:tcPr>
          <w:p>
            <w:r>
              <w:t>partially_verified</w:t>
            </w:r>
          </w:p>
        </w:tc>
      </w:tr>
      <w:tr>
        <w:tc>
          <w:tcPr>
            <w:tcW w:type="dxa" w:w="1440"/>
          </w:tcPr>
          <w:p>
            <w:r>
              <w:t>CLAIM-021</w:t>
            </w:r>
          </w:p>
        </w:tc>
        <w:tc>
          <w:tcPr>
            <w:tcW w:type="dxa" w:w="1440"/>
          </w:tcPr>
          <w:p>
            <w:r>
              <w:t>تشترط كراسة الشروط تأمين فريق عمل وفق جدول مواصفات فريق العمل المرفق في الملحق 2</w:t>
            </w:r>
          </w:p>
        </w:tc>
        <w:tc>
          <w:tcPr>
            <w:tcW w:type="dxa" w:w="1440"/>
          </w:tcPr>
          <w:p>
            <w:r>
              <w:t>internal</w:t>
            </w:r>
          </w:p>
        </w:tc>
        <w:tc>
          <w:tcPr>
            <w:tcW w:type="dxa" w:w="1440"/>
          </w:tcPr>
          <w:p>
            <w:r>
              <w:t>HR-L1-018, الملحق 2</w:t>
            </w:r>
          </w:p>
        </w:tc>
        <w:tc>
          <w:tcPr>
            <w:tcW w:type="dxa" w:w="1440"/>
          </w:tcPr>
          <w:p>
            <w:r>
              <w:t>0.90</w:t>
            </w:r>
          </w:p>
        </w:tc>
        <w:tc>
          <w:tcPr>
            <w:tcW w:type="dxa" w:w="1440"/>
          </w:tcPr>
          <w:p>
            <w:r>
              <w:t>gap</w:t>
            </w:r>
          </w:p>
        </w:tc>
      </w:tr>
      <w:tr>
        <w:tc>
          <w:tcPr>
            <w:tcW w:type="dxa" w:w="1440"/>
          </w:tcPr>
          <w:p>
            <w:r>
              <w:t>CLAIM-022</w:t>
            </w:r>
          </w:p>
        </w:tc>
        <w:tc>
          <w:tcPr>
            <w:tcW w:type="dxa" w:w="1440"/>
          </w:tcPr>
          <w:p>
            <w:r>
              <w:t>آخر موعد للاستفسارات 2021-11-03، موعد تسليم العروض 2021-11-10، فتح المظاريف 2021-11-10، الترسية المتوقعة 2021-11-27، بدء الخدمة المتوقع 2021-12-20</w:t>
            </w:r>
          </w:p>
        </w:tc>
        <w:tc>
          <w:tcPr>
            <w:tcW w:type="dxa" w:w="1440"/>
          </w:tcPr>
          <w:p>
            <w:r>
              <w:t>internal</w:t>
            </w:r>
          </w:p>
        </w:tc>
        <w:tc>
          <w:tcPr>
            <w:tcW w:type="dxa" w:w="1440"/>
          </w:tcPr>
          <w:p>
            <w:r>
              <w:t>RFP timeline specifications</w:t>
            </w:r>
          </w:p>
        </w:tc>
        <w:tc>
          <w:tcPr>
            <w:tcW w:type="dxa" w:w="1440"/>
          </w:tcPr>
          <w:p>
            <w:r>
              <w:t>0.90</w:t>
            </w:r>
          </w:p>
        </w:tc>
        <w:tc>
          <w:tcPr>
            <w:tcW w:type="dxa" w:w="1440"/>
          </w:tcPr>
          <w:p>
            <w:r>
              <w:t>gap</w:t>
            </w:r>
          </w:p>
        </w:tc>
      </w:tr>
      <w:tr>
        <w:tc>
          <w:tcPr>
            <w:tcW w:type="dxa" w:w="1440"/>
          </w:tcPr>
          <w:p>
            <w:r>
              <w:t>CLAIM-025</w:t>
            </w:r>
          </w:p>
        </w:tc>
        <w:tc>
          <w:tcPr>
            <w:tcW w:type="dxa" w:w="1440"/>
          </w:tcPr>
          <w:p>
            <w:r>
              <w:t>Strategic Gears تقدم منهجية من خمس مراحل متسلسلة مصممة لتسليم جميع المخرجات الإلزامية الثلاثة والعشرين (D-1 إلى D-23) خلال مدة العقد البالغة اثني عشر شهراً</w:t>
            </w:r>
          </w:p>
        </w:tc>
        <w:tc>
          <w:tcPr>
            <w:tcW w:type="dxa" w:w="1440"/>
          </w:tcPr>
          <w:p>
            <w:r>
              <w:t>internal</w:t>
            </w:r>
          </w:p>
        </w:tc>
        <w:tc>
          <w:tcPr>
            <w:tcW w:type="dxa" w:w="1440"/>
          </w:tcPr>
          <w:p>
            <w:r>
              <w:t>SG proposed methodology design</w:t>
            </w:r>
          </w:p>
        </w:tc>
        <w:tc>
          <w:tcPr>
            <w:tcW w:type="dxa" w:w="1440"/>
          </w:tcPr>
          <w:p>
            <w:r>
              <w:t>0.90</w:t>
            </w:r>
          </w:p>
        </w:tc>
        <w:tc>
          <w:tcPr>
            <w:tcW w:type="dxa" w:w="1440"/>
          </w:tcPr>
          <w:p>
            <w:r>
              <w:t>gap</w:t>
            </w:r>
          </w:p>
        </w:tc>
      </w:tr>
    </w:tbl>
    <w:p>
      <w:r>
        <w:br w:type="page"/>
      </w:r>
    </w:p>
    <w:p>
      <w:pPr>
        <w:pStyle w:val="Heading1"/>
      </w:pPr>
      <w:r>
        <w:t>Appendix: Engine 2 Requirements</w:t>
      </w:r>
    </w:p>
    <w:p>
      <w:r>
        <w:t>This appendix lists proof gaps that Engine 2 (company backend) must fill before the proposal is submission-ready. Each item specifies what evidence is needed and where it should come from.</w:t>
      </w:r>
    </w:p>
    <w:p>
      <w:pPr>
        <w:pStyle w:val="Heading2"/>
      </w:pPr>
      <w:r>
        <w:t>A. Evidence Gaps — Proof Shopping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Claim ID</w:t>
            </w:r>
          </w:p>
        </w:tc>
        <w:tc>
          <w:tcPr>
            <w:tcW w:type="dxa" w:w="2160"/>
          </w:tcPr>
          <w:p>
            <w:r>
              <w:t>Claim</w:t>
            </w:r>
          </w:p>
        </w:tc>
        <w:tc>
          <w:tcPr>
            <w:tcW w:type="dxa" w:w="2160"/>
          </w:tcPr>
          <w:p>
            <w:r>
              <w:t>Source Needed</w:t>
            </w:r>
          </w:p>
        </w:tc>
        <w:tc>
          <w:tcPr>
            <w:tcW w:type="dxa" w:w="2160"/>
          </w:tcPr>
          <w:p>
            <w:r>
              <w:t>Action Required</w:t>
            </w:r>
          </w:p>
        </w:tc>
      </w:tr>
      <w:tr>
        <w:tc>
          <w:tcPr>
            <w:tcW w:type="dxa" w:w="2160"/>
          </w:tcPr>
          <w:p>
            <w:r>
              <w:t>CLAIM-001</w:t>
            </w:r>
          </w:p>
        </w:tc>
        <w:tc>
          <w:tcPr>
            <w:tcW w:type="dxa" w:w="2160"/>
          </w:tcPr>
          <w:p>
            <w:r>
              <w:t>مدة العقد 12 شهراً بالضبط من تاريخ إشعار البدء بالعمل</w:t>
            </w:r>
          </w:p>
        </w:tc>
        <w:tc>
          <w:tcPr>
            <w:tcW w:type="dxa" w:w="2160"/>
          </w:tcPr>
          <w:p>
            <w:r>
              <w:t>HR-L1-002</w:t>
            </w:r>
          </w:p>
        </w:tc>
        <w:tc>
          <w:tcPr>
            <w:tcW w:type="dxa" w:w="2160"/>
          </w:tcPr>
          <w:p>
            <w:r>
              <w:t>Check HR-L1-002 in reference_index for contract duration specification</w:t>
            </w:r>
          </w:p>
        </w:tc>
      </w:tr>
      <w:tr>
        <w:tc>
          <w:tcPr>
            <w:tcW w:type="dxa" w:w="2160"/>
          </w:tcPr>
          <w:p>
            <w:r>
              <w:t>CLAIM-002</w:t>
            </w:r>
          </w:p>
        </w:tc>
        <w:tc>
          <w:tcPr>
            <w:tcW w:type="dxa" w:w="2160"/>
          </w:tcPr>
          <w:p>
            <w:r>
              <w:t>آلية الترسية هي اجتياز فني ثنائي (ناجح/راسب) ثم أقل سعر بين المجتازين فنياً</w:t>
            </w:r>
          </w:p>
        </w:tc>
        <w:tc>
          <w:tcPr>
            <w:tcW w:type="dxa" w:w="2160"/>
          </w:tcPr>
          <w:p>
            <w:r>
              <w:t>HR-L1-001</w:t>
            </w:r>
          </w:p>
        </w:tc>
        <w:tc>
          <w:tcPr>
            <w:tcW w:type="dxa" w:w="2160"/>
          </w:tcPr>
          <w:p>
            <w:r>
              <w:t>Check HR-L1-001 in reference_index for award mechanism details</w:t>
            </w:r>
          </w:p>
        </w:tc>
      </w:tr>
      <w:tr>
        <w:tc>
          <w:tcPr>
            <w:tcW w:type="dxa" w:w="2160"/>
          </w:tcPr>
          <w:p>
            <w:r>
              <w:t>CLAIM-003</w:t>
            </w:r>
          </w:p>
        </w:tc>
        <w:tc>
          <w:tcPr>
            <w:tcW w:type="dxa" w:w="2160"/>
          </w:tcPr>
          <w:p>
            <w:r>
              <w:t>المشروع يُنتج 23 مخرجاً إلزامياً (D-1 إلى D-23) جميعها mandatory=true</w:t>
            </w:r>
          </w:p>
        </w:tc>
        <w:tc>
          <w:tcPr>
            <w:tcW w:type="dxa" w:w="2160"/>
          </w:tcPr>
          <w:p>
            <w:r>
              <w:t>HR-L1-030 إلى HR-L1-052</w:t>
            </w:r>
          </w:p>
        </w:tc>
        <w:tc>
          <w:tcPr>
            <w:tcW w:type="dxa" w:w="2160"/>
          </w:tcPr>
          <w:p>
            <w:r>
              <w:t>Check HR-L1-030 through HR-L1-052 in reference_index for complete deliverables list</w:t>
            </w:r>
          </w:p>
        </w:tc>
      </w:tr>
      <w:tr>
        <w:tc>
          <w:tcPr>
            <w:tcW w:type="dxa" w:w="2160"/>
          </w:tcPr>
          <w:p>
            <w:r>
              <w:t>CLAIM-004</w:t>
            </w:r>
          </w:p>
        </w:tc>
        <w:tc>
          <w:tcPr>
            <w:tcW w:type="dxa" w:w="2160"/>
          </w:tcPr>
          <w:p>
            <w:r>
              <w:t>تغطية 5 قطاعات كحد أدنى في حصر المنتجات والخدمات</w:t>
            </w:r>
          </w:p>
        </w:tc>
        <w:tc>
          <w:tcPr>
            <w:tcW w:type="dxa" w:w="2160"/>
          </w:tcPr>
          <w:p>
            <w:r>
              <w:t>SI-2</w:t>
            </w:r>
          </w:p>
        </w:tc>
        <w:tc>
          <w:tcPr>
            <w:tcW w:type="dxa" w:w="2160"/>
          </w:tcPr>
          <w:p>
            <w:r>
              <w:t>Check SI-2 in reference_index for sector coverage requirements</w:t>
            </w:r>
          </w:p>
        </w:tc>
      </w:tr>
      <w:tr>
        <w:tc>
          <w:tcPr>
            <w:tcW w:type="dxa" w:w="2160"/>
          </w:tcPr>
          <w:p>
            <w:r>
              <w:t>CLAIM-005</w:t>
            </w:r>
          </w:p>
        </w:tc>
        <w:tc>
          <w:tcPr>
            <w:tcW w:type="dxa" w:w="2160"/>
          </w:tcPr>
          <w:p>
            <w:r>
              <w:t>دراسة الممارسات الدولية في 5 دول كحد أدنى</w:t>
            </w:r>
          </w:p>
        </w:tc>
        <w:tc>
          <w:tcPr>
            <w:tcW w:type="dxa" w:w="2160"/>
          </w:tcPr>
          <w:p>
            <w:r>
              <w:t>SI-3</w:t>
            </w:r>
          </w:p>
        </w:tc>
        <w:tc>
          <w:tcPr>
            <w:tcW w:type="dxa" w:w="2160"/>
          </w:tcPr>
          <w:p>
            <w:r>
              <w:t>Check SI-3 in reference_index for international benchmarking requirements</w:t>
            </w:r>
          </w:p>
        </w:tc>
      </w:tr>
      <w:tr>
        <w:tc>
          <w:tcPr>
            <w:tcW w:type="dxa" w:w="2160"/>
          </w:tcPr>
          <w:p>
            <w:r>
              <w:t>CLAIM-006</w:t>
            </w:r>
          </w:p>
        </w:tc>
        <w:tc>
          <w:tcPr>
            <w:tcW w:type="dxa" w:w="2160"/>
          </w:tcPr>
          <w:p>
            <w:r>
              <w:t>تدريب وتطوير العاملين في المركز قبل المشروع وفي كافة مراحله</w:t>
            </w:r>
          </w:p>
        </w:tc>
        <w:tc>
          <w:tcPr>
            <w:tcW w:type="dxa" w:w="2160"/>
          </w:tcPr>
          <w:p>
            <w:r>
              <w:t>SI-8</w:t>
            </w:r>
          </w:p>
        </w:tc>
        <w:tc>
          <w:tcPr>
            <w:tcW w:type="dxa" w:w="2160"/>
          </w:tcPr>
          <w:p>
            <w:r>
              <w:t>Check SI-8 in reference_index for capacity building requirements</w:t>
            </w:r>
          </w:p>
        </w:tc>
      </w:tr>
      <w:tr>
        <w:tc>
          <w:tcPr>
            <w:tcW w:type="dxa" w:w="2160"/>
          </w:tcPr>
          <w:p>
            <w:r>
              <w:t>CLAIM-007</w:t>
            </w:r>
          </w:p>
        </w:tc>
        <w:tc>
          <w:tcPr>
            <w:tcW w:type="dxa" w:w="2160"/>
          </w:tcPr>
          <w:p>
            <w:r>
              <w:t>الأشكال السائدة حالياً تشمل جمع التبرعات والتطوع والوقف والاستضافة</w:t>
            </w:r>
          </w:p>
        </w:tc>
        <w:tc>
          <w:tcPr>
            <w:tcW w:type="dxa" w:w="2160"/>
          </w:tcPr>
          <w:p>
            <w:r>
              <w:t>SI-4</w:t>
            </w:r>
          </w:p>
        </w:tc>
        <w:tc>
          <w:tcPr>
            <w:tcW w:type="dxa" w:w="2160"/>
          </w:tcPr>
          <w:p>
            <w:r>
              <w:t>Check SI-4 in reference_index for current service forms specification</w:t>
            </w:r>
          </w:p>
        </w:tc>
      </w:tr>
      <w:tr>
        <w:tc>
          <w:tcPr>
            <w:tcW w:type="dxa" w:w="2160"/>
          </w:tcPr>
          <w:p>
            <w:r>
              <w:t>CLAIM-008</w:t>
            </w:r>
          </w:p>
        </w:tc>
        <w:tc>
          <w:tcPr>
            <w:tcW w:type="dxa" w:w="2160"/>
          </w:tcPr>
          <w:p>
            <w:r>
              <w:t>جميع وثائق العرض بالعربية. الوثائق الداعمة بالإنجليزية مقبولة مع ترجمة. النص العربي يسود عند التعارض</w:t>
            </w:r>
          </w:p>
        </w:tc>
        <w:tc>
          <w:tcPr>
            <w:tcW w:type="dxa" w:w="2160"/>
          </w:tcPr>
          <w:p>
            <w:r>
              <w:t>CR-1 / HR-L1-008</w:t>
            </w:r>
          </w:p>
        </w:tc>
        <w:tc>
          <w:tcPr>
            <w:tcW w:type="dxa" w:w="2160"/>
          </w:tcPr>
          <w:p>
            <w:r>
              <w:t>Check CR-1 and HR-L1-008 in reference_index for language requirements</w:t>
            </w:r>
          </w:p>
        </w:tc>
      </w:tr>
      <w:tr>
        <w:tc>
          <w:tcPr>
            <w:tcW w:type="dxa" w:w="2160"/>
          </w:tcPr>
          <w:p>
            <w:r>
              <w:t>CLAIM-009</w:t>
            </w:r>
          </w:p>
        </w:tc>
        <w:tc>
          <w:tcPr>
            <w:tcW w:type="dxa" w:w="2160"/>
          </w:tcPr>
          <w:p>
            <w:r>
              <w:t>أصل خطاب الضمان البنكي بنسبة 1% يُرفق في ملف العرض المالي</w:t>
            </w:r>
          </w:p>
        </w:tc>
        <w:tc>
          <w:tcPr>
            <w:tcW w:type="dxa" w:w="2160"/>
          </w:tcPr>
          <w:p>
            <w:r>
              <w:t>CR-8 / HR-L1-015</w:t>
            </w:r>
          </w:p>
        </w:tc>
        <w:tc>
          <w:tcPr>
            <w:tcW w:type="dxa" w:w="2160"/>
          </w:tcPr>
          <w:p>
            <w:r>
              <w:t>Check CR-8 and HR-L1-015 in reference_index for initial guarantee requirements</w:t>
            </w:r>
          </w:p>
        </w:tc>
      </w:tr>
      <w:tr>
        <w:tc>
          <w:tcPr>
            <w:tcW w:type="dxa" w:w="2160"/>
          </w:tcPr>
          <w:p>
            <w:r>
              <w:t>CLAIM-010</w:t>
            </w:r>
          </w:p>
        </w:tc>
        <w:tc>
          <w:tcPr>
            <w:tcW w:type="dxa" w:w="2160"/>
          </w:tcPr>
          <w:p>
            <w:r>
              <w:t>ضمان نهائي بنسبة 5% من قيمة العقد خلال 15 يوم عمل من تاريخ إبلاغ الترسية</w:t>
            </w:r>
          </w:p>
        </w:tc>
        <w:tc>
          <w:tcPr>
            <w:tcW w:type="dxa" w:w="2160"/>
          </w:tcPr>
          <w:p>
            <w:r>
              <w:t>CR-9 / HR-L1-016</w:t>
            </w:r>
          </w:p>
        </w:tc>
        <w:tc>
          <w:tcPr>
            <w:tcW w:type="dxa" w:w="2160"/>
          </w:tcPr>
          <w:p>
            <w:r>
              <w:t>Check CR-9 and HR-L1-016 in reference_index for final guarantee requirements</w:t>
            </w:r>
          </w:p>
        </w:tc>
      </w:tr>
      <w:tr>
        <w:tc>
          <w:tcPr>
            <w:tcW w:type="dxa" w:w="2160"/>
          </w:tcPr>
          <w:p>
            <w:r>
              <w:t>CLAIM-011</w:t>
            </w:r>
          </w:p>
        </w:tc>
        <w:tc>
          <w:tcPr>
            <w:tcW w:type="dxa" w:w="2160"/>
          </w:tcPr>
          <w:p>
            <w:r>
              <w:t>سريان العرض 90 يوماً من تاريخ التسليم</w:t>
            </w:r>
          </w:p>
        </w:tc>
        <w:tc>
          <w:tcPr>
            <w:tcW w:type="dxa" w:w="2160"/>
          </w:tcPr>
          <w:p>
            <w:r>
              <w:t>CR-10 / HR-L1-017</w:t>
            </w:r>
          </w:p>
        </w:tc>
        <w:tc>
          <w:tcPr>
            <w:tcW w:type="dxa" w:w="2160"/>
          </w:tcPr>
          <w:p>
            <w:r>
              <w:t>Check CR-10 and HR-L1-017 in reference_index for offer validity period</w:t>
            </w:r>
          </w:p>
        </w:tc>
      </w:tr>
      <w:tr>
        <w:tc>
          <w:tcPr>
            <w:tcW w:type="dxa" w:w="2160"/>
          </w:tcPr>
          <w:p>
            <w:r>
              <w:t>CLAIM-021</w:t>
            </w:r>
          </w:p>
        </w:tc>
        <w:tc>
          <w:tcPr>
            <w:tcW w:type="dxa" w:w="2160"/>
          </w:tcPr>
          <w:p>
            <w:r>
              <w:t>تشترط كراسة الشروط تأمين فريق عمل وفق جدول مواصفات فريق العمل المرفق في الملحق 2</w:t>
            </w:r>
          </w:p>
        </w:tc>
        <w:tc>
          <w:tcPr>
            <w:tcW w:type="dxa" w:w="2160"/>
          </w:tcPr>
          <w:p>
            <w:r>
              <w:t>HR-L1-018, الملحق 2</w:t>
            </w:r>
          </w:p>
        </w:tc>
        <w:tc>
          <w:tcPr>
            <w:tcW w:type="dxa" w:w="2160"/>
          </w:tcPr>
          <w:p>
            <w:r>
              <w:t>Check HR-L1-018 and retrieve complete Annex 2 from original RFP documents for detailed team specifications</w:t>
            </w:r>
          </w:p>
        </w:tc>
      </w:tr>
      <w:tr>
        <w:tc>
          <w:tcPr>
            <w:tcW w:type="dxa" w:w="2160"/>
          </w:tcPr>
          <w:p>
            <w:r>
              <w:t>CLAIM-022</w:t>
            </w:r>
          </w:p>
        </w:tc>
        <w:tc>
          <w:tcPr>
            <w:tcW w:type="dxa" w:w="2160"/>
          </w:tcPr>
          <w:p>
            <w:r>
              <w:t>آخر موعد للاستفسارات 2021-11-03، موعد تسليم العروض 2021-11-10، فتح المظاريف 2021-11-10، الترسية المتوقعة 2021-11-27، بدء الخدمة المتوقع 2021-12-20</w:t>
            </w:r>
          </w:p>
        </w:tc>
        <w:tc>
          <w:tcPr>
            <w:tcW w:type="dxa" w:w="2160"/>
          </w:tcPr>
          <w:p>
            <w:r>
              <w:t>RFP timeline specifications</w:t>
            </w:r>
          </w:p>
        </w:tc>
        <w:tc>
          <w:tcPr>
            <w:tcW w:type="dxa" w:w="2160"/>
          </w:tcPr>
          <w:p>
            <w:r>
              <w:t>Check original RFP documents for complete procurement timeline and key dates</w:t>
            </w:r>
          </w:p>
        </w:tc>
      </w:tr>
      <w:tr>
        <w:tc>
          <w:tcPr>
            <w:tcW w:type="dxa" w:w="2160"/>
          </w:tcPr>
          <w:p>
            <w:r>
              <w:t>CLAIM-025</w:t>
            </w:r>
          </w:p>
        </w:tc>
        <w:tc>
          <w:tcPr>
            <w:tcW w:type="dxa" w:w="2160"/>
          </w:tcPr>
          <w:p>
            <w:r>
              <w:t>Strategic Gears تقدم منهجية من خمس مراحل متسلسلة مصممة لتسليم جميع المخرجات الإلزامية الثلاثة والعشرين (D-1 إلى D-23) خلال مدة العقد البالغة اثني عشر شهراً</w:t>
            </w:r>
          </w:p>
        </w:tc>
        <w:tc>
          <w:tcPr>
            <w:tcW w:type="dxa" w:w="2160"/>
          </w:tcPr>
          <w:p>
            <w:r>
              <w:t>SG proposed methodology design</w:t>
            </w:r>
          </w:p>
        </w:tc>
        <w:tc>
          <w:tcPr>
            <w:tcW w:type="dxa" w:w="2160"/>
          </w:tcPr>
          <w:p>
            <w:r>
              <w:t>Cross-reference with detailed methodology section and deliverables timeline in proposal</w:t>
            </w:r>
          </w:p>
        </w:tc>
      </w:tr>
    </w:tbl>
    <w:p>
      <w:pPr>
        <w:pStyle w:val="Heading2"/>
      </w:pPr>
      <w:r>
        <w:t>B. Open Team Roles — Staffing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Required Qualifications</w:t>
            </w:r>
          </w:p>
        </w:tc>
        <w:tc>
          <w:tcPr>
            <w:tcW w:type="dxa" w:w="2160"/>
          </w:tcPr>
          <w:p>
            <w:r>
              <w:t>Domain Expertise</w:t>
            </w:r>
          </w:p>
        </w:tc>
        <w:tc>
          <w:tcPr>
            <w:tcW w:type="dxa" w:w="2160"/>
          </w:tcPr>
          <w:p>
            <w:r>
              <w:t>Action Required</w:t>
            </w:r>
          </w:p>
        </w:tc>
      </w:tr>
      <w:tr>
        <w:tc>
          <w:tcPr>
            <w:tcW w:type="dxa" w:w="2160"/>
          </w:tcPr>
          <w:p>
            <w:r>
              <w:t>مدير المشروع / قائد الفريق (Project Director)</w:t>
            </w:r>
          </w:p>
        </w:tc>
        <w:tc>
          <w:tcPr>
            <w:tcW w:type="dxa" w:w="2160"/>
          </w:tcPr>
          <w:p>
            <w:r>
              <w:t>Education: ماجستير أو دكتوراه في الإدارة العامة أو السياسات العامة أو التنمية أو إدارة الأعمال من جامعة معتمدة</w:t>
              <w:br/>
              <w:t>Certifications: PMP أو ما يعادلها في إدارة المشاريع, شهادة في الإدارة الاستراتيجية أو السياسات العامة (مفضل)</w:t>
              <w:br/>
              <w:t>Experience: 15+ years</w:t>
            </w:r>
          </w:p>
        </w:tc>
        <w:tc>
          <w:tcPr>
            <w:tcW w:type="dxa" w:w="2160"/>
          </w:tcPr>
          <w:p>
            <w:r>
              <w:t>القطاع غير الربحي السعودي والخليجي — فهم التشريعات والأنظمة المنظمة, السياسات العامة وتصميم البرامج الحكومية في المملكة, رؤية المملكة 2030 وبرامج تمكين القطاع الثالث, إدارة مشاريع بحثية واستشارية معقدة (20+ مخرجاً), إدارة أصحاب المصلحة المتعددين في السياق الحكومي السعودي, كتابة التقارير التنفيذية باللغة العربية</w:t>
            </w:r>
          </w:p>
        </w:tc>
        <w:tc>
          <w:tcPr>
            <w:tcW w:type="dxa" w:w="2160"/>
          </w:tcPr>
          <w:p>
            <w:r>
              <w:t>Engine 2: retrieve matching consultant from staffing database and populate name, CV, and project history</w:t>
            </w:r>
          </w:p>
        </w:tc>
      </w:tr>
      <w:tr>
        <w:tc>
          <w:tcPr>
            <w:tcW w:type="dxa" w:w="2160"/>
          </w:tcPr>
          <w:p>
            <w:r>
              <w:t>خبير القطاع غير الربحي والتنمية الاجتماعية (Nonprofit Sector Expert)</w:t>
            </w:r>
          </w:p>
        </w:tc>
        <w:tc>
          <w:tcPr>
            <w:tcW w:type="dxa" w:w="2160"/>
          </w:tcPr>
          <w:p>
            <w:r>
              <w:t>Education: ماجستير أو دكتوراه في التنمية الاجتماعية أو الإدارة العامة أو الاقتصاد الاجتماعي أو دراسات القطاع غير الربحي</w:t>
              <w:br/>
              <w:t>Certifications: شهادة متخصصة في إدارة المنظمات غير الربحية (CNP أو ما يعادلها) — مفضل, شهادة في قياس الأثر الاجتماعي (SROI Practitioner أو ما يعادلها) — مفضل</w:t>
              <w:br/>
              <w:t>Experience: 12+ years</w:t>
            </w:r>
          </w:p>
        </w:tc>
        <w:tc>
          <w:tcPr>
            <w:tcW w:type="dxa" w:w="2160"/>
          </w:tcPr>
          <w:p>
            <w:r>
              <w:t>القطاع غير الربحي السعودي: الجمعيات الأهلية، المؤسسات الوقفية، منصات التبرع الرقمية, التشريعات والأنظمة المنظمة للقطاع الثالث في المملكة (نظام الجمعيات، نظام الأوقاف), نماذج الخدمات غير الربحية الإسلامية (الزكاة، الوقف، الصدقات، الكفالة), تصميم المنتجات والخدمات الاجتماعية وتقييم جدواها, تحليل الاحتياجات التنموية وربطها بالحلول المبتكرة, كتابة التقارير الفنية باللغة العربية</w:t>
            </w:r>
          </w:p>
        </w:tc>
        <w:tc>
          <w:tcPr>
            <w:tcW w:type="dxa" w:w="2160"/>
          </w:tcPr>
          <w:p>
            <w:r>
              <w:t>Engine 2: retrieve matching consultant from staffing database and populate name, CV, and project history</w:t>
            </w:r>
          </w:p>
        </w:tc>
      </w:tr>
      <w:tr>
        <w:tc>
          <w:tcPr>
            <w:tcW w:type="dxa" w:w="2160"/>
          </w:tcPr>
          <w:p>
            <w:r>
              <w:t>خبير المقارنات المعيارية الدولية (International Benchmarking Expert)</w:t>
            </w:r>
          </w:p>
        </w:tc>
        <w:tc>
          <w:tcPr>
            <w:tcW w:type="dxa" w:w="2160"/>
          </w:tcPr>
          <w:p>
            <w:r>
              <w:t>Education: ماجستير أو دكتوراه في السياسات العامة المقارنة أو التنمية الدولية أو دراسات القطاع غير الربحي من جامعة دولية معتمدة</w:t>
              <w:br/>
              <w:t>Certifications: شهادة في البحث الاجتماعي أو المنهجيات البحثية المتقدمة — مفضل, إجادة اللغة الإنجليزية بمستوى أكاديمي (إلزامي) مع لغة إضافية (مفضل)</w:t>
              <w:br/>
              <w:t>Experience: 10+ years</w:t>
            </w:r>
          </w:p>
        </w:tc>
        <w:tc>
          <w:tcPr>
            <w:tcW w:type="dxa" w:w="2160"/>
          </w:tcPr>
          <w:p>
            <w:r>
              <w:t>القطاع غير الربحي الدولي: نماذج أمريكا الشمالية (NTEE) وأوروبا (Charity Commission UK) وآسيا (نماذج الوقف الإسلامي), منهجيات المقارنة المعيارية الدولية (International Benchmarking Methodology), أنظمة التصنيف الدولية للمنظمات غير الربحية (ICNPO, NTEE, NACE), السياسات العامة المقارنة في مجال القطاع الثالث والمجتمع المدني, نماذج الخدمات غير الربحية في الدول الإسلامية (إندونيسيا، ماليزيا، تركيا)</w:t>
            </w:r>
          </w:p>
        </w:tc>
        <w:tc>
          <w:tcPr>
            <w:tcW w:type="dxa" w:w="2160"/>
          </w:tcPr>
          <w:p>
            <w:r>
              <w:t>Engine 2: retrieve matching consultant from staffing database and populate name, CV, and project history</w:t>
            </w:r>
          </w:p>
        </w:tc>
      </w:tr>
      <w:tr>
        <w:tc>
          <w:tcPr>
            <w:tcW w:type="dxa" w:w="2160"/>
          </w:tcPr>
          <w:p>
            <w:r>
              <w:t>محلل أول / باحث رئيسي (Senior Analyst / Lead Researcher)</w:t>
            </w:r>
          </w:p>
        </w:tc>
        <w:tc>
          <w:tcPr>
            <w:tcW w:type="dxa" w:w="2160"/>
          </w:tcPr>
          <w:p>
            <w:r>
              <w:t>Education: ماجستير في الإدارة العامة أو التنمية الاجتماعية أو الاقتصاد أو البحث الاجتماعي أو الإحصاء التطبيقي</w:t>
              <w:br/>
              <w:t>Certifications: إجادة أدوات التحليل الإحصائي (SPSS, R, Python, أو ما يعادلها), شهادة في تحليل البيانات أو البحث الاجتماعي — مفضل</w:t>
              <w:br/>
              <w:t>Experience: 7+ years</w:t>
            </w:r>
          </w:p>
        </w:tc>
        <w:tc>
          <w:tcPr>
            <w:tcW w:type="dxa" w:w="2160"/>
          </w:tcPr>
          <w:p>
            <w:r>
              <w:t>منهجيات البحث المختلط (Mixed Methods Research): تصميم الاستبيانات، المقابلات المعمقة، تحليل المحتوى, تحليل البيانات الكمية والنوعية باستخدام أدوات إحصائية متقدمة, إعداد الدراسات القطاعية والتحليلات السوقية في السياق السعودي, أدوات الحصر والتصنيف القطاعي وإدارة قواعد البيانات, كتابة التقارير التحليلية باللغة العربية بمستوى احترافي</w:t>
            </w:r>
          </w:p>
        </w:tc>
        <w:tc>
          <w:tcPr>
            <w:tcW w:type="dxa" w:w="2160"/>
          </w:tcPr>
          <w:p>
            <w:r>
              <w:t>Engine 2: retrieve matching consultant from staffing database and populate name, CV, and project history</w:t>
            </w:r>
          </w:p>
        </w:tc>
      </w:tr>
      <w:tr>
        <w:tc>
          <w:tcPr>
            <w:tcW w:type="dxa" w:w="2160"/>
          </w:tcPr>
          <w:p>
            <w:r>
              <w:t>خبير قياس الأثر والاستدامة (Impact Measurement &amp; Sustainability Expert)</w:t>
            </w:r>
          </w:p>
        </w:tc>
        <w:tc>
          <w:tcPr>
            <w:tcW w:type="dxa" w:w="2160"/>
          </w:tcPr>
          <w:p>
            <w:r>
              <w:t>Education: ماجستير أو دكتوراه في التنمية أو الاقتصاد الاجتماعي أو تقييم البرامج أو السياسات العامة</w:t>
              <w:br/>
              <w:t>Certifications: شهادة في قياس الأثر الاجتماعي (SROI Practitioner أو ما يعادلها), شهادة في إدارة البرامج التنموية أو تقييم البرامج — مفضل</w:t>
              <w:br/>
              <w:t>Experience: 10+ years</w:t>
            </w:r>
          </w:p>
        </w:tc>
        <w:tc>
          <w:tcPr>
            <w:tcW w:type="dxa" w:w="2160"/>
          </w:tcPr>
          <w:p>
            <w:r>
              <w:t>أطر قياس الأثر الاجتماعي: SROI, Theory of Change, Logic Model, Results-Based Management, تصميم مؤشرات الأداء الرئيسية (KPIs) للبرامج التنموية والاجتماعية, ربط مؤشرات الأثر بالأهداف الوطنية (رؤية 2030، أهداف التنمية المستدامة SDGs), تقييم البرامج والمشاريع الاجتماعية في السياق العربي, نظم المراقبة والتقييم القائمة على النتائج (Results-Based M&amp;E)</w:t>
            </w:r>
          </w:p>
        </w:tc>
        <w:tc>
          <w:tcPr>
            <w:tcW w:type="dxa" w:w="2160"/>
          </w:tcPr>
          <w:p>
            <w:r>
              <w:t>Engine 2: retrieve matching consultant from staffing database and populate name, CV, and project history</w:t>
            </w:r>
          </w:p>
        </w:tc>
      </w:tr>
      <w:tr>
        <w:tc>
          <w:tcPr>
            <w:tcW w:type="dxa" w:w="2160"/>
          </w:tcPr>
          <w:p>
            <w:r>
              <w:t>مسؤول التدريب وبناء القدرات (Training &amp; Capacity Building Lead)</w:t>
            </w:r>
          </w:p>
        </w:tc>
        <w:tc>
          <w:tcPr>
            <w:tcW w:type="dxa" w:w="2160"/>
          </w:tcPr>
          <w:p>
            <w:r>
              <w:t>Education: ماجستير في التعليم أو التنمية البشرية أو الإدارة العامة أو مجال ذي صلة</w:t>
              <w:br/>
              <w:t>Certifications: شهادة في التدريب المهني (TOT — Training of Trainers أو ما يعادلها), شهادة في تصميم البرامج التعليمية (Instructional Design) — مفضل</w:t>
              <w:br/>
              <w:t>Experience: 8+ years</w:t>
            </w:r>
          </w:p>
        </w:tc>
        <w:tc>
          <w:tcPr>
            <w:tcW w:type="dxa" w:w="2160"/>
          </w:tcPr>
          <w:p>
            <w:r>
              <w:t>تصميم وتنفيذ برامج بناء القدرات المؤسسية في الجهات الحكومية السعودية, التدريب التطبيقي (Learning-by-Doing) في بيئة العمل الاستشارية, تصميم أدوات ونماذج عمل قابلة لإعادة الاستخدام والتحديث, نقل المعرفة في المشاريع الاستشارية الحكومية, تيسير ورش العمل التشاركية باللغة العربية</w:t>
            </w:r>
          </w:p>
        </w:tc>
        <w:tc>
          <w:tcPr>
            <w:tcW w:type="dxa" w:w="2160"/>
          </w:tcPr>
          <w:p>
            <w:r>
              <w:t>Engine 2: retrieve matching consultant from staffing database and populate name, CV, and project history</w:t>
            </w:r>
          </w:p>
        </w:tc>
      </w:tr>
      <w:tr>
        <w:tc>
          <w:tcPr>
            <w:tcW w:type="dxa" w:w="2160"/>
          </w:tcPr>
          <w:p>
            <w:r>
              <w:t>محلل مبتدئ / باحث ميداني (Junior Analyst / Field Researcher)</w:t>
            </w:r>
          </w:p>
        </w:tc>
        <w:tc>
          <w:tcPr>
            <w:tcW w:type="dxa" w:w="2160"/>
          </w:tcPr>
          <w:p>
            <w:r>
              <w:t>Education: بكالوريوس في الإدارة العامة أو العلوم الاجتماعية أو الاقتصاد أو الإحصاء أو مجال ذي صلة</w:t>
              <w:br/>
              <w:t>Certifications: إجادة أدوات Microsoft Office وGoogle Workspace بمستوى متقدم, معرفة بأدوات جمع البيانات الرقمية (SurveyMonkey, Google Forms, أو ما يعادلها)</w:t>
              <w:br/>
              <w:t>Experience: 3+ years</w:t>
            </w:r>
          </w:p>
        </w:tc>
        <w:tc>
          <w:tcPr>
            <w:tcW w:type="dxa" w:w="2160"/>
          </w:tcPr>
          <w:p>
            <w:r>
              <w:t>جمع البيانات الميدانية والمكتبية من مصادر متعددة, إعداد قواعد البيانات وتنظيمها وتنظيفها, أدوات البحث الكمي والنوعي الأساسية (استبيانات، مقابلات، تحليل محتوى), التوثيق وإعداد التقارير والملاحق, إجادة اللغتين العربية والإنجليزية كتابةً وتحدثاً</w:t>
            </w:r>
          </w:p>
        </w:tc>
        <w:tc>
          <w:tcPr>
            <w:tcW w:type="dxa" w:w="2160"/>
          </w:tcPr>
          <w:p>
            <w:r>
              <w:t>Engine 2: retrieve matching consultant from staffing database and populate name, CV, and project history</w:t>
            </w:r>
          </w:p>
        </w:tc>
      </w:tr>
      <w:tr>
        <w:tc>
          <w:tcPr>
            <w:tcW w:type="dxa" w:w="2160"/>
          </w:tcPr>
          <w:p>
            <w:r>
              <w:t>ملحق 2 — الأدوار الإضافية حسب جدول مواصفات فريق العمل (Annex 2 Compliance Roles)</w:t>
            </w:r>
          </w:p>
        </w:tc>
        <w:tc>
          <w:tcPr>
            <w:tcW w:type="dxa" w:w="2160"/>
          </w:tcPr>
          <w:p>
            <w:r>
              <w:t>Education: حسب متطلبات ملحق 2 — غير متوفرة حالياً</w:t>
              <w:br/>
              <w:t>Certifications: حسب متطلبات ملحق 2 — غير متوفرة حالياً</w:t>
              <w:br/>
              <w:t>Experience: —</w:t>
            </w:r>
          </w:p>
        </w:tc>
        <w:tc>
          <w:tcPr>
            <w:tcW w:type="dxa" w:w="2160"/>
          </w:tcPr>
          <w:p>
            <w:r>
              <w:t>حسب متطلبات ملحق 2 — غير متوفرة حالياً</w:t>
            </w:r>
          </w:p>
        </w:tc>
        <w:tc>
          <w:tcPr>
            <w:tcW w:type="dxa" w:w="2160"/>
          </w:tcPr>
          <w:p>
            <w:r>
              <w:t>Engine 2: retrieve matching consultant from staffing database and populate name, CV, and project history</w:t>
            </w:r>
          </w:p>
        </w:tc>
      </w:tr>
    </w:tbl>
    <w:p/>
    <w:p>
      <w:r>
        <w:br w:type="page"/>
      </w:r>
    </w:p>
    <w:p>
      <w:pPr>
        <w:pStyle w:val="Heading1"/>
      </w:pPr>
      <w:r>
        <w:t>Appendix: Routing Summary</w:t>
      </w:r>
    </w:p>
    <w:p>
      <w:r>
        <w:t>This appendix documents the RFP routing classification, selected context packs, and routing confidence. This information is generated automatically by the routing pipeline.</w:t>
      </w:r>
    </w:p>
    <w:p>
      <w:pPr>
        <w:pStyle w:val="Heading2"/>
      </w:pPr>
      <w:r>
        <w:t>Classification</w:t>
      </w:r>
    </w:p>
    <w:tbl>
      <w:tblPr>
        <w:tblStyle w:val="TableGrid"/>
        <w:tblW w:type="auto" w:w="0"/>
        <w:tblLook w:firstColumn="1" w:firstRow="1" w:lastColumn="0" w:lastRow="0" w:noHBand="0" w:noVBand="1" w:val="04A0"/>
      </w:tblPr>
      <w:tblGrid>
        <w:gridCol w:w="2880"/>
        <w:gridCol w:w="6480"/>
      </w:tblGrid>
      <w:tr>
        <w:tc>
          <w:tcPr>
            <w:tcW w:type="dxa" w:w="2880"/>
          </w:tcPr>
          <w:p>
            <w:r>
              <w:rPr>
                <w:b/>
              </w:rPr>
              <w:t>Jurisdiction</w:t>
            </w:r>
          </w:p>
        </w:tc>
        <w:tc>
          <w:tcPr>
            <w:tcW w:type="dxa" w:w="6480"/>
          </w:tcPr>
          <w:p>
            <w:r>
              <w:t>qatar</w:t>
            </w:r>
          </w:p>
        </w:tc>
      </w:tr>
      <w:tr>
        <w:tc>
          <w:tcPr>
            <w:tcW w:type="dxa" w:w="2880"/>
          </w:tcPr>
          <w:p>
            <w:r>
              <w:rPr>
                <w:b/>
              </w:rPr>
              <w:t>Sector</w:t>
            </w:r>
          </w:p>
        </w:tc>
        <w:tc>
          <w:tcPr>
            <w:tcW w:type="dxa" w:w="6480"/>
          </w:tcPr>
          <w:p>
            <w:r>
              <w:t>unknown</w:t>
            </w:r>
          </w:p>
        </w:tc>
      </w:tr>
      <w:tr>
        <w:tc>
          <w:tcPr>
            <w:tcW w:type="dxa" w:w="2880"/>
          </w:tcPr>
          <w:p>
            <w:r>
              <w:rPr>
                <w:b/>
              </w:rPr>
              <w:t>Domain</w:t>
            </w:r>
          </w:p>
        </w:tc>
        <w:tc>
          <w:tcPr>
            <w:tcW w:type="dxa" w:w="6480"/>
          </w:tcPr>
          <w:p>
            <w:r>
              <w:t>digital_transformation</w:t>
            </w:r>
          </w:p>
        </w:tc>
      </w:tr>
      <w:tr>
        <w:tc>
          <w:tcPr>
            <w:tcW w:type="dxa" w:w="2880"/>
          </w:tcPr>
          <w:p>
            <w:r>
              <w:rPr>
                <w:b/>
              </w:rPr>
              <w:t>Subdomain</w:t>
            </w:r>
          </w:p>
        </w:tc>
        <w:tc>
          <w:tcPr>
            <w:tcW w:type="dxa" w:w="6480"/>
          </w:tcPr>
          <w:p>
            <w:r>
              <w:t>performance_management</w:t>
            </w:r>
          </w:p>
        </w:tc>
      </w:tr>
      <w:tr>
        <w:tc>
          <w:tcPr>
            <w:tcW w:type="dxa" w:w="2880"/>
          </w:tcPr>
          <w:p>
            <w:r>
              <w:rPr>
                <w:b/>
              </w:rPr>
              <w:t>Client Type</w:t>
            </w:r>
          </w:p>
        </w:tc>
        <w:tc>
          <w:tcPr>
            <w:tcW w:type="dxa" w:w="6480"/>
          </w:tcPr>
          <w:p>
            <w:r>
              <w:t>not identified</w:t>
            </w:r>
          </w:p>
        </w:tc>
      </w:tr>
      <w:tr>
        <w:tc>
          <w:tcPr>
            <w:tcW w:type="dxa" w:w="2880"/>
          </w:tcPr>
          <w:p>
            <w:r>
              <w:rPr>
                <w:b/>
              </w:rPr>
              <w:t>Regulatory Frame</w:t>
            </w:r>
          </w:p>
        </w:tc>
        <w:tc>
          <w:tcPr>
            <w:tcW w:type="dxa" w:w="6480"/>
          </w:tcPr>
          <w:p>
            <w:r>
              <w:t>none_identified</w:t>
            </w:r>
          </w:p>
        </w:tc>
      </w:tr>
      <w:tr>
        <w:tc>
          <w:tcPr>
            <w:tcW w:type="dxa" w:w="2880"/>
          </w:tcPr>
          <w:p>
            <w:r>
              <w:rPr>
                <w:b/>
              </w:rPr>
              <w:t>Evaluator Pattern</w:t>
            </w:r>
          </w:p>
        </w:tc>
        <w:tc>
          <w:tcPr>
            <w:tcW w:type="dxa" w:w="6480"/>
          </w:tcPr>
          <w:p>
            <w:r>
              <w:t>pass_fail_then_lowest_price</w:t>
            </w:r>
          </w:p>
        </w:tc>
      </w:tr>
      <w:tr>
        <w:tc>
          <w:tcPr>
            <w:tcW w:type="dxa" w:w="2880"/>
          </w:tcPr>
          <w:p>
            <w:r>
              <w:rPr>
                <w:b/>
              </w:rPr>
              <w:t>Language</w:t>
            </w:r>
          </w:p>
        </w:tc>
        <w:tc>
          <w:tcPr>
            <w:tcW w:type="dxa" w:w="6480"/>
          </w:tcPr>
          <w:p>
            <w:r>
              <w:t>ar</w:t>
            </w:r>
          </w:p>
        </w:tc>
      </w:tr>
      <w:tr>
        <w:tc>
          <w:tcPr>
            <w:tcW w:type="dxa" w:w="2880"/>
          </w:tcPr>
          <w:p>
            <w:r>
              <w:rPr>
                <w:b/>
              </w:rPr>
              <w:t>Confidence</w:t>
            </w:r>
          </w:p>
        </w:tc>
        <w:tc>
          <w:tcPr>
            <w:tcW w:type="dxa" w:w="6480"/>
          </w:tcPr>
          <w:p>
            <w:r>
              <w:t>0.20</w:t>
            </w:r>
          </w:p>
        </w:tc>
      </w:tr>
    </w:tbl>
    <w:p/>
    <w:p>
      <w:pPr>
        <w:pStyle w:val="Heading2"/>
      </w:pPr>
      <w:r>
        <w:t>Proof Types Needed</w:t>
      </w:r>
    </w:p>
    <w:p>
      <w:pPr>
        <w:pStyle w:val="ListBullet"/>
      </w:pPr>
      <w:r>
        <w:t>Team Cvs</w:t>
      </w:r>
    </w:p>
    <w:p>
      <w:pPr>
        <w:pStyle w:val="ListBullet"/>
      </w:pPr>
      <w:r>
        <w:t>Compliance Certificates</w:t>
      </w:r>
    </w:p>
    <w:p>
      <w:pPr>
        <w:pStyle w:val="ListBullet"/>
      </w:pPr>
      <w:r>
        <w:t>Case Studies</w:t>
      </w:r>
    </w:p>
    <w:p/>
    <w:p>
      <w:pPr>
        <w:pStyle w:val="Heading2"/>
      </w:pPr>
      <w:r>
        <w:t>Selected Context Packs</w:t>
      </w:r>
    </w:p>
    <w:p>
      <w:r>
        <w:rPr>
          <w:b/>
        </w:rPr>
        <w:t xml:space="preserve">Primary packs: </w:t>
      </w:r>
      <w:r>
        <w:t>qatar_public_sector, digital_transformation</w:t>
      </w:r>
    </w:p>
    <w:p/>
    <w:p>
      <w:pPr>
        <w:pStyle w:val="Heading2"/>
      </w:pPr>
      <w:r>
        <w:t>Merged Pack Statistics</w:t>
      </w:r>
    </w:p>
    <w:p>
      <w:pPr>
        <w:pStyle w:val="ListBullet"/>
      </w:pPr>
      <w:r>
        <w:t>Regulatory References: 7</w:t>
      </w:r>
    </w:p>
    <w:p>
      <w:pPr>
        <w:pStyle w:val="ListBullet"/>
      </w:pPr>
      <w:r>
        <w:t>Compliance Patterns: 4</w:t>
      </w:r>
    </w:p>
    <w:p>
      <w:pPr>
        <w:pStyle w:val="ListBullet"/>
      </w:pPr>
      <w:r>
        <w:t>Evaluator Insights: 6</w:t>
      </w:r>
    </w:p>
    <w:p>
      <w:pPr>
        <w:pStyle w:val="ListBullet"/>
      </w:pPr>
      <w:r>
        <w:t>Methodology Patterns: 4</w:t>
      </w:r>
    </w:p>
    <w:p>
      <w:pPr>
        <w:pStyle w:val="ListBullet"/>
      </w:pPr>
      <w:r>
        <w:t>Benchmark References: 0</w:t>
      </w:r>
    </w:p>
    <w:p>
      <w:pPr>
        <w:pStyle w:val="ListBullet"/>
      </w:pPr>
      <w:r>
        <w:t>Search Queries: 9</w:t>
      </w:r>
    </w:p>
    <w:p/>
    <w:p>
      <w:r>
        <w:rPr>
          <w:b/>
          <w:color w:val="CC0000"/>
        </w:rPr>
        <w:t>Overall Routing Confidence: 0.20</w:t>
      </w:r>
    </w:p>
    <w:p/>
    <w:p>
      <w:pPr>
        <w:pStyle w:val="Heading2"/>
      </w:pPr>
      <w:r>
        <w:t>Warnings</w:t>
      </w:r>
    </w:p>
    <w:p>
      <w:r>
        <w:rPr>
          <w:b/>
          <w:color w:val="CC0000"/>
        </w:rPr>
        <w:t xml:space="preserve">WARNING: </w:t>
      </w:r>
      <w:r>
        <w:t>Low routing confidence (0.20). Jurisdiction-specific compliance requires manual review.</w:t>
      </w:r>
    </w:p>
    <w:p/>
    <w:p>
      <w:pPr>
        <w:pStyle w:val="Heading2"/>
      </w:pPr>
      <w:r>
        <w:t>Alternate Classifications</w:t>
      </w:r>
    </w:p>
    <w:p>
      <w:r>
        <w:t>The following alternate classifications were considered due to low routing confidence:</w:t>
      </w:r>
    </w:p>
    <w:p>
      <w:pPr>
        <w:pStyle w:val="ListBullet"/>
      </w:pPr>
      <w:r>
        <w:t>domain: service_design (score: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