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PROPOSAL SOURCE BOOK</w:t>
      </w:r>
    </w:p>
    <w:p>
      <w:pPr>
        <w:jc w:val="center"/>
      </w:pPr>
      <w:r>
        <w:rPr>
          <w:b/>
          <w:sz w:val="32"/>
        </w:rPr>
        <w:t>Saudi Data and Artificial Intelligence Authority (SDAIA) — Professional Services in Artificial Intelligence Research and Ethics with UNESCO</w:t>
      </w:r>
    </w:p>
    <w:p>
      <w:pPr>
        <w:jc w:val="center"/>
      </w:pPr>
      <w:r>
        <w:rPr>
          <w:sz w:val="20"/>
        </w:rPr>
        <w:t>Generated: 2026-04-27 | Language: ar | Pass: 4</w:t>
      </w:r>
    </w:p>
    <w:p>
      <w:r>
        <w:br w:type="page"/>
      </w:r>
    </w:p>
    <w:p>
      <w:pPr>
        <w:pStyle w:val="Heading1"/>
      </w:pPr>
      <w:r>
        <w:t>1. RFP Interpretation</w:t>
      </w:r>
    </w:p>
    <w:p>
      <w:pPr>
        <w:pStyle w:val="Heading3"/>
      </w:pPr>
      <w:r>
        <w:t>Compliance-to-Requirement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Requirement</w:t>
            </w:r>
          </w:p>
        </w:tc>
        <w:tc>
          <w:tcPr>
            <w:tcW w:type="dxa" w:w="1728"/>
          </w:tcPr>
          <w:p>
            <w:r>
              <w:rPr>
                <w:b/>
                <w:sz w:val="18"/>
              </w:rPr>
              <w:t>SG Response</w:t>
            </w:r>
          </w:p>
        </w:tc>
        <w:tc>
          <w:tcPr>
            <w:tcW w:type="dxa" w:w="1728"/>
          </w:tcPr>
          <w:p>
            <w:r>
              <w:rPr>
                <w:b/>
                <w:sz w:val="18"/>
              </w:rPr>
              <w:t>Evidence Ref</w:t>
            </w:r>
          </w:p>
        </w:tc>
        <w:tc>
          <w:tcPr>
            <w:tcW w:type="dxa" w:w="1728"/>
          </w:tcPr>
          <w:p>
            <w:r>
              <w:rPr>
                <w:b/>
                <w:sz w:val="18"/>
              </w:rPr>
              <w:t>Classification</w:t>
            </w:r>
          </w:p>
        </w:tc>
      </w:tr>
      <w:tr>
        <w:tc>
          <w:tcPr>
            <w:tcW w:type="dxa" w:w="1728"/>
          </w:tcPr>
          <w:p>
            <w:r>
              <w:rPr>
                <w:sz w:val="18"/>
              </w:rPr>
              <w:t>COMP-001</w:t>
            </w:r>
          </w:p>
        </w:tc>
        <w:tc>
          <w:tcPr>
            <w:tcW w:type="dxa" w:w="1728"/>
          </w:tcPr>
          <w:p>
            <w:r>
              <w:rPr>
                <w:sz w:val="18"/>
              </w:rPr>
              <w:t>HR-L1-001 / CR-1: يجب أن تقدم العروض باللغة العربية مع إمكانية تقديم بعض الوثائق بلغة أخرى إلى جانب العربية، وفي حال التعارض يُؤخذ بالنص العربي.</w:t>
            </w:r>
          </w:p>
        </w:tc>
        <w:tc>
          <w:tcPr>
            <w:tcW w:type="dxa" w:w="1728"/>
          </w:tcPr>
          <w:p>
            <w:r>
              <w:rPr>
                <w:sz w:val="18"/>
              </w:rPr>
              <w:t>جميع مخرجات العرض الفني والمالي تُعدّ باللغة العربية أصالةً. الملاحق الفنية الداعمة (مراجع دولية) تُقدّم بلغتها الأصلية مع ملخصات عربية. إجراء المتنافس: مراجعة لغوية شاملة لجميع الوثائق قبل التقديم. موقع الاستجابة: خطاب التقديم + جميع أقسام العرض الفني والمالي. المالك: مدير العرض. الأولوية: حرجة.</w:t>
            </w:r>
          </w:p>
        </w:tc>
        <w:tc>
          <w:tcPr>
            <w:tcW w:type="dxa" w:w="1728"/>
          </w:tcPr>
          <w:p>
            <w:r>
              <w:rPr>
                <w:sz w:val="18"/>
              </w:rPr>
              <w:t>DIRECT_RFP_FACT — CR-1. فجوة: يلزم تأكيد من Engine 2 بشأن نماذج مخرجات عربية سابقة.</w:t>
            </w:r>
          </w:p>
        </w:tc>
        <w:tc>
          <w:tcPr>
            <w:tcW w:type="dxa" w:w="1728"/>
          </w:tcPr>
          <w:p>
            <w:r>
              <w:rPr>
                <w:sz w:val="18"/>
              </w:rPr>
              <w:t>RFP Fact</w:t>
            </w:r>
          </w:p>
        </w:tc>
      </w:tr>
      <w:tr>
        <w:tc>
          <w:tcPr>
            <w:tcW w:type="dxa" w:w="1728"/>
          </w:tcPr>
          <w:p>
            <w:r>
              <w:rPr>
                <w:sz w:val="18"/>
              </w:rPr>
              <w:t>COMP-002</w:t>
            </w:r>
          </w:p>
        </w:tc>
        <w:tc>
          <w:tcPr>
            <w:tcW w:type="dxa" w:w="1728"/>
          </w:tcPr>
          <w:p>
            <w:r>
              <w:rPr>
                <w:sz w:val="18"/>
              </w:rPr>
              <w:t>HR-L1-002 / CR-2: السجل التجاري ساري المفعول.</w:t>
            </w:r>
          </w:p>
        </w:tc>
        <w:tc>
          <w:tcPr>
            <w:tcW w:type="dxa" w:w="1728"/>
          </w:tcPr>
          <w:p>
            <w:r>
              <w:rPr>
                <w:sz w:val="18"/>
              </w:rPr>
              <w:t>يُرفق السجل التجاري الساري ضمن حزمة الوثائق النظامية. إجراء المتنافس: التحقق من صلاحية السجل التجاري وإرفاق نسخة إلكترونية واضحة. موقع الاستجابة: ملف العرض الفني — قسم الوثائق النظامية — المرفق رقم 1. اسم الملف: 01_السجل_التجاري.pdf. المالك: إدارة الشؤون القانونية. الأولوية: حرجة — شرط استبعاد.</w:t>
            </w:r>
          </w:p>
        </w:tc>
        <w:tc>
          <w:tcPr>
            <w:tcW w:type="dxa" w:w="1728"/>
          </w:tcPr>
          <w:p>
            <w:r>
              <w:rPr>
                <w:sz w:val="18"/>
              </w:rPr>
              <w:t>INTERNAL_PROOF_PLACEHOLDER — يلزم تأكيد صلاحية السجل التجاري من إدارة الشؤون القانونية.</w:t>
            </w:r>
          </w:p>
        </w:tc>
        <w:tc>
          <w:tcPr>
            <w:tcW w:type="dxa" w:w="1728"/>
          </w:tcPr>
          <w:p>
            <w:r>
              <w:rPr>
                <w:sz w:val="18"/>
              </w:rPr>
              <w:t>RFP Fact</w:t>
            </w:r>
          </w:p>
        </w:tc>
      </w:tr>
      <w:tr>
        <w:tc>
          <w:tcPr>
            <w:tcW w:type="dxa" w:w="1728"/>
          </w:tcPr>
          <w:p>
            <w:r>
              <w:rPr>
                <w:sz w:val="18"/>
              </w:rPr>
              <w:t>COMP-003</w:t>
            </w:r>
          </w:p>
        </w:tc>
        <w:tc>
          <w:tcPr>
            <w:tcW w:type="dxa" w:w="1728"/>
          </w:tcPr>
          <w:p>
            <w:r>
              <w:rPr>
                <w:sz w:val="18"/>
              </w:rPr>
              <w:t>HR-L1-003 / CR-3: شهادة الزكاة سارية المفعول.</w:t>
            </w:r>
          </w:p>
        </w:tc>
        <w:tc>
          <w:tcPr>
            <w:tcW w:type="dxa" w:w="1728"/>
          </w:tcPr>
          <w:p>
            <w:r>
              <w:rPr>
                <w:sz w:val="18"/>
              </w:rPr>
              <w:t>تُرفق شهادة الزكاة السارية ضمن حزمة الوثائق النظامية. إجراء المتنافس: استخراج شهادة زكاة سارية من هيئة الزكاة والضريبة والجمارك وإرفاقها. موقع الاستجابة: ملف العرض الفني — قسم الوثائق النظامية — المرفق رقم 2. اسم الملف: 02_شهادة_الزكاة.pdf. المالك: إدارة المالية. الأولوية: حرجة — شرط استبعاد.</w:t>
            </w:r>
          </w:p>
        </w:tc>
        <w:tc>
          <w:tcPr>
            <w:tcW w:type="dxa" w:w="1728"/>
          </w:tcPr>
          <w:p>
            <w:r>
              <w:rPr>
                <w:sz w:val="18"/>
              </w:rPr>
              <w:t>INTERNAL_PROOF_PLACEHOLDER — يلزم تأكيد صلاحية شهادة الزكاة من إدارة المالية.</w:t>
            </w:r>
          </w:p>
        </w:tc>
        <w:tc>
          <w:tcPr>
            <w:tcW w:type="dxa" w:w="1728"/>
          </w:tcPr>
          <w:p>
            <w:r>
              <w:rPr>
                <w:sz w:val="18"/>
              </w:rPr>
              <w:t>RFP Fact</w:t>
            </w:r>
          </w:p>
        </w:tc>
      </w:tr>
      <w:tr>
        <w:tc>
          <w:tcPr>
            <w:tcW w:type="dxa" w:w="1728"/>
          </w:tcPr>
          <w:p>
            <w:r>
              <w:rPr>
                <w:sz w:val="18"/>
              </w:rPr>
              <w:t>COMP-004</w:t>
            </w:r>
          </w:p>
        </w:tc>
        <w:tc>
          <w:tcPr>
            <w:tcW w:type="dxa" w:w="1728"/>
          </w:tcPr>
          <w:p>
            <w:r>
              <w:rPr>
                <w:sz w:val="18"/>
              </w:rPr>
              <w:t>HR-L1-004 / CR-4: شهادة اشتراك الغرفة التجارية سارية المفعول.</w:t>
            </w:r>
          </w:p>
        </w:tc>
        <w:tc>
          <w:tcPr>
            <w:tcW w:type="dxa" w:w="1728"/>
          </w:tcPr>
          <w:p>
            <w:r>
              <w:rPr>
                <w:sz w:val="18"/>
              </w:rPr>
              <w:t>تُرفق شهادة اشتراك الغرفة التجارية السارية ضمن حزمة الوثائق النظامية. إجراء المتنافس: التحقق من صلاحية الاشتراك وإرفاق نسخة إلكترونية. موقع الاستجابة: ملف العرض الفني — قسم الوثائق النظامية — المرفق رقم 3. اسم الملف: 03_الغرفة_التجارية.pdf. المالك: إدارة الشؤون المؤسسية. الأولوية: حرجة — شرط استبعاد.</w:t>
            </w:r>
          </w:p>
        </w:tc>
        <w:tc>
          <w:tcPr>
            <w:tcW w:type="dxa" w:w="1728"/>
          </w:tcPr>
          <w:p>
            <w:r>
              <w:rPr>
                <w:sz w:val="18"/>
              </w:rPr>
              <w:t>INTERNAL_PROOF_PLACEHOLDER — يلزم تأكيد صلاحية شهادة الغرفة من إدارة الشؤون المؤسسية.</w:t>
            </w:r>
          </w:p>
        </w:tc>
        <w:tc>
          <w:tcPr>
            <w:tcW w:type="dxa" w:w="1728"/>
          </w:tcPr>
          <w:p>
            <w:r>
              <w:rPr>
                <w:sz w:val="18"/>
              </w:rPr>
              <w:t>RFP Fact</w:t>
            </w:r>
          </w:p>
        </w:tc>
      </w:tr>
      <w:tr>
        <w:tc>
          <w:tcPr>
            <w:tcW w:type="dxa" w:w="1728"/>
          </w:tcPr>
          <w:p>
            <w:r>
              <w:rPr>
                <w:sz w:val="18"/>
              </w:rPr>
              <w:t>COMP-005</w:t>
            </w:r>
          </w:p>
        </w:tc>
        <w:tc>
          <w:tcPr>
            <w:tcW w:type="dxa" w:w="1728"/>
          </w:tcPr>
          <w:p>
            <w:r>
              <w:rPr>
                <w:sz w:val="18"/>
              </w:rPr>
              <w:t>HR-L1-005 / CR-5: شهادة السعودة سارية المفعول.</w:t>
            </w:r>
          </w:p>
        </w:tc>
        <w:tc>
          <w:tcPr>
            <w:tcW w:type="dxa" w:w="1728"/>
          </w:tcPr>
          <w:p>
            <w:r>
              <w:rPr>
                <w:sz w:val="18"/>
              </w:rPr>
              <w:t>تُرفق شهادة السعودة السارية ضمن حزمة الوثائق النظامية. إجراء المتنافس: استخراج شهادة سعودة سارية من وزارة الموارد البشرية وإرفاقها. موقع الاستجابة: ملف العرض الفني — قسم الوثائق النظامية — المرفق رقم 4. اسم الملف: 04_شهادة_السعودة.pdf. المالك: إدارة الموارد البشرية. الأولوية: حرجة — شرط استبعاد.</w:t>
            </w:r>
          </w:p>
        </w:tc>
        <w:tc>
          <w:tcPr>
            <w:tcW w:type="dxa" w:w="1728"/>
          </w:tcPr>
          <w:p>
            <w:r>
              <w:rPr>
                <w:sz w:val="18"/>
              </w:rPr>
              <w:t>INTERNAL_PROOF_PLACEHOLDER — يلزم تأكيد صلاحية شهادة السعودة من إدارة الموارد البشرية.</w:t>
            </w:r>
          </w:p>
        </w:tc>
        <w:tc>
          <w:tcPr>
            <w:tcW w:type="dxa" w:w="1728"/>
          </w:tcPr>
          <w:p>
            <w:r>
              <w:rPr>
                <w:sz w:val="18"/>
              </w:rPr>
              <w:t>RFP Fact</w:t>
            </w:r>
          </w:p>
        </w:tc>
      </w:tr>
      <w:tr>
        <w:tc>
          <w:tcPr>
            <w:tcW w:type="dxa" w:w="1728"/>
          </w:tcPr>
          <w:p>
            <w:r>
              <w:rPr>
                <w:sz w:val="18"/>
              </w:rPr>
              <w:t>COMP-006</w:t>
            </w:r>
          </w:p>
        </w:tc>
        <w:tc>
          <w:tcPr>
            <w:tcW w:type="dxa" w:w="1728"/>
          </w:tcPr>
          <w:p>
            <w:r>
              <w:rPr>
                <w:sz w:val="18"/>
              </w:rPr>
              <w:t>CR-6: الالتزام بلائحة تنظيم تعارض المصالح والإفصاح كتابةً عن أي حالة تعارض في المصالح.</w:t>
            </w:r>
          </w:p>
        </w:tc>
        <w:tc>
          <w:tcPr>
            <w:tcW w:type="dxa" w:w="1728"/>
          </w:tcPr>
          <w:p>
            <w:r>
              <w:rPr>
                <w:sz w:val="18"/>
              </w:rPr>
              <w:t>يُعدّ إقرار كتابي بالالتزام بلائحة تنظيم تعارض المصالح مع الإفصاح عن أي حالات تعارض قائمة أو محتملة، ويُوقّع من الممثل النظامي. إجراء المتنافس: إعداد نموذج الإفصاح وتوقيعه. موقع الاستجابة: خطاب التقديم — فقرة الإقرارات + مرفق مستقل. اسم الملف: 05_إفصاح_تعارض_المصالح.pdf. المالك: إدارة الشؤون القانونية. الأولوية: حرجة.</w:t>
            </w:r>
          </w:p>
        </w:tc>
        <w:tc>
          <w:tcPr>
            <w:tcW w:type="dxa" w:w="1728"/>
          </w:tcPr>
          <w:p>
            <w:r>
              <w:rPr>
                <w:sz w:val="18"/>
              </w:rPr>
              <w:t>INTERNAL_PROOF_PLACEHOLDER — يلزم إعداد نموذج الإفصاح من إدارة الشؤون القانونية.</w:t>
            </w:r>
          </w:p>
        </w:tc>
        <w:tc>
          <w:tcPr>
            <w:tcW w:type="dxa" w:w="1728"/>
          </w:tcPr>
          <w:p>
            <w:r>
              <w:rPr>
                <w:sz w:val="18"/>
              </w:rPr>
              <w:t>RFP Fact</w:t>
            </w:r>
          </w:p>
        </w:tc>
      </w:tr>
      <w:tr>
        <w:tc>
          <w:tcPr>
            <w:tcW w:type="dxa" w:w="1728"/>
          </w:tcPr>
          <w:p>
            <w:r>
              <w:rPr>
                <w:sz w:val="18"/>
              </w:rPr>
              <w:t>COMP-007</w:t>
            </w:r>
          </w:p>
        </w:tc>
        <w:tc>
          <w:tcPr>
            <w:tcW w:type="dxa" w:w="1728"/>
          </w:tcPr>
          <w:p>
            <w:r>
              <w:rPr>
                <w:sz w:val="18"/>
              </w:rPr>
              <w:t>CR-7: الالتزام بقواعد السلوك المهني وأخلاقيات المهنة.</w:t>
            </w:r>
          </w:p>
        </w:tc>
        <w:tc>
          <w:tcPr>
            <w:tcW w:type="dxa" w:w="1728"/>
          </w:tcPr>
          <w:p>
            <w:r>
              <w:rPr>
                <w:sz w:val="18"/>
              </w:rPr>
              <w:t>يُعدّ إقرار كتابي بالالتزام بقواعد السلوك المهني وأخلاقيات المهنة، مع الإشارة إلى ميثاق أخلاقيات المهنة الخاص بالشركة. إجراء المتنافس: إدراج فقرة الإقرار في خطاب التقديم. موقع الاستجابة: خطاب التقديم — فقرة الإقرارات. المالك: إدارة الشؤون القانونية. الأولوية: عالية.</w:t>
            </w:r>
          </w:p>
        </w:tc>
        <w:tc>
          <w:tcPr>
            <w:tcW w:type="dxa" w:w="1728"/>
          </w:tcPr>
          <w:p>
            <w:r>
              <w:rPr>
                <w:sz w:val="18"/>
              </w:rPr>
              <w:t>INTERNAL_PROOF_PLACEHOLDER — يلزم إرفاق ميثاق أخلاقيات المهنة من إدارة الشؤون القانونية.</w:t>
            </w:r>
          </w:p>
        </w:tc>
        <w:tc>
          <w:tcPr>
            <w:tcW w:type="dxa" w:w="1728"/>
          </w:tcPr>
          <w:p>
            <w:r>
              <w:rPr>
                <w:sz w:val="18"/>
              </w:rPr>
              <w:t>RFP Fact</w:t>
            </w:r>
          </w:p>
        </w:tc>
      </w:tr>
      <w:tr>
        <w:tc>
          <w:tcPr>
            <w:tcW w:type="dxa" w:w="1728"/>
          </w:tcPr>
          <w:p>
            <w:r>
              <w:rPr>
                <w:sz w:val="18"/>
              </w:rPr>
              <w:t>COMP-008</w:t>
            </w:r>
          </w:p>
        </w:tc>
        <w:tc>
          <w:tcPr>
            <w:tcW w:type="dxa" w:w="1728"/>
          </w:tcPr>
          <w:p>
            <w:r>
              <w:rPr>
                <w:sz w:val="18"/>
              </w:rPr>
              <w:t>HR-L1-008 / CR-8: الالتزام بالسرية وعدم إفشاء معلومات المنافسة إلا بموافقة كتابية.</w:t>
            </w:r>
          </w:p>
        </w:tc>
        <w:tc>
          <w:tcPr>
            <w:tcW w:type="dxa" w:w="1728"/>
          </w:tcPr>
          <w:p>
            <w:r>
              <w:rPr>
                <w:sz w:val="18"/>
              </w:rPr>
              <w:t>يُعدّ تعهد كتابي بالسرية وعدم الإفشاء يشمل جميع أعضاء فريق العمل المقترح، مع آلية إلزام تعاقدية لأي مستشارين فرعيين. إجراء المتنافس: إعداد نموذج تعهد السرية وتوقيعه من الممثل النظامي. موقع الاستجابة: خطاب التقديم — فقرة تعهد السرية + مرفق مستقل. اسم الملف: 06_تعهد_السرية.pdf. المالك: إدارة الشؤون القانونية. الأولوية: حرجة — شرط استبعاد.</w:t>
            </w:r>
          </w:p>
        </w:tc>
        <w:tc>
          <w:tcPr>
            <w:tcW w:type="dxa" w:w="1728"/>
          </w:tcPr>
          <w:p>
            <w:r>
              <w:rPr>
                <w:sz w:val="18"/>
              </w:rPr>
              <w:t>INTERNAL_PROOF_PLACEHOLDER — يلزم إعداد نموذج تعهد السرية من إدارة الشؤون القانونية.</w:t>
            </w:r>
          </w:p>
        </w:tc>
        <w:tc>
          <w:tcPr>
            <w:tcW w:type="dxa" w:w="1728"/>
          </w:tcPr>
          <w:p>
            <w:r>
              <w:rPr>
                <w:sz w:val="18"/>
              </w:rPr>
              <w:t>RFP Fact</w:t>
            </w:r>
          </w:p>
        </w:tc>
      </w:tr>
      <w:tr>
        <w:tc>
          <w:tcPr>
            <w:tcW w:type="dxa" w:w="1728"/>
          </w:tcPr>
          <w:p>
            <w:r>
              <w:rPr>
                <w:sz w:val="18"/>
              </w:rPr>
              <w:t>COMP-009</w:t>
            </w:r>
          </w:p>
        </w:tc>
        <w:tc>
          <w:tcPr>
            <w:tcW w:type="dxa" w:w="1728"/>
          </w:tcPr>
          <w:p>
            <w:r>
              <w:rPr>
                <w:sz w:val="18"/>
              </w:rPr>
              <w:t>HR-L1-009 / CR-9: لا يُقبل تقديم العروض البديلة في هذه المنافسة.</w:t>
            </w:r>
          </w:p>
        </w:tc>
        <w:tc>
          <w:tcPr>
            <w:tcW w:type="dxa" w:w="1728"/>
          </w:tcPr>
          <w:p>
            <w:r>
              <w:rPr>
                <w:sz w:val="18"/>
              </w:rPr>
              <w:t>يُقدّم عرض واحد فقط دون أي بدائل، مع التزام كامل بالمواصفات والشروط الواردة في كراسة الشروط. إجراء المتنافس: إدراج إقرار صريح بعدم تقديم عروض بديلة في خطاب التقديم. موقع الاستجابة: خطاب التقديم — فقرة الإقرار بعدم تقديم عروض بديلة. المالك: مدير العرض. الأولوية: حرجة — شرط استبعاد.</w:t>
            </w:r>
          </w:p>
        </w:tc>
        <w:tc>
          <w:tcPr>
            <w:tcW w:type="dxa" w:w="1728"/>
          </w:tcPr>
          <w:p>
            <w:r>
              <w:rPr>
                <w:sz w:val="18"/>
              </w:rPr>
              <w:t>DIRECT_RFP_FACT — CR-9. التزام إجرائي لا يتطلب دليلًا إضافيًا.</w:t>
            </w:r>
          </w:p>
        </w:tc>
        <w:tc>
          <w:tcPr>
            <w:tcW w:type="dxa" w:w="1728"/>
          </w:tcPr>
          <w:p>
            <w:r>
              <w:rPr>
                <w:sz w:val="18"/>
              </w:rPr>
              <w:t>RFP Fact</w:t>
            </w:r>
          </w:p>
        </w:tc>
      </w:tr>
      <w:tr>
        <w:tc>
          <w:tcPr>
            <w:tcW w:type="dxa" w:w="1728"/>
          </w:tcPr>
          <w:p>
            <w:r>
              <w:rPr>
                <w:sz w:val="18"/>
              </w:rPr>
              <w:t>COMP-010</w:t>
            </w:r>
          </w:p>
        </w:tc>
        <w:tc>
          <w:tcPr>
            <w:tcW w:type="dxa" w:w="1728"/>
          </w:tcPr>
          <w:p>
            <w:r>
              <w:rPr>
                <w:sz w:val="18"/>
              </w:rPr>
              <w:t>HR-L1-016 / HR-L1-017: ضمان ابتدائي بنسبة 1% من إجمالي قيمة العرض، يُرفق أصل خطاب الضمان مع العرض.</w:t>
            </w:r>
          </w:p>
        </w:tc>
        <w:tc>
          <w:tcPr>
            <w:tcW w:type="dxa" w:w="1728"/>
          </w:tcPr>
          <w:p>
            <w:r>
              <w:rPr>
                <w:sz w:val="18"/>
              </w:rPr>
              <w:t>يُصدر خطاب ضمان ابتدائي من بنك معتمد بنسبة 1% من إجمالي قيمة العرض المالي. إجراء المتنافس: التنسيق مع البنك لإصدار خطاب الضمان بعد تحديد القيمة المالية النهائية. موقع الاستجابة: ملف العرض المالي — المرفق الأول. اسم الملف: 07_خطاب_الضمان_الابتدائي.pdf. المالك: إدارة المالية. الأولوية: حرجة — شرط استبعاد.</w:t>
            </w:r>
          </w:p>
        </w:tc>
        <w:tc>
          <w:tcPr>
            <w:tcW w:type="dxa" w:w="1728"/>
          </w:tcPr>
          <w:p>
            <w:r>
              <w:rPr>
                <w:sz w:val="18"/>
              </w:rPr>
              <w:t>INTERNAL_PROOF_PLACEHOLDER — يلزم تنسيق إصدار خطاب الضمان مع إدارة المالية بعد تحديد القيمة المالية النهائية.</w:t>
            </w:r>
          </w:p>
        </w:tc>
        <w:tc>
          <w:tcPr>
            <w:tcW w:type="dxa" w:w="1728"/>
          </w:tcPr>
          <w:p>
            <w:r>
              <w:rPr>
                <w:sz w:val="18"/>
              </w:rPr>
              <w:t>RFP Fact</w:t>
            </w:r>
          </w:p>
        </w:tc>
      </w:tr>
      <w:tr>
        <w:tc>
          <w:tcPr>
            <w:tcW w:type="dxa" w:w="1728"/>
          </w:tcPr>
          <w:p>
            <w:r>
              <w:rPr>
                <w:sz w:val="18"/>
              </w:rPr>
              <w:t>COMP-011</w:t>
            </w:r>
          </w:p>
        </w:tc>
        <w:tc>
          <w:tcPr>
            <w:tcW w:type="dxa" w:w="1728"/>
          </w:tcPr>
          <w:p>
            <w:r>
              <w:rPr>
                <w:sz w:val="18"/>
              </w:rPr>
              <w:t>HR-L1-011 / HR-L1-012 / HR-L1-014: تقديم العرض الفني والمالي في ملفين منفصلين عبر بوابة اكسبرو.</w:t>
            </w:r>
          </w:p>
        </w:tc>
        <w:tc>
          <w:tcPr>
            <w:tcW w:type="dxa" w:w="1728"/>
          </w:tcPr>
          <w:p>
            <w:r>
              <w:rPr>
                <w:sz w:val="18"/>
              </w:rPr>
              <w:t>يُقدّم العرض عبر بوابة اكسبرو الإلكترونية في ملفين منفصلين: الملف الأول (العرض الفني) والملف الثاني (العرض المالي + الضمان الابتدائي). إجراء المتنافس: التأكد من تسجيل الشركة في اكسبرو ورفع الملفين قبل الموعد النهائي. موقع الاستجابة: بوابة اكسبرو — حقل الملف الفني + حقل الملف المالي. المالك: مدير العرض. الأولوية: حرجة.</w:t>
            </w:r>
          </w:p>
        </w:tc>
        <w:tc>
          <w:tcPr>
            <w:tcW w:type="dxa" w:w="1728"/>
          </w:tcPr>
          <w:p>
            <w:r>
              <w:rPr>
                <w:sz w:val="18"/>
              </w:rPr>
              <w:t>INTERNAL_PROOF_PLACEHOLDER — يلزم تأكيد تسجيل الشركة في بوابة اكسبرو.</w:t>
            </w:r>
          </w:p>
        </w:tc>
        <w:tc>
          <w:tcPr>
            <w:tcW w:type="dxa" w:w="1728"/>
          </w:tcPr>
          <w:p>
            <w:r>
              <w:rPr>
                <w:sz w:val="18"/>
              </w:rPr>
              <w:t>RFP Fact</w:t>
            </w:r>
          </w:p>
        </w:tc>
      </w:tr>
      <w:tr>
        <w:tc>
          <w:tcPr>
            <w:tcW w:type="dxa" w:w="1728"/>
          </w:tcPr>
          <w:p>
            <w:r>
              <w:rPr>
                <w:sz w:val="18"/>
              </w:rPr>
              <w:t>COMP-012</w:t>
            </w:r>
          </w:p>
        </w:tc>
        <w:tc>
          <w:tcPr>
            <w:tcW w:type="dxa" w:w="1728"/>
          </w:tcPr>
          <w:p>
            <w:r>
              <w:rPr>
                <w:sz w:val="18"/>
              </w:rPr>
              <w:t>HR-L1-015: خطاب رسمي موقّع من مقدم العرض أو من يمثله نظامًا.</w:t>
            </w:r>
          </w:p>
        </w:tc>
        <w:tc>
          <w:tcPr>
            <w:tcW w:type="dxa" w:w="1728"/>
          </w:tcPr>
          <w:p>
            <w:r>
              <w:rPr>
                <w:sz w:val="18"/>
              </w:rPr>
              <w:t>يُعدّ خطاب رسمي على ورق الشركة الرسمي موقّع من الممثل النظامي المعتمد، يتضمن جميع الإقرارات المطلوبة (تعارض المصالح، السلوك المهني، السرية، عدم تقديم عروض بديلة، قبول إعادة التسعير). إجراء المتنافس: إعداد الخطاب وتوقيعه. موقع الاستجابة: الصفحة الأولى من ملف العرض الفني. اسم الملف: 08_خطاب_التقديم.pdf. المالك: إدارة الشؤون القانونية / الإدارة العليا. الأولوية: حرجة.</w:t>
            </w:r>
          </w:p>
        </w:tc>
        <w:tc>
          <w:tcPr>
            <w:tcW w:type="dxa" w:w="1728"/>
          </w:tcPr>
          <w:p>
            <w:r>
              <w:rPr>
                <w:sz w:val="18"/>
              </w:rPr>
              <w:t>INTERNAL_PROOF_PLACEHOLDER — يلزم تحديد الموقّع المعتمد من الإدارة العليا.</w:t>
            </w:r>
          </w:p>
        </w:tc>
        <w:tc>
          <w:tcPr>
            <w:tcW w:type="dxa" w:w="1728"/>
          </w:tcPr>
          <w:p>
            <w:r>
              <w:rPr>
                <w:sz w:val="18"/>
              </w:rPr>
              <w:t>RFP Fact</w:t>
            </w:r>
          </w:p>
        </w:tc>
      </w:tr>
      <w:tr>
        <w:tc>
          <w:tcPr>
            <w:tcW w:type="dxa" w:w="1728"/>
          </w:tcPr>
          <w:p>
            <w:r>
              <w:rPr>
                <w:sz w:val="18"/>
              </w:rPr>
              <w:t>COMP-013</w:t>
            </w:r>
          </w:p>
        </w:tc>
        <w:tc>
          <w:tcPr>
            <w:tcW w:type="dxa" w:w="1728"/>
          </w:tcPr>
          <w:p>
            <w:r>
              <w:rPr>
                <w:sz w:val="18"/>
              </w:rPr>
              <w:t>HR-L1-018: وضع الضمان الابتدائي في ملف العرض المالي عند التقديم الإلكتروني.</w:t>
            </w:r>
          </w:p>
        </w:tc>
        <w:tc>
          <w:tcPr>
            <w:tcW w:type="dxa" w:w="1728"/>
          </w:tcPr>
          <w:p>
            <w:r>
              <w:rPr>
                <w:sz w:val="18"/>
              </w:rPr>
              <w:t>يُرفق أصل خطاب الضمان الابتدائي (نسخة إلكترونية) ضمن ملف العرض المالي عند التقديم عبر اكسبرو. إجراء المتنافس: إدراج الضمان كأول مرفق في ملف العرض المالي. موقع الاستجابة: ملف العرض المالي — المرفق الأول. المالك: مدير العرض. الأولوية: حرجة.</w:t>
            </w:r>
          </w:p>
        </w:tc>
        <w:tc>
          <w:tcPr>
            <w:tcW w:type="dxa" w:w="1728"/>
          </w:tcPr>
          <w:p>
            <w:r>
              <w:rPr>
                <w:sz w:val="18"/>
              </w:rPr>
              <w:t>DIRECT_RFP_FACT — HR-L1-018. مرتبط بـ COMP-010.</w:t>
            </w:r>
          </w:p>
        </w:tc>
        <w:tc>
          <w:tcPr>
            <w:tcW w:type="dxa" w:w="1728"/>
          </w:tcPr>
          <w:p>
            <w:r>
              <w:rPr>
                <w:sz w:val="18"/>
              </w:rPr>
              <w:t>RFP Fact</w:t>
            </w:r>
          </w:p>
        </w:tc>
      </w:tr>
      <w:tr>
        <w:tc>
          <w:tcPr>
            <w:tcW w:type="dxa" w:w="1728"/>
          </w:tcPr>
          <w:p>
            <w:r>
              <w:rPr>
                <w:sz w:val="18"/>
              </w:rPr>
              <w:t>COMP-014</w:t>
            </w:r>
          </w:p>
        </w:tc>
        <w:tc>
          <w:tcPr>
            <w:tcW w:type="dxa" w:w="1728"/>
          </w:tcPr>
          <w:p>
            <w:r>
              <w:rPr>
                <w:sz w:val="18"/>
              </w:rPr>
              <w:t>D-1 / SI-1: تقييم الوضع الراهن لبرامج اليونسكو في أخلاقيات الذكاء الاصطناعي وبرامج الأبحاث الدولية — تحليل الأداء، قياس النضج، تحديد الفجوات، التوصيات، خارطة الطريق، المؤشرات.</w:t>
            </w:r>
          </w:p>
        </w:tc>
        <w:tc>
          <w:tcPr>
            <w:tcW w:type="dxa" w:w="1728"/>
          </w:tcPr>
          <w:p>
            <w:r>
              <w:rPr>
                <w:sz w:val="18"/>
              </w:rPr>
              <w:t>تقييم متعدد الأبعاد يشمل: (1) تحليل الأداء باستخدام مؤشرات اليونسكو الدورية، (2) قياس النضج عبر نموذج TOE ذي الأبعاد الثمانية، (3) تحديد الفجوات وفرص التطوير، (4) توصيات عملية مع أولويات التدخل، (5) خارطة طريق تنفيذية، (6) مؤشرات متابعة وتقييم مبنية على نظرية التغيير. موقع الاستجابة: القسم الفني — المنهجية (المرحلة 1). المالك: قائد المشروع.</w:t>
            </w:r>
          </w:p>
        </w:tc>
        <w:tc>
          <w:tcPr>
            <w:tcW w:type="dxa" w:w="1728"/>
          </w:tcPr>
          <w:p>
            <w:r>
              <w:rPr>
                <w:sz w:val="18"/>
              </w:rPr>
              <w:t>EXT-007 (TOE)، EXT-003 (مؤشرات اليونسكو)، EXT-008 (WHO)، EXT-012 (نظرية التغيير). فجوة: يلزم من Engine 2 تقديم مشاريع سابقة في تقييم البرامج الدولية.</w:t>
            </w:r>
          </w:p>
        </w:tc>
        <w:tc>
          <w:tcPr>
            <w:tcW w:type="dxa" w:w="1728"/>
          </w:tcPr>
          <w:p>
            <w:r>
              <w:rPr>
                <w:sz w:val="18"/>
              </w:rPr>
              <w:t>RFP Fact</w:t>
            </w:r>
          </w:p>
        </w:tc>
      </w:tr>
      <w:tr>
        <w:tc>
          <w:tcPr>
            <w:tcW w:type="dxa" w:w="1728"/>
          </w:tcPr>
          <w:p>
            <w:r>
              <w:rPr>
                <w:sz w:val="18"/>
              </w:rPr>
              <w:t>COMP-015</w:t>
            </w:r>
          </w:p>
        </w:tc>
        <w:tc>
          <w:tcPr>
            <w:tcW w:type="dxa" w:w="1728"/>
          </w:tcPr>
          <w:p>
            <w:r>
              <w:rPr>
                <w:sz w:val="18"/>
              </w:rPr>
              <w:t>D-2 / SI-2: تطوير برامج اليونسكو في أبحاث وأخلاقيات الذكاء الاصطناعي — مبادرات، أطر عمل، نطاق العمل، المخرجات، آليات التعاون، ربط بأهداف التنمية المستدامة.</w:t>
            </w:r>
          </w:p>
        </w:tc>
        <w:tc>
          <w:tcPr>
            <w:tcW w:type="dxa" w:w="1728"/>
          </w:tcPr>
          <w:p>
            <w:r>
              <w:rPr>
                <w:sz w:val="18"/>
              </w:rPr>
              <w:t>إطار تطوير متكامل يشمل: (1) مبادرات بحثية مبنية على نتائج التقييم، (2) أطر عمل تنفيذية باستخدام منطق CISF، (3) تحديد نطاق العمل والمخرجات لكل مبادرة، (4) آليات تعاون دولية مبنية على نماذج ترجمة المعرفة، (5) ربط منهجي بأهداف التنمية المستدامة عبر نهج B4SDGs. موقع الاستجابة: القسم الفني — المنهجية (المرحلة 2). المالك: قائد المشروع.</w:t>
            </w:r>
          </w:p>
        </w:tc>
        <w:tc>
          <w:tcPr>
            <w:tcW w:type="dxa" w:w="1728"/>
          </w:tcPr>
          <w:p>
            <w:r>
              <w:rPr>
                <w:sz w:val="18"/>
              </w:rPr>
              <w:t>EXT-004 (CISF)، EXT-002 (اليونسكو)، EXT-013 (B4SDGs)، EXT-015 (ترجمة المعرفة). فجوة: يلزم من Engine 2 تقديم مشاريع سابقة في تصميم برامج التعاون الدولي.</w:t>
            </w:r>
          </w:p>
        </w:tc>
        <w:tc>
          <w:tcPr>
            <w:tcW w:type="dxa" w:w="1728"/>
          </w:tcPr>
          <w:p>
            <w:r>
              <w:rPr>
                <w:sz w:val="18"/>
              </w:rPr>
              <w:t>RFP Fact</w:t>
            </w:r>
          </w:p>
        </w:tc>
      </w:tr>
      <w:tr>
        <w:tc>
          <w:tcPr>
            <w:tcW w:type="dxa" w:w="1728"/>
          </w:tcPr>
          <w:p>
            <w:r>
              <w:rPr>
                <w:sz w:val="18"/>
              </w:rPr>
              <w:t>COMP-016</w:t>
            </w:r>
          </w:p>
        </w:tc>
        <w:tc>
          <w:tcPr>
            <w:tcW w:type="dxa" w:w="1728"/>
          </w:tcPr>
          <w:p>
            <w:r>
              <w:rPr>
                <w:sz w:val="18"/>
              </w:rPr>
              <w:t>D-3 / SI-3: التدريب ونقل المعرفة لفريق عمل الجهة الحكومية — التدريب على رأس العمل، العمل جنبًا إلى جنب، ورش العمل التدريبية.</w:t>
            </w:r>
          </w:p>
        </w:tc>
        <w:tc>
          <w:tcPr>
            <w:tcW w:type="dxa" w:w="1728"/>
          </w:tcPr>
          <w:p>
            <w:r>
              <w:rPr>
                <w:sz w:val="18"/>
              </w:rPr>
              <w:t>برنامج نقل معرفة عبر إطار APQC ذي الخطوات الأربع يشمل: (1) تقييم كفاءات قبلي لفريق سدايا، (2) تدريب على رأس العمل والعمل جنبًا إلى جنب خلال مراحل التقييم والتطوير، (3) ورش عمل تدريبية متخصصة، (4) تقييم بعدي لقياس الأثر، (5) تأسيس فريق مُقيّمين داخليين لضمان الاستدامة. موقع الاستجابة: القسم الفني — المنهجية (المرحلة 3). المالك: قائد المشروع.</w:t>
            </w:r>
          </w:p>
        </w:tc>
        <w:tc>
          <w:tcPr>
            <w:tcW w:type="dxa" w:w="1728"/>
          </w:tcPr>
          <w:p>
            <w:r>
              <w:rPr>
                <w:sz w:val="18"/>
              </w:rPr>
              <w:t>EXT-006 (APQC)، EXT-009 (تدريب مبني على الكفاءات)، EXT-014 (مُقيّمين داخليين). فجوة: يلزم من Engine 2 تقديم مشاريع سابقة في نقل المعرفة وبناء القدرات.</w:t>
            </w:r>
          </w:p>
        </w:tc>
        <w:tc>
          <w:tcPr>
            <w:tcW w:type="dxa" w:w="1728"/>
          </w:tcPr>
          <w:p>
            <w:r>
              <w:rPr>
                <w:sz w:val="18"/>
              </w:rPr>
              <w:t>RFP Fact</w:t>
            </w:r>
          </w:p>
        </w:tc>
      </w:tr>
      <w:tr>
        <w:tc>
          <w:tcPr>
            <w:tcW w:type="dxa" w:w="1728"/>
          </w:tcPr>
          <w:p>
            <w:r>
              <w:rPr>
                <w:sz w:val="18"/>
              </w:rPr>
              <w:t>COMP-017</w:t>
            </w:r>
          </w:p>
        </w:tc>
        <w:tc>
          <w:tcPr>
            <w:tcW w:type="dxa" w:w="1728"/>
          </w:tcPr>
          <w:p>
            <w:r>
              <w:rPr>
                <w:sz w:val="18"/>
              </w:rPr>
              <w:t>HR-L2-004: إذا رفض المتنافس إعادة التسعير يُستبعد من المنافسة.</w:t>
            </w:r>
          </w:p>
        </w:tc>
        <w:tc>
          <w:tcPr>
            <w:tcW w:type="dxa" w:w="1728"/>
          </w:tcPr>
          <w:p>
            <w:r>
              <w:rPr>
                <w:sz w:val="18"/>
              </w:rPr>
              <w:t>إقرار صريح في خطاب التقديم بالعلم بقاعدة إعادة التسعير والالتزام بالاستجابة لأي طلب إعادة تسعير من الجهة. إجراء المتنافس: إدراج فقرة إقرار صريحة في خطاب التقديم. يُبنى التسعير بهيكل مرن يسمح بالاستجابة لطلبات إعادة التسعير دون المساس بجودة التنفيذ. موقع الاستجابة: خطاب التقديم — فقرة الإقرار بقبول إعادة التسعير + هيكل التسعير في العرض المالي. المالك: مدير العرض + إدارة المالية. الأولوية: حرجة — شرط استبعاد.</w:t>
            </w:r>
          </w:p>
        </w:tc>
        <w:tc>
          <w:tcPr>
            <w:tcW w:type="dxa" w:w="1728"/>
          </w:tcPr>
          <w:p>
            <w:r>
              <w:rPr>
                <w:sz w:val="18"/>
              </w:rPr>
              <w:t>DIRECT_RFP_FACT — HR-L2-004. التزام إجرائي يتطلب إقرارًا صريحًا في خطاب التقديم.</w:t>
            </w:r>
          </w:p>
        </w:tc>
        <w:tc>
          <w:tcPr>
            <w:tcW w:type="dxa" w:w="1728"/>
          </w:tcPr>
          <w:p>
            <w:r>
              <w:rPr>
                <w:sz w:val="18"/>
              </w:rPr>
              <w:t>RFP Fact</w:t>
            </w:r>
          </w:p>
        </w:tc>
      </w:tr>
    </w:tbl>
    <w:p/>
    <w:p>
      <w:pPr>
        <w:pStyle w:val="Heading3"/>
      </w:pPr>
      <w:r>
        <w:t>Explicit RFP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Claim</w:t>
            </w:r>
          </w:p>
        </w:tc>
        <w:tc>
          <w:tcPr>
            <w:tcW w:type="dxa" w:w="2160"/>
          </w:tcPr>
          <w:p>
            <w:r>
              <w:rPr>
                <w:b/>
                <w:sz w:val="18"/>
              </w:rPr>
              <w:t>Classification</w:t>
            </w:r>
          </w:p>
        </w:tc>
        <w:tc>
          <w:tcPr>
            <w:tcW w:type="dxa" w:w="2160"/>
          </w:tcPr>
          <w:p>
            <w:r>
              <w:rPr>
                <w:b/>
                <w:sz w:val="18"/>
              </w:rPr>
              <w:t>Basis</w:t>
            </w:r>
          </w:p>
        </w:tc>
        <w:tc>
          <w:tcPr>
            <w:tcW w:type="dxa" w:w="2160"/>
          </w:tcPr>
          <w:p>
            <w:r>
              <w:rPr>
                <w:b/>
                <w:sz w:val="18"/>
              </w:rPr>
              <w:t>Confidence</w:t>
            </w:r>
          </w:p>
        </w:tc>
      </w:tr>
      <w:tr>
        <w:tc>
          <w:tcPr>
            <w:tcW w:type="dxa" w:w="2160"/>
          </w:tcPr>
          <w:p>
            <w:r>
              <w:rPr>
                <w:sz w:val="18"/>
              </w:rPr>
              <w:t>يجب أن تقدم العروض باللغة العربية مع إمكانية تقديم بعض الوثائق بلغة أخرى إلى جانب العربية، وفي حال التعارض يُؤخذ بالنص العربي.</w:t>
            </w:r>
          </w:p>
        </w:tc>
        <w:tc>
          <w:tcPr>
            <w:tcW w:type="dxa" w:w="2160"/>
          </w:tcPr>
          <w:p>
            <w:r>
              <w:rPr>
                <w:sz w:val="18"/>
              </w:rPr>
              <w:t>RFP Fact</w:t>
            </w:r>
          </w:p>
        </w:tc>
        <w:tc>
          <w:tcPr>
            <w:tcW w:type="dxa" w:w="2160"/>
          </w:tcPr>
          <w:p>
            <w:r>
              <w:rPr>
                <w:sz w:val="18"/>
              </w:rPr>
              <w:t>CR-1 / HR-L1-001 — نص صريح في كراسة الشروط والمواصفات بشأن لغة التقديم</w:t>
            </w:r>
          </w:p>
        </w:tc>
        <w:tc>
          <w:tcPr>
            <w:tcW w:type="dxa" w:w="2160"/>
          </w:tcPr>
          <w:p>
            <w:r>
              <w:rPr>
                <w:sz w:val="18"/>
              </w:rPr>
              <w:t>high</w:t>
            </w:r>
          </w:p>
        </w:tc>
      </w:tr>
      <w:tr>
        <w:tc>
          <w:tcPr>
            <w:tcW w:type="dxa" w:w="2160"/>
          </w:tcPr>
          <w:p>
            <w:r>
              <w:rPr>
                <w:sz w:val="18"/>
              </w:rPr>
              <w:t>يُشترط تقديم سجل تجاري ساري المفعول.</w:t>
            </w:r>
          </w:p>
        </w:tc>
        <w:tc>
          <w:tcPr>
            <w:tcW w:type="dxa" w:w="2160"/>
          </w:tcPr>
          <w:p>
            <w:r>
              <w:rPr>
                <w:sz w:val="18"/>
              </w:rPr>
              <w:t>RFP Fact</w:t>
            </w:r>
          </w:p>
        </w:tc>
        <w:tc>
          <w:tcPr>
            <w:tcW w:type="dxa" w:w="2160"/>
          </w:tcPr>
          <w:p>
            <w:r>
              <w:rPr>
                <w:sz w:val="18"/>
              </w:rPr>
              <w:t>CR-2 / HR-L1-002 — متطلب إلزامي صريح في كراسة الشروط</w:t>
            </w:r>
          </w:p>
        </w:tc>
        <w:tc>
          <w:tcPr>
            <w:tcW w:type="dxa" w:w="2160"/>
          </w:tcPr>
          <w:p>
            <w:r>
              <w:rPr>
                <w:sz w:val="18"/>
              </w:rPr>
              <w:t>high</w:t>
            </w:r>
          </w:p>
        </w:tc>
      </w:tr>
      <w:tr>
        <w:tc>
          <w:tcPr>
            <w:tcW w:type="dxa" w:w="2160"/>
          </w:tcPr>
          <w:p>
            <w:r>
              <w:rPr>
                <w:sz w:val="18"/>
              </w:rPr>
              <w:t>يُشترط تقديم شهادة زكاة سارية المفعول.</w:t>
            </w:r>
          </w:p>
        </w:tc>
        <w:tc>
          <w:tcPr>
            <w:tcW w:type="dxa" w:w="2160"/>
          </w:tcPr>
          <w:p>
            <w:r>
              <w:rPr>
                <w:sz w:val="18"/>
              </w:rPr>
              <w:t>RFP Fact</w:t>
            </w:r>
          </w:p>
        </w:tc>
        <w:tc>
          <w:tcPr>
            <w:tcW w:type="dxa" w:w="2160"/>
          </w:tcPr>
          <w:p>
            <w:r>
              <w:rPr>
                <w:sz w:val="18"/>
              </w:rPr>
              <w:t>CR-3 / HR-L1-003 — متطلب إلزامي صريح في كراسة الشروط</w:t>
            </w:r>
          </w:p>
        </w:tc>
        <w:tc>
          <w:tcPr>
            <w:tcW w:type="dxa" w:w="2160"/>
          </w:tcPr>
          <w:p>
            <w:r>
              <w:rPr>
                <w:sz w:val="18"/>
              </w:rPr>
              <w:t>high</w:t>
            </w:r>
          </w:p>
        </w:tc>
      </w:tr>
      <w:tr>
        <w:tc>
          <w:tcPr>
            <w:tcW w:type="dxa" w:w="2160"/>
          </w:tcPr>
          <w:p>
            <w:r>
              <w:rPr>
                <w:sz w:val="18"/>
              </w:rPr>
              <w:t>يُشترط تقديم شهادة اشتراك الغرفة التجارية سارية المفعول.</w:t>
            </w:r>
          </w:p>
        </w:tc>
        <w:tc>
          <w:tcPr>
            <w:tcW w:type="dxa" w:w="2160"/>
          </w:tcPr>
          <w:p>
            <w:r>
              <w:rPr>
                <w:sz w:val="18"/>
              </w:rPr>
              <w:t>RFP Fact</w:t>
            </w:r>
          </w:p>
        </w:tc>
        <w:tc>
          <w:tcPr>
            <w:tcW w:type="dxa" w:w="2160"/>
          </w:tcPr>
          <w:p>
            <w:r>
              <w:rPr>
                <w:sz w:val="18"/>
              </w:rPr>
              <w:t>CR-4 / HR-L1-004 — متطلب إلزامي صريح في كراسة الشروط</w:t>
            </w:r>
          </w:p>
        </w:tc>
        <w:tc>
          <w:tcPr>
            <w:tcW w:type="dxa" w:w="2160"/>
          </w:tcPr>
          <w:p>
            <w:r>
              <w:rPr>
                <w:sz w:val="18"/>
              </w:rPr>
              <w:t>high</w:t>
            </w:r>
          </w:p>
        </w:tc>
      </w:tr>
      <w:tr>
        <w:tc>
          <w:tcPr>
            <w:tcW w:type="dxa" w:w="2160"/>
          </w:tcPr>
          <w:p>
            <w:r>
              <w:rPr>
                <w:sz w:val="18"/>
              </w:rPr>
              <w:t>يُشترط تقديم شهادة السعودة سارية المفعول.</w:t>
            </w:r>
          </w:p>
        </w:tc>
        <w:tc>
          <w:tcPr>
            <w:tcW w:type="dxa" w:w="2160"/>
          </w:tcPr>
          <w:p>
            <w:r>
              <w:rPr>
                <w:sz w:val="18"/>
              </w:rPr>
              <w:t>RFP Fact</w:t>
            </w:r>
          </w:p>
        </w:tc>
        <w:tc>
          <w:tcPr>
            <w:tcW w:type="dxa" w:w="2160"/>
          </w:tcPr>
          <w:p>
            <w:r>
              <w:rPr>
                <w:sz w:val="18"/>
              </w:rPr>
              <w:t>CR-5 / HR-L1-005 — متطلب إلزامي صريح في كراسة الشروط</w:t>
            </w:r>
          </w:p>
        </w:tc>
        <w:tc>
          <w:tcPr>
            <w:tcW w:type="dxa" w:w="2160"/>
          </w:tcPr>
          <w:p>
            <w:r>
              <w:rPr>
                <w:sz w:val="18"/>
              </w:rPr>
              <w:t>high</w:t>
            </w:r>
          </w:p>
        </w:tc>
      </w:tr>
      <w:tr>
        <w:tc>
          <w:tcPr>
            <w:tcW w:type="dxa" w:w="2160"/>
          </w:tcPr>
          <w:p>
            <w:r>
              <w:rPr>
                <w:sz w:val="18"/>
              </w:rPr>
              <w:t>الالتزام بلائحة تنظيم تعارض المصالح والإفصاح كتابةً عن أي حالة تعارض في المصالح.</w:t>
            </w:r>
          </w:p>
        </w:tc>
        <w:tc>
          <w:tcPr>
            <w:tcW w:type="dxa" w:w="2160"/>
          </w:tcPr>
          <w:p>
            <w:r>
              <w:rPr>
                <w:sz w:val="18"/>
              </w:rPr>
              <w:t>RFP Fact</w:t>
            </w:r>
          </w:p>
        </w:tc>
        <w:tc>
          <w:tcPr>
            <w:tcW w:type="dxa" w:w="2160"/>
          </w:tcPr>
          <w:p>
            <w:r>
              <w:rPr>
                <w:sz w:val="18"/>
              </w:rPr>
              <w:t>CR-6 — متطلب إلزامي صريح في كراسة الشروط</w:t>
            </w:r>
          </w:p>
        </w:tc>
        <w:tc>
          <w:tcPr>
            <w:tcW w:type="dxa" w:w="2160"/>
          </w:tcPr>
          <w:p>
            <w:r>
              <w:rPr>
                <w:sz w:val="18"/>
              </w:rPr>
              <w:t>high</w:t>
            </w:r>
          </w:p>
        </w:tc>
      </w:tr>
      <w:tr>
        <w:tc>
          <w:tcPr>
            <w:tcW w:type="dxa" w:w="2160"/>
          </w:tcPr>
          <w:p>
            <w:r>
              <w:rPr>
                <w:sz w:val="18"/>
              </w:rPr>
              <w:t>الالتزام بقواعد السلوك المهني وأخلاقيات المهنة.</w:t>
            </w:r>
          </w:p>
        </w:tc>
        <w:tc>
          <w:tcPr>
            <w:tcW w:type="dxa" w:w="2160"/>
          </w:tcPr>
          <w:p>
            <w:r>
              <w:rPr>
                <w:sz w:val="18"/>
              </w:rPr>
              <w:t>RFP Fact</w:t>
            </w:r>
          </w:p>
        </w:tc>
        <w:tc>
          <w:tcPr>
            <w:tcW w:type="dxa" w:w="2160"/>
          </w:tcPr>
          <w:p>
            <w:r>
              <w:rPr>
                <w:sz w:val="18"/>
              </w:rPr>
              <w:t>CR-7 — متطلب إلزامي صريح في كراسة الشروط</w:t>
            </w:r>
          </w:p>
        </w:tc>
        <w:tc>
          <w:tcPr>
            <w:tcW w:type="dxa" w:w="2160"/>
          </w:tcPr>
          <w:p>
            <w:r>
              <w:rPr>
                <w:sz w:val="18"/>
              </w:rPr>
              <w:t>high</w:t>
            </w:r>
          </w:p>
        </w:tc>
      </w:tr>
      <w:tr>
        <w:tc>
          <w:tcPr>
            <w:tcW w:type="dxa" w:w="2160"/>
          </w:tcPr>
          <w:p>
            <w:r>
              <w:rPr>
                <w:sz w:val="18"/>
              </w:rPr>
              <w:t>الالتزام بالسرية وعدم إفشاء معلومات المنافسة إلا بموافقة كتابية من الجهة.</w:t>
            </w:r>
          </w:p>
        </w:tc>
        <w:tc>
          <w:tcPr>
            <w:tcW w:type="dxa" w:w="2160"/>
          </w:tcPr>
          <w:p>
            <w:r>
              <w:rPr>
                <w:sz w:val="18"/>
              </w:rPr>
              <w:t>RFP Fact</w:t>
            </w:r>
          </w:p>
        </w:tc>
        <w:tc>
          <w:tcPr>
            <w:tcW w:type="dxa" w:w="2160"/>
          </w:tcPr>
          <w:p>
            <w:r>
              <w:rPr>
                <w:sz w:val="18"/>
              </w:rPr>
              <w:t>CR-8 / HR-L1-008 — متطلب إلزامي صريح في كراسة الشروط</w:t>
            </w:r>
          </w:p>
        </w:tc>
        <w:tc>
          <w:tcPr>
            <w:tcW w:type="dxa" w:w="2160"/>
          </w:tcPr>
          <w:p>
            <w:r>
              <w:rPr>
                <w:sz w:val="18"/>
              </w:rPr>
              <w:t>high</w:t>
            </w:r>
          </w:p>
        </w:tc>
      </w:tr>
      <w:tr>
        <w:tc>
          <w:tcPr>
            <w:tcW w:type="dxa" w:w="2160"/>
          </w:tcPr>
          <w:p>
            <w:r>
              <w:rPr>
                <w:sz w:val="18"/>
              </w:rPr>
              <w:t>لا يُقبل تقديم العروض البديلة في هذه المنافسة.</w:t>
            </w:r>
          </w:p>
        </w:tc>
        <w:tc>
          <w:tcPr>
            <w:tcW w:type="dxa" w:w="2160"/>
          </w:tcPr>
          <w:p>
            <w:r>
              <w:rPr>
                <w:sz w:val="18"/>
              </w:rPr>
              <w:t>RFP Fact</w:t>
            </w:r>
          </w:p>
        </w:tc>
        <w:tc>
          <w:tcPr>
            <w:tcW w:type="dxa" w:w="2160"/>
          </w:tcPr>
          <w:p>
            <w:r>
              <w:rPr>
                <w:sz w:val="18"/>
              </w:rPr>
              <w:t>CR-9 / HR-L1-009 — متطلب إلزامي صريح في كراسة الشروط</w:t>
            </w:r>
          </w:p>
        </w:tc>
        <w:tc>
          <w:tcPr>
            <w:tcW w:type="dxa" w:w="2160"/>
          </w:tcPr>
          <w:p>
            <w:r>
              <w:rPr>
                <w:sz w:val="18"/>
              </w:rPr>
              <w:t>high</w:t>
            </w:r>
          </w:p>
        </w:tc>
      </w:tr>
      <w:tr>
        <w:tc>
          <w:tcPr>
            <w:tcW w:type="dxa" w:w="2160"/>
          </w:tcPr>
          <w:p>
            <w:r>
              <w:rPr>
                <w:sz w:val="18"/>
              </w:rPr>
              <w:t>يُشترط تقديم ضمان ابتدائي بنسبة 1% من إجمالي قيمة العرض، ويُرفق أصل خطاب الضمان مع العرض.</w:t>
            </w:r>
          </w:p>
        </w:tc>
        <w:tc>
          <w:tcPr>
            <w:tcW w:type="dxa" w:w="2160"/>
          </w:tcPr>
          <w:p>
            <w:r>
              <w:rPr>
                <w:sz w:val="18"/>
              </w:rPr>
              <w:t>RFP Fact</w:t>
            </w:r>
          </w:p>
        </w:tc>
        <w:tc>
          <w:tcPr>
            <w:tcW w:type="dxa" w:w="2160"/>
          </w:tcPr>
          <w:p>
            <w:r>
              <w:rPr>
                <w:sz w:val="18"/>
              </w:rPr>
              <w:t>HR-L1-016 / HR-L1-017 — متطلب صريح في قسم متطلبات التقديم الإضافية</w:t>
            </w:r>
          </w:p>
        </w:tc>
        <w:tc>
          <w:tcPr>
            <w:tcW w:type="dxa" w:w="2160"/>
          </w:tcPr>
          <w:p>
            <w:r>
              <w:rPr>
                <w:sz w:val="18"/>
              </w:rPr>
              <w:t>high</w:t>
            </w:r>
          </w:p>
        </w:tc>
      </w:tr>
      <w:tr>
        <w:tc>
          <w:tcPr>
            <w:tcW w:type="dxa" w:w="2160"/>
          </w:tcPr>
          <w:p>
            <w:r>
              <w:rPr>
                <w:sz w:val="18"/>
              </w:rPr>
              <w:t>يُقدَّم العرض الفني والعرض المالي في مظروفين/ملفين منفصلين عبر البوابة الإلكترونية (اكسبرو).</w:t>
            </w:r>
          </w:p>
        </w:tc>
        <w:tc>
          <w:tcPr>
            <w:tcW w:type="dxa" w:w="2160"/>
          </w:tcPr>
          <w:p>
            <w:r>
              <w:rPr>
                <w:sz w:val="18"/>
              </w:rPr>
              <w:t>RFP Fact</w:t>
            </w:r>
          </w:p>
        </w:tc>
        <w:tc>
          <w:tcPr>
            <w:tcW w:type="dxa" w:w="2160"/>
          </w:tcPr>
          <w:p>
            <w:r>
              <w:rPr>
                <w:sz w:val="18"/>
              </w:rPr>
              <w:t>HR-L1-011 / HR-L1-012 / HR-L1-014 — متطلب صريح في قسم صيغة التقديم</w:t>
            </w:r>
          </w:p>
        </w:tc>
        <w:tc>
          <w:tcPr>
            <w:tcW w:type="dxa" w:w="2160"/>
          </w:tcPr>
          <w:p>
            <w:r>
              <w:rPr>
                <w:sz w:val="18"/>
              </w:rPr>
              <w:t>high</w:t>
            </w:r>
          </w:p>
        </w:tc>
      </w:tr>
      <w:tr>
        <w:tc>
          <w:tcPr>
            <w:tcW w:type="dxa" w:w="2160"/>
          </w:tcPr>
          <w:p>
            <w:r>
              <w:rPr>
                <w:sz w:val="18"/>
              </w:rPr>
              <w:t>يُقدَّم العرض والمرفقات تحت خطاب رسمي موقّع من مقدم العرض أو من يمثله نظامًا.</w:t>
            </w:r>
          </w:p>
        </w:tc>
        <w:tc>
          <w:tcPr>
            <w:tcW w:type="dxa" w:w="2160"/>
          </w:tcPr>
          <w:p>
            <w:r>
              <w:rPr>
                <w:sz w:val="18"/>
              </w:rPr>
              <w:t>RFP Fact</w:t>
            </w:r>
          </w:p>
        </w:tc>
        <w:tc>
          <w:tcPr>
            <w:tcW w:type="dxa" w:w="2160"/>
          </w:tcPr>
          <w:p>
            <w:r>
              <w:rPr>
                <w:sz w:val="18"/>
              </w:rPr>
              <w:t>HR-L1-015 — متطلب صريح في قسم متطلبات التقديم الإضافية</w:t>
            </w:r>
          </w:p>
        </w:tc>
        <w:tc>
          <w:tcPr>
            <w:tcW w:type="dxa" w:w="2160"/>
          </w:tcPr>
          <w:p>
            <w:r>
              <w:rPr>
                <w:sz w:val="18"/>
              </w:rPr>
              <w:t>high</w:t>
            </w:r>
          </w:p>
        </w:tc>
      </w:tr>
      <w:tr>
        <w:tc>
          <w:tcPr>
            <w:tcW w:type="dxa" w:w="2160"/>
          </w:tcPr>
          <w:p>
            <w:r>
              <w:rPr>
                <w:sz w:val="18"/>
              </w:rPr>
              <w:t>في حال تقديم العرض إلكترونيًا في ملفين، يُوضع الضمان الابتدائي في ملف العرض المالي.</w:t>
            </w:r>
          </w:p>
        </w:tc>
        <w:tc>
          <w:tcPr>
            <w:tcW w:type="dxa" w:w="2160"/>
          </w:tcPr>
          <w:p>
            <w:r>
              <w:rPr>
                <w:sz w:val="18"/>
              </w:rPr>
              <w:t>RFP Fact</w:t>
            </w:r>
          </w:p>
        </w:tc>
        <w:tc>
          <w:tcPr>
            <w:tcW w:type="dxa" w:w="2160"/>
          </w:tcPr>
          <w:p>
            <w:r>
              <w:rPr>
                <w:sz w:val="18"/>
              </w:rPr>
              <w:t>HR-L1-018 — متطلب صريح في قسم متطلبات التقديم الإضافية</w:t>
            </w:r>
          </w:p>
        </w:tc>
        <w:tc>
          <w:tcPr>
            <w:tcW w:type="dxa" w:w="2160"/>
          </w:tcPr>
          <w:p>
            <w:r>
              <w:rPr>
                <w:sz w:val="18"/>
              </w:rPr>
              <w:t>high</w:t>
            </w:r>
          </w:p>
        </w:tc>
      </w:tr>
      <w:tr>
        <w:tc>
          <w:tcPr>
            <w:tcW w:type="dxa" w:w="2160"/>
          </w:tcPr>
          <w:p>
            <w:r>
              <w:rPr>
                <w:sz w:val="18"/>
              </w:rPr>
              <w:t>المخرج الإلزامي D-1: تقييم الوضع الراهن لبرامج اليونسكو في أخلاقيات الذكاء الاصطناعي وبرامج الأبحاث الدولية، عبر تحليل الأداء وقياس مستوى النضج وتحديد الفجوات وفرص التطوير مع التوصيات وخارطة الطريق والمؤشرات.</w:t>
            </w:r>
          </w:p>
        </w:tc>
        <w:tc>
          <w:tcPr>
            <w:tcW w:type="dxa" w:w="2160"/>
          </w:tcPr>
          <w:p>
            <w:r>
              <w:rPr>
                <w:sz w:val="18"/>
              </w:rPr>
              <w:t>RFP Fact</w:t>
            </w:r>
          </w:p>
        </w:tc>
        <w:tc>
          <w:tcPr>
            <w:tcW w:type="dxa" w:w="2160"/>
          </w:tcPr>
          <w:p>
            <w:r>
              <w:rPr>
                <w:sz w:val="18"/>
              </w:rPr>
              <w:t>deliverables[D-1] / SI-1 — نص صريح في نطاق العمل والمخرجات الإلزامية</w:t>
            </w:r>
          </w:p>
        </w:tc>
        <w:tc>
          <w:tcPr>
            <w:tcW w:type="dxa" w:w="2160"/>
          </w:tcPr>
          <w:p>
            <w:r>
              <w:rPr>
                <w:sz w:val="18"/>
              </w:rPr>
              <w:t>high</w:t>
            </w:r>
          </w:p>
        </w:tc>
      </w:tr>
      <w:tr>
        <w:tc>
          <w:tcPr>
            <w:tcW w:type="dxa" w:w="2160"/>
          </w:tcPr>
          <w:p>
            <w:r>
              <w:rPr>
                <w:sz w:val="18"/>
              </w:rPr>
              <w:t>المخرج الإلزامي D-2: تطوير برامج اليونسكو في أبحاث الذكاء الاصطناعي وأخلاقياته بما يشمل تصميم مبادرات وأطر عمل وتحديد نطاق العمل والمخرجات وآليات التعاون وربط البرامج بأهداف التنمية المستدامة.</w:t>
            </w:r>
          </w:p>
        </w:tc>
        <w:tc>
          <w:tcPr>
            <w:tcW w:type="dxa" w:w="2160"/>
          </w:tcPr>
          <w:p>
            <w:r>
              <w:rPr>
                <w:sz w:val="18"/>
              </w:rPr>
              <w:t>RFP Fact</w:t>
            </w:r>
          </w:p>
        </w:tc>
        <w:tc>
          <w:tcPr>
            <w:tcW w:type="dxa" w:w="2160"/>
          </w:tcPr>
          <w:p>
            <w:r>
              <w:rPr>
                <w:sz w:val="18"/>
              </w:rPr>
              <w:t>deliverables[D-2] / SI-2 — نص صريح في نطاق العمل والمخرجات الإلزامية</w:t>
            </w:r>
          </w:p>
        </w:tc>
        <w:tc>
          <w:tcPr>
            <w:tcW w:type="dxa" w:w="2160"/>
          </w:tcPr>
          <w:p>
            <w:r>
              <w:rPr>
                <w:sz w:val="18"/>
              </w:rPr>
              <w:t>high</w:t>
            </w:r>
          </w:p>
        </w:tc>
      </w:tr>
      <w:tr>
        <w:tc>
          <w:tcPr>
            <w:tcW w:type="dxa" w:w="2160"/>
          </w:tcPr>
          <w:p>
            <w:r>
              <w:rPr>
                <w:sz w:val="18"/>
              </w:rPr>
              <w:t>المخرج الإلزامي D-3: التدريب ونقل المعرفة لفريق عمل الجهة الحكومية من خلال التدريب على رأس العمل والعمل جنبًا إلى جنب وورش العمل التدريبية.</w:t>
            </w:r>
          </w:p>
        </w:tc>
        <w:tc>
          <w:tcPr>
            <w:tcW w:type="dxa" w:w="2160"/>
          </w:tcPr>
          <w:p>
            <w:r>
              <w:rPr>
                <w:sz w:val="18"/>
              </w:rPr>
              <w:t>RFP Fact</w:t>
            </w:r>
          </w:p>
        </w:tc>
        <w:tc>
          <w:tcPr>
            <w:tcW w:type="dxa" w:w="2160"/>
          </w:tcPr>
          <w:p>
            <w:r>
              <w:rPr>
                <w:sz w:val="18"/>
              </w:rPr>
              <w:t>deliverables[D-3] / SI-3 — نص صريح في نطاق العمل والمخرجات الإلزامية مع تحديد آليات التنفيذ</w:t>
            </w:r>
          </w:p>
        </w:tc>
        <w:tc>
          <w:tcPr>
            <w:tcW w:type="dxa" w:w="2160"/>
          </w:tcPr>
          <w:p>
            <w:r>
              <w:rPr>
                <w:sz w:val="18"/>
              </w:rPr>
              <w:t>high</w:t>
            </w:r>
          </w:p>
        </w:tc>
      </w:tr>
      <w:tr>
        <w:tc>
          <w:tcPr>
            <w:tcW w:type="dxa" w:w="2160"/>
          </w:tcPr>
          <w:p>
            <w:r>
              <w:rPr>
                <w:sz w:val="18"/>
              </w:rPr>
              <w:t>إذا رفض المتنافس إعادة التسعير يُستبعد من المنافسة.</w:t>
            </w:r>
          </w:p>
        </w:tc>
        <w:tc>
          <w:tcPr>
            <w:tcW w:type="dxa" w:w="2160"/>
          </w:tcPr>
          <w:p>
            <w:r>
              <w:rPr>
                <w:sz w:val="18"/>
              </w:rPr>
              <w:t>RFP Fact</w:t>
            </w:r>
          </w:p>
        </w:tc>
        <w:tc>
          <w:tcPr>
            <w:tcW w:type="dxa" w:w="2160"/>
          </w:tcPr>
          <w:p>
            <w:r>
              <w:rPr>
                <w:sz w:val="18"/>
              </w:rPr>
              <w:t>HR-L2-004 — نص صريح في كراسة الشروط بشأن قواعد إعادة التسعير</w:t>
            </w:r>
          </w:p>
        </w:tc>
        <w:tc>
          <w:tcPr>
            <w:tcW w:type="dxa" w:w="2160"/>
          </w:tcPr>
          <w:p>
            <w:r>
              <w:rPr>
                <w:sz w:val="18"/>
              </w:rPr>
              <w:t>high</w:t>
            </w:r>
          </w:p>
        </w:tc>
      </w:tr>
      <w:tr>
        <w:tc>
          <w:tcPr>
            <w:tcW w:type="dxa" w:w="2160"/>
          </w:tcPr>
          <w:p>
            <w:r>
              <w:rPr>
                <w:sz w:val="18"/>
              </w:rPr>
              <w:t>تنفيذ الأعمال وفق المراحل الرئيسية والمخرجات المذكورة في نطاق العمل وذلك حسب المدة المذكورة في الجدول.</w:t>
            </w:r>
          </w:p>
        </w:tc>
        <w:tc>
          <w:tcPr>
            <w:tcW w:type="dxa" w:w="2160"/>
          </w:tcPr>
          <w:p>
            <w:r>
              <w:rPr>
                <w:sz w:val="18"/>
              </w:rPr>
              <w:t>RFP Fact</w:t>
            </w:r>
          </w:p>
        </w:tc>
        <w:tc>
          <w:tcPr>
            <w:tcW w:type="dxa" w:w="2160"/>
          </w:tcPr>
          <w:p>
            <w:r>
              <w:rPr>
                <w:sz w:val="18"/>
              </w:rPr>
              <w:t>project_timeline.total_duration — نص صريح في كراسة الشروط يُحيل إلى جدول المدد (الجدول غير مستخرج من النص)</w:t>
            </w:r>
          </w:p>
        </w:tc>
        <w:tc>
          <w:tcPr>
            <w:tcW w:type="dxa" w:w="2160"/>
          </w:tcPr>
          <w:p>
            <w:r>
              <w:rPr>
                <w:sz w:val="18"/>
              </w:rPr>
              <w:t>high</w:t>
            </w:r>
          </w:p>
        </w:tc>
      </w:tr>
      <w:tr>
        <w:tc>
          <w:tcPr>
            <w:tcW w:type="dxa" w:w="2160"/>
          </w:tcPr>
          <w:p>
            <w:r>
              <w:rPr>
                <w:sz w:val="18"/>
              </w:rPr>
              <w:t>الموعد النهائي لتقديم الاستفسارات: 1447/11/08 هجري.</w:t>
            </w:r>
          </w:p>
        </w:tc>
        <w:tc>
          <w:tcPr>
            <w:tcW w:type="dxa" w:w="2160"/>
          </w:tcPr>
          <w:p>
            <w:r>
              <w:rPr>
                <w:sz w:val="18"/>
              </w:rPr>
              <w:t>RFP Fact</w:t>
            </w:r>
          </w:p>
        </w:tc>
        <w:tc>
          <w:tcPr>
            <w:tcW w:type="dxa" w:w="2160"/>
          </w:tcPr>
          <w:p>
            <w:r>
              <w:rPr>
                <w:sz w:val="18"/>
              </w:rPr>
              <w:t>key_dates.inquiry_deadline — تاريخ صريح في كراسة الشروط</w:t>
            </w:r>
          </w:p>
        </w:tc>
        <w:tc>
          <w:tcPr>
            <w:tcW w:type="dxa" w:w="2160"/>
          </w:tcPr>
          <w:p>
            <w:r>
              <w:rPr>
                <w:sz w:val="18"/>
              </w:rPr>
              <w:t>high</w:t>
            </w:r>
          </w:p>
        </w:tc>
      </w:tr>
      <w:tr>
        <w:tc>
          <w:tcPr>
            <w:tcW w:type="dxa" w:w="2160"/>
          </w:tcPr>
          <w:p>
            <w:r>
              <w:rPr>
                <w:sz w:val="18"/>
              </w:rPr>
              <w:t>الموعد النهائي لتقديم العروض: 1447/11/11 هجري.</w:t>
            </w:r>
          </w:p>
        </w:tc>
        <w:tc>
          <w:tcPr>
            <w:tcW w:type="dxa" w:w="2160"/>
          </w:tcPr>
          <w:p>
            <w:r>
              <w:rPr>
                <w:sz w:val="18"/>
              </w:rPr>
              <w:t>RFP Fact</w:t>
            </w:r>
          </w:p>
        </w:tc>
        <w:tc>
          <w:tcPr>
            <w:tcW w:type="dxa" w:w="2160"/>
          </w:tcPr>
          <w:p>
            <w:r>
              <w:rPr>
                <w:sz w:val="18"/>
              </w:rPr>
              <w:t>key_dates.submission_deadline — تاريخ صريح في كراسة الشروط</w:t>
            </w:r>
          </w:p>
        </w:tc>
        <w:tc>
          <w:tcPr>
            <w:tcW w:type="dxa" w:w="2160"/>
          </w:tcPr>
          <w:p>
            <w:r>
              <w:rPr>
                <w:sz w:val="18"/>
              </w:rPr>
              <w:t>high</w:t>
            </w:r>
          </w:p>
        </w:tc>
      </w:tr>
      <w:tr>
        <w:tc>
          <w:tcPr>
            <w:tcW w:type="dxa" w:w="2160"/>
          </w:tcPr>
          <w:p>
            <w:r>
              <w:rPr>
                <w:sz w:val="18"/>
              </w:rPr>
              <w:t>فتح المظاريف: 1447/11/11 هجري.</w:t>
            </w:r>
          </w:p>
        </w:tc>
        <w:tc>
          <w:tcPr>
            <w:tcW w:type="dxa" w:w="2160"/>
          </w:tcPr>
          <w:p>
            <w:r>
              <w:rPr>
                <w:sz w:val="18"/>
              </w:rPr>
              <w:t>RFP Fact</w:t>
            </w:r>
          </w:p>
        </w:tc>
        <w:tc>
          <w:tcPr>
            <w:tcW w:type="dxa" w:w="2160"/>
          </w:tcPr>
          <w:p>
            <w:r>
              <w:rPr>
                <w:sz w:val="18"/>
              </w:rPr>
              <w:t>key_dates.bid_opening — تاريخ صريح في كراسة الشروط</w:t>
            </w:r>
          </w:p>
        </w:tc>
        <w:tc>
          <w:tcPr>
            <w:tcW w:type="dxa" w:w="2160"/>
          </w:tcPr>
          <w:p>
            <w:r>
              <w:rPr>
                <w:sz w:val="18"/>
              </w:rPr>
              <w:t>high</w:t>
            </w:r>
          </w:p>
        </w:tc>
      </w:tr>
      <w:tr>
        <w:tc>
          <w:tcPr>
            <w:tcW w:type="dxa" w:w="2160"/>
          </w:tcPr>
          <w:p>
            <w:r>
              <w:rPr>
                <w:sz w:val="18"/>
              </w:rPr>
              <w:t>التاريخ المتوقع للترسية: 1447/12/02 هجري.</w:t>
            </w:r>
          </w:p>
        </w:tc>
        <w:tc>
          <w:tcPr>
            <w:tcW w:type="dxa" w:w="2160"/>
          </w:tcPr>
          <w:p>
            <w:r>
              <w:rPr>
                <w:sz w:val="18"/>
              </w:rPr>
              <w:t>RFP Fact</w:t>
            </w:r>
          </w:p>
        </w:tc>
        <w:tc>
          <w:tcPr>
            <w:tcW w:type="dxa" w:w="2160"/>
          </w:tcPr>
          <w:p>
            <w:r>
              <w:rPr>
                <w:sz w:val="18"/>
              </w:rPr>
              <w:t>key_dates.expected_award — تاريخ صريح في كراسة الشروط</w:t>
            </w:r>
          </w:p>
        </w:tc>
        <w:tc>
          <w:tcPr>
            <w:tcW w:type="dxa" w:w="2160"/>
          </w:tcPr>
          <w:p>
            <w:r>
              <w:rPr>
                <w:sz w:val="18"/>
              </w:rPr>
              <w:t>high</w:t>
            </w:r>
          </w:p>
        </w:tc>
      </w:tr>
      <w:tr>
        <w:tc>
          <w:tcPr>
            <w:tcW w:type="dxa" w:w="2160"/>
          </w:tcPr>
          <w:p>
            <w:r>
              <w:rPr>
                <w:sz w:val="18"/>
              </w:rPr>
              <w:t>تاريخ بدء الخدمة المتوقع: 1448/01/06 هجري.</w:t>
            </w:r>
          </w:p>
        </w:tc>
        <w:tc>
          <w:tcPr>
            <w:tcW w:type="dxa" w:w="2160"/>
          </w:tcPr>
          <w:p>
            <w:r>
              <w:rPr>
                <w:sz w:val="18"/>
              </w:rPr>
              <w:t>RFP Fact</w:t>
            </w:r>
          </w:p>
        </w:tc>
        <w:tc>
          <w:tcPr>
            <w:tcW w:type="dxa" w:w="2160"/>
          </w:tcPr>
          <w:p>
            <w:r>
              <w:rPr>
                <w:sz w:val="18"/>
              </w:rPr>
              <w:t>key_dates.service_start — تاريخ صريح في كراسة الشروط</w:t>
            </w:r>
          </w:p>
        </w:tc>
        <w:tc>
          <w:tcPr>
            <w:tcW w:type="dxa" w:w="2160"/>
          </w:tcPr>
          <w:p>
            <w:r>
              <w:rPr>
                <w:sz w:val="18"/>
              </w:rPr>
              <w:t>high</w:t>
            </w:r>
          </w:p>
        </w:tc>
      </w:tr>
      <w:tr>
        <w:tc>
          <w:tcPr>
            <w:tcW w:type="dxa" w:w="2160"/>
          </w:tcPr>
          <w:p>
            <w:r>
              <w:rPr>
                <w:sz w:val="18"/>
              </w:rPr>
              <w:t>سياق إجرائي — جانب الجهة: تقوم سدايا بالإعلان عن المنافسة وفق الإجراءات النظامية المعتمدة في نظام المنافسات والمشتريات الحكومية. (HR-L2-001 — لا يتطلب إجراءً من المتنافس).</w:t>
            </w:r>
          </w:p>
        </w:tc>
        <w:tc>
          <w:tcPr>
            <w:tcW w:type="dxa" w:w="2160"/>
          </w:tcPr>
          <w:p>
            <w:r>
              <w:rPr>
                <w:sz w:val="18"/>
              </w:rPr>
              <w:t>RFP Fact</w:t>
            </w:r>
          </w:p>
        </w:tc>
        <w:tc>
          <w:tcPr>
            <w:tcW w:type="dxa" w:w="2160"/>
          </w:tcPr>
          <w:p>
            <w:r>
              <w:rPr>
                <w:sz w:val="18"/>
              </w:rPr>
              <w:t>HR-L2-001 — إجراء جانب الجهة الحكومية. يُدرج للسياق الإجرائي فقط وليس ضمن التزامات المتنافس.</w:t>
            </w:r>
          </w:p>
        </w:tc>
        <w:tc>
          <w:tcPr>
            <w:tcW w:type="dxa" w:w="2160"/>
          </w:tcPr>
          <w:p>
            <w:r>
              <w:rPr>
                <w:sz w:val="18"/>
              </w:rPr>
              <w:t>high</w:t>
            </w:r>
          </w:p>
        </w:tc>
      </w:tr>
      <w:tr>
        <w:tc>
          <w:tcPr>
            <w:tcW w:type="dxa" w:w="2160"/>
          </w:tcPr>
          <w:p>
            <w:r>
              <w:rPr>
                <w:sz w:val="18"/>
              </w:rPr>
              <w:t>سياق إجرائي — جانب الجهة: لا يجوز الإعلان عن نتيجة المنافسة قبل مضي خمسة أيام عمل من تاريخ إبلاغ المتنافسين بالنتائج. (HR-L2-002 — لا يتطلب إجراءً من المتنافس).</w:t>
            </w:r>
          </w:p>
        </w:tc>
        <w:tc>
          <w:tcPr>
            <w:tcW w:type="dxa" w:w="2160"/>
          </w:tcPr>
          <w:p>
            <w:r>
              <w:rPr>
                <w:sz w:val="18"/>
              </w:rPr>
              <w:t>RFP Fact</w:t>
            </w:r>
          </w:p>
        </w:tc>
        <w:tc>
          <w:tcPr>
            <w:tcW w:type="dxa" w:w="2160"/>
          </w:tcPr>
          <w:p>
            <w:r>
              <w:rPr>
                <w:sz w:val="18"/>
              </w:rPr>
              <w:t>HR-L2-002 — إجراء جانب الجهة الحكومية. يُدرج للسياق الإجرائي فقط.</w:t>
            </w:r>
          </w:p>
        </w:tc>
        <w:tc>
          <w:tcPr>
            <w:tcW w:type="dxa" w:w="2160"/>
          </w:tcPr>
          <w:p>
            <w:r>
              <w:rPr>
                <w:sz w:val="18"/>
              </w:rPr>
              <w:t>high</w:t>
            </w:r>
          </w:p>
        </w:tc>
      </w:tr>
      <w:tr>
        <w:tc>
          <w:tcPr>
            <w:tcW w:type="dxa" w:w="2160"/>
          </w:tcPr>
          <w:p>
            <w:r>
              <w:rPr>
                <w:sz w:val="18"/>
              </w:rPr>
              <w:t>سياق إجرائي — جانب الجهة: يُبلّغ المتنافسون الآخرون بنتيجة المنافسة وفق الإجراءات النظامية. (HR-L2-003 — لا يتطلب إجراءً من المتنافس).</w:t>
            </w:r>
          </w:p>
        </w:tc>
        <w:tc>
          <w:tcPr>
            <w:tcW w:type="dxa" w:w="2160"/>
          </w:tcPr>
          <w:p>
            <w:r>
              <w:rPr>
                <w:sz w:val="18"/>
              </w:rPr>
              <w:t>RFP Fact</w:t>
            </w:r>
          </w:p>
        </w:tc>
        <w:tc>
          <w:tcPr>
            <w:tcW w:type="dxa" w:w="2160"/>
          </w:tcPr>
          <w:p>
            <w:r>
              <w:rPr>
                <w:sz w:val="18"/>
              </w:rPr>
              <w:t>HR-L2-003 — إجراء جانب الجهة الحكومية. يُدرج للسياق الإجرائي فقط.</w:t>
            </w:r>
          </w:p>
        </w:tc>
        <w:tc>
          <w:tcPr>
            <w:tcW w:type="dxa" w:w="2160"/>
          </w:tcPr>
          <w:p>
            <w:r>
              <w:rPr>
                <w:sz w:val="18"/>
              </w:rPr>
              <w:t>high</w:t>
            </w:r>
          </w:p>
        </w:tc>
      </w:tr>
    </w:tbl>
    <w:p/>
    <w:p>
      <w:pPr>
        <w:pStyle w:val="Heading3"/>
      </w:pPr>
      <w:r>
        <w:t>Inferred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Claim</w:t>
            </w:r>
          </w:p>
        </w:tc>
        <w:tc>
          <w:tcPr>
            <w:tcW w:type="dxa" w:w="2160"/>
          </w:tcPr>
          <w:p>
            <w:r>
              <w:rPr>
                <w:b/>
                <w:sz w:val="18"/>
              </w:rPr>
              <w:t>Classification</w:t>
            </w:r>
          </w:p>
        </w:tc>
        <w:tc>
          <w:tcPr>
            <w:tcW w:type="dxa" w:w="2160"/>
          </w:tcPr>
          <w:p>
            <w:r>
              <w:rPr>
                <w:b/>
                <w:sz w:val="18"/>
              </w:rPr>
              <w:t>Basis</w:t>
            </w:r>
          </w:p>
        </w:tc>
        <w:tc>
          <w:tcPr>
            <w:tcW w:type="dxa" w:w="2160"/>
          </w:tcPr>
          <w:p>
            <w:r>
              <w:rPr>
                <w:b/>
                <w:sz w:val="18"/>
              </w:rPr>
              <w:t>Confidence</w:t>
            </w:r>
          </w:p>
        </w:tc>
      </w:tr>
      <w:tr>
        <w:tc>
          <w:tcPr>
            <w:tcW w:type="dxa" w:w="2160"/>
          </w:tcPr>
          <w:p>
            <w:r>
              <w:rPr>
                <w:sz w:val="18"/>
              </w:rPr>
              <w:t>آلية الترسية غير محددة صراحةً في النص المستخرج. يجب تصميم العرض ليكون تنافسيًا تحت سيناريوهين: السيناريو الأول — أقل سعر بعد اجتياز الحد الفني (pass/fail then lowest price)؛ السيناريو الثاني — تقييم مرجّح (فني/مالي). لا يمكن تأكيد أي من السيناريوهين دون توضيح رسمي من سدايا. يُوصى بتقديم استفسار رسمي قبل 1447/11/08.</w:t>
            </w:r>
          </w:p>
        </w:tc>
        <w:tc>
          <w:tcPr>
            <w:tcW w:type="dxa" w:w="2160"/>
          </w:tcPr>
          <w:p>
            <w:r>
              <w:rPr>
                <w:sz w:val="18"/>
              </w:rPr>
              <w:t>Inferred</w:t>
            </w:r>
          </w:p>
        </w:tc>
        <w:tc>
          <w:tcPr>
            <w:tcW w:type="dxa" w:w="2160"/>
          </w:tcPr>
          <w:p>
            <w:r>
              <w:rPr>
                <w:sz w:val="18"/>
              </w:rPr>
              <w:t>غياب آلية الترسية والأوزان والحد الأدنى للنجاح من النص المستخرج. فجوة استخراج مؤكدة. لا يُفترض ترجيح أي سيناريو على الآخر.</w:t>
            </w:r>
          </w:p>
        </w:tc>
        <w:tc>
          <w:tcPr>
            <w:tcW w:type="dxa" w:w="2160"/>
          </w:tcPr>
          <w:p>
            <w:r>
              <w:rPr>
                <w:sz w:val="18"/>
              </w:rPr>
              <w:t>medium</w:t>
            </w:r>
          </w:p>
        </w:tc>
      </w:tr>
      <w:tr>
        <w:tc>
          <w:tcPr>
            <w:tcW w:type="dxa" w:w="2160"/>
          </w:tcPr>
          <w:p>
            <w:r>
              <w:rPr>
                <w:sz w:val="18"/>
              </w:rPr>
              <w:t>من المرجح أن يُولي المُقيّمون أهمية لإثبات المعرفة بالأدوات المعيارية لليونسكو في أخلاقيات الذكاء الاصطناعي (توصية 2021، منهجية RAM، دورات التقارير الدورية) كمعيار تمييزي بين المتنافسين.</w:t>
            </w:r>
          </w:p>
        </w:tc>
        <w:tc>
          <w:tcPr>
            <w:tcW w:type="dxa" w:w="2160"/>
          </w:tcPr>
          <w:p>
            <w:r>
              <w:rPr>
                <w:sz w:val="18"/>
              </w:rPr>
              <w:t>Inferred</w:t>
            </w:r>
          </w:p>
        </w:tc>
        <w:tc>
          <w:tcPr>
            <w:tcW w:type="dxa" w:w="2160"/>
          </w:tcPr>
          <w:p>
            <w:r>
              <w:rPr>
                <w:sz w:val="18"/>
              </w:rPr>
              <w:t>نطاق العمل يتمحور بالكامل حول برامج اليونسكو (SI-1, SI-2)، والمخرج D-1 يتطلب تقييمًا معياريًا لأداء هذه البرامج. استنتاج من بنية النطاق وليس معيار تقييم منصوص عليه.</w:t>
            </w:r>
          </w:p>
        </w:tc>
        <w:tc>
          <w:tcPr>
            <w:tcW w:type="dxa" w:w="2160"/>
          </w:tcPr>
          <w:p>
            <w:r>
              <w:rPr>
                <w:sz w:val="18"/>
              </w:rPr>
              <w:t>high</w:t>
            </w:r>
          </w:p>
        </w:tc>
      </w:tr>
      <w:tr>
        <w:tc>
          <w:tcPr>
            <w:tcW w:type="dxa" w:w="2160"/>
          </w:tcPr>
          <w:p>
            <w:r>
              <w:rPr>
                <w:sz w:val="18"/>
              </w:rPr>
              <w:t>من المرجح أن يكون ربط المخرجات بأهداف التنمية المستدامة (SDGs) عنصرًا تقييميًا ضمنيًا، نظرًا لتكرار الإشارة إليه في وصف المخرج D-2 وفي الهدف العام للمنافسة.</w:t>
            </w:r>
          </w:p>
        </w:tc>
        <w:tc>
          <w:tcPr>
            <w:tcW w:type="dxa" w:w="2160"/>
          </w:tcPr>
          <w:p>
            <w:r>
              <w:rPr>
                <w:sz w:val="18"/>
              </w:rPr>
              <w:t>Inferred</w:t>
            </w:r>
          </w:p>
        </w:tc>
        <w:tc>
          <w:tcPr>
            <w:tcW w:type="dxa" w:w="2160"/>
          </w:tcPr>
          <w:p>
            <w:r>
              <w:rPr>
                <w:sz w:val="18"/>
              </w:rPr>
              <w:t>المخرج D-2 ينص صراحةً على 'ربط البرامج بأهداف التنمية المستدامة'. استنتاج من تكرار الإشارة وليس معيار تقييم منصوص عليه.</w:t>
            </w:r>
          </w:p>
        </w:tc>
        <w:tc>
          <w:tcPr>
            <w:tcW w:type="dxa" w:w="2160"/>
          </w:tcPr>
          <w:p>
            <w:r>
              <w:rPr>
                <w:sz w:val="18"/>
              </w:rPr>
              <w:t>high</w:t>
            </w:r>
          </w:p>
        </w:tc>
      </w:tr>
      <w:tr>
        <w:tc>
          <w:tcPr>
            <w:tcW w:type="dxa" w:w="2160"/>
          </w:tcPr>
          <w:p>
            <w:r>
              <w:rPr>
                <w:sz w:val="18"/>
              </w:rPr>
              <w:t>من المرجح أن يتضمن التقييم الفني عنصرًا خاصًا بمنهجية نقل المعرفة وبناء القدرات، نظرًا لتخصيص مخرج إلزامي كامل (D-3) لهذا الغرض مع تحديد آليات محددة (تدريب على رأس العمل، عمل جنبًا إلى جنب، ورش عمل).</w:t>
            </w:r>
          </w:p>
        </w:tc>
        <w:tc>
          <w:tcPr>
            <w:tcW w:type="dxa" w:w="2160"/>
          </w:tcPr>
          <w:p>
            <w:r>
              <w:rPr>
                <w:sz w:val="18"/>
              </w:rPr>
              <w:t>Inferred</w:t>
            </w:r>
          </w:p>
        </w:tc>
        <w:tc>
          <w:tcPr>
            <w:tcW w:type="dxa" w:w="2160"/>
          </w:tcPr>
          <w:p>
            <w:r>
              <w:rPr>
                <w:sz w:val="18"/>
              </w:rPr>
              <w:t>تخصيص مخرج إلزامي مستقل (D-3) مع تفصيل آليات التنفيذ يُشير إلى أولوية نقل المعرفة. استنتاج من هيكل المخرجات.</w:t>
            </w:r>
          </w:p>
        </w:tc>
        <w:tc>
          <w:tcPr>
            <w:tcW w:type="dxa" w:w="2160"/>
          </w:tcPr>
          <w:p>
            <w:r>
              <w:rPr>
                <w:sz w:val="18"/>
              </w:rPr>
              <w:t>medium</w:t>
            </w:r>
          </w:p>
        </w:tc>
      </w:tr>
      <w:tr>
        <w:tc>
          <w:tcPr>
            <w:tcW w:type="dxa" w:w="2160"/>
          </w:tcPr>
          <w:p>
            <w:r>
              <w:rPr>
                <w:sz w:val="18"/>
              </w:rPr>
              <w:t>من المرجح أن يُشكّل الفريق المقترح وخبراته عنصرًا تقييميًا رغم عدم ظهور جدول متطلبات الفريق في النص المستخرج. هذه فجوة استخراج مؤكدة وليست غياب المتطلب.</w:t>
            </w:r>
          </w:p>
        </w:tc>
        <w:tc>
          <w:tcPr>
            <w:tcW w:type="dxa" w:w="2160"/>
          </w:tcPr>
          <w:p>
            <w:r>
              <w:rPr>
                <w:sz w:val="18"/>
              </w:rPr>
              <w:t>Inferred</w:t>
            </w:r>
          </w:p>
        </w:tc>
        <w:tc>
          <w:tcPr>
            <w:tcW w:type="dxa" w:w="2160"/>
          </w:tcPr>
          <w:p>
            <w:r>
              <w:rPr>
                <w:sz w:val="18"/>
              </w:rPr>
              <w:t>حقل team_requirements فارغ في البيانات المستخرجة. فجوة استخراج مؤكدة. المشروع يتطلب خبرات متخصصة في أخلاقيات الذكاء الاصطناعي والتعاون الدولي وتقييم البرامج.</w:t>
            </w:r>
          </w:p>
        </w:tc>
        <w:tc>
          <w:tcPr>
            <w:tcW w:type="dxa" w:w="2160"/>
          </w:tcPr>
          <w:p>
            <w:r>
              <w:rPr>
                <w:sz w:val="18"/>
              </w:rPr>
              <w:t>medium</w:t>
            </w:r>
          </w:p>
        </w:tc>
      </w:tr>
      <w:tr>
        <w:tc>
          <w:tcPr>
            <w:tcW w:type="dxa" w:w="2160"/>
          </w:tcPr>
          <w:p>
            <w:r>
              <w:rPr>
                <w:sz w:val="18"/>
              </w:rPr>
              <w:t>من المرجح أن تكون القدرة على إجراء مقارنات معيارية دولية (benchmarking) عبر عدة دول عنصرًا تمييزيًا، نظرًا لأن نطاق العمل ينص على 'آليات التعاون مع مختلف الدول' وتقييم أداء برامج بحثية دولية.</w:t>
            </w:r>
          </w:p>
        </w:tc>
        <w:tc>
          <w:tcPr>
            <w:tcW w:type="dxa" w:w="2160"/>
          </w:tcPr>
          <w:p>
            <w:r>
              <w:rPr>
                <w:sz w:val="18"/>
              </w:rPr>
              <w:t>Inferred</w:t>
            </w:r>
          </w:p>
        </w:tc>
        <w:tc>
          <w:tcPr>
            <w:tcW w:type="dxa" w:w="2160"/>
          </w:tcPr>
          <w:p>
            <w:r>
              <w:rPr>
                <w:sz w:val="18"/>
              </w:rPr>
              <w:t>الهدف العام للمنافسة والمخرج D-2 يتطلبان تصميم آليات تعاون دولية. استنتاج من متطلبات النطاق.</w:t>
            </w:r>
          </w:p>
        </w:tc>
        <w:tc>
          <w:tcPr>
            <w:tcW w:type="dxa" w:w="2160"/>
          </w:tcPr>
          <w:p>
            <w:r>
              <w:rPr>
                <w:sz w:val="18"/>
              </w:rPr>
              <w:t>high</w:t>
            </w:r>
          </w:p>
        </w:tc>
      </w:tr>
      <w:tr>
        <w:tc>
          <w:tcPr>
            <w:tcW w:type="dxa" w:w="2160"/>
          </w:tcPr>
          <w:p>
            <w:r>
              <w:rPr>
                <w:sz w:val="18"/>
              </w:rPr>
              <w:t>مدة المشروع الإجمالية غير مستخرجة من النص المتاح رغم إشارة كراسة الشروط إلى جدول مدد. يجب تقديم استفسار رسمي قبل 1447/11/08 للحصول على الجدول الزمني التفصيلي.</w:t>
            </w:r>
          </w:p>
        </w:tc>
        <w:tc>
          <w:tcPr>
            <w:tcW w:type="dxa" w:w="2160"/>
          </w:tcPr>
          <w:p>
            <w:r>
              <w:rPr>
                <w:sz w:val="18"/>
              </w:rPr>
              <w:t>Inferred</w:t>
            </w:r>
          </w:p>
        </w:tc>
        <w:tc>
          <w:tcPr>
            <w:tcW w:type="dxa" w:w="2160"/>
          </w:tcPr>
          <w:p>
            <w:r>
              <w:rPr>
                <w:sz w:val="18"/>
              </w:rPr>
              <w:t>حقل project_timeline.total_duration_months فارغ (null)، والنص يُحيل إلى 'المدة المذكورة في الجدول' دون أن يتضمن النص المستخرج هذا الجدول. فجوة استخراج مؤكدة.</w:t>
            </w:r>
          </w:p>
        </w:tc>
        <w:tc>
          <w:tcPr>
            <w:tcW w:type="dxa" w:w="2160"/>
          </w:tcPr>
          <w:p>
            <w:r>
              <w:rPr>
                <w:sz w:val="18"/>
              </w:rPr>
              <w:t>high</w:t>
            </w:r>
          </w:p>
        </w:tc>
      </w:tr>
      <w:tr>
        <w:tc>
          <w:tcPr>
            <w:tcW w:type="dxa" w:w="2160"/>
          </w:tcPr>
          <w:p>
            <w:r>
              <w:rPr>
                <w:sz w:val="18"/>
              </w:rPr>
              <w:t>متطلبات الفريق التفصيلية (المؤهلات، سنوات الخبرة، التخصصات) غير مستخرجة من النص المتاح رغم احتمال وجود جدول مواصفات الفريق في كراسة الشروط الكاملة. يجب مراجعة النسخة الكاملة أو تقديم استفسار رسمي.</w:t>
            </w:r>
          </w:p>
        </w:tc>
        <w:tc>
          <w:tcPr>
            <w:tcW w:type="dxa" w:w="2160"/>
          </w:tcPr>
          <w:p>
            <w:r>
              <w:rPr>
                <w:sz w:val="18"/>
              </w:rPr>
              <w:t>Inferred</w:t>
            </w:r>
          </w:p>
        </w:tc>
        <w:tc>
          <w:tcPr>
            <w:tcW w:type="dxa" w:w="2160"/>
          </w:tcPr>
          <w:p>
            <w:r>
              <w:rPr>
                <w:sz w:val="18"/>
              </w:rPr>
              <w:t>حقل team_requirements فارغ في البيانات المستخرجة. فجوة استخراج مؤكدة.</w:t>
            </w:r>
          </w:p>
        </w:tc>
        <w:tc>
          <w:tcPr>
            <w:tcW w:type="dxa" w:w="2160"/>
          </w:tcPr>
          <w:p>
            <w:r>
              <w:rPr>
                <w:sz w:val="18"/>
              </w:rPr>
              <w:t>high</w:t>
            </w:r>
          </w:p>
        </w:tc>
      </w:tr>
      <w:tr>
        <w:tc>
          <w:tcPr>
            <w:tcW w:type="dxa" w:w="2160"/>
          </w:tcPr>
          <w:p>
            <w:r>
              <w:rPr>
                <w:sz w:val="18"/>
              </w:rPr>
              <w:t>من المرجح أن تُعطي لجنة التقييم أفضلية ضمنية للعروض المُعدّة باللغة العربية أصالةً (وليس ترجمةً)، بما يتجاوز الامتثال الشكلي لشرط CR-1.</w:t>
            </w:r>
          </w:p>
        </w:tc>
        <w:tc>
          <w:tcPr>
            <w:tcW w:type="dxa" w:w="2160"/>
          </w:tcPr>
          <w:p>
            <w:r>
              <w:rPr>
                <w:sz w:val="18"/>
              </w:rPr>
              <w:t>Inferred</w:t>
            </w:r>
          </w:p>
        </w:tc>
        <w:tc>
          <w:tcPr>
            <w:tcW w:type="dxa" w:w="2160"/>
          </w:tcPr>
          <w:p>
            <w:r>
              <w:rPr>
                <w:sz w:val="18"/>
              </w:rPr>
              <w:t>شرط CR-1 ينص على أولوية النص العربي عند التعارض، وسدايا جهة حكومية سعودية. استنتاج من السياق المؤسسي.</w:t>
            </w:r>
          </w:p>
        </w:tc>
        <w:tc>
          <w:tcPr>
            <w:tcW w:type="dxa" w:w="2160"/>
          </w:tcPr>
          <w:p>
            <w:r>
              <w:rPr>
                <w:sz w:val="18"/>
              </w:rPr>
              <w:t>medium</w:t>
            </w:r>
          </w:p>
        </w:tc>
      </w:tr>
    </w:tbl>
    <w:p/>
    <w:p>
      <w:pPr>
        <w:pStyle w:val="Heading3"/>
      </w:pPr>
      <w:r>
        <w:t>External Benchmark Support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Claim</w:t>
            </w:r>
          </w:p>
        </w:tc>
        <w:tc>
          <w:tcPr>
            <w:tcW w:type="dxa" w:w="2160"/>
          </w:tcPr>
          <w:p>
            <w:r>
              <w:rPr>
                <w:b/>
                <w:sz w:val="18"/>
              </w:rPr>
              <w:t>Classification</w:t>
            </w:r>
          </w:p>
        </w:tc>
        <w:tc>
          <w:tcPr>
            <w:tcW w:type="dxa" w:w="2160"/>
          </w:tcPr>
          <w:p>
            <w:r>
              <w:rPr>
                <w:b/>
                <w:sz w:val="18"/>
              </w:rPr>
              <w:t>Basis</w:t>
            </w:r>
          </w:p>
        </w:tc>
        <w:tc>
          <w:tcPr>
            <w:tcW w:type="dxa" w:w="2160"/>
          </w:tcPr>
          <w:p>
            <w:r>
              <w:rPr>
                <w:b/>
                <w:sz w:val="18"/>
              </w:rPr>
              <w:t>Confidence</w:t>
            </w:r>
          </w:p>
        </w:tc>
      </w:tr>
      <w:tr>
        <w:tc>
          <w:tcPr>
            <w:tcW w:type="dxa" w:w="2160"/>
          </w:tcPr>
          <w:p>
            <w:r>
              <w:rPr>
                <w:sz w:val="18"/>
              </w:rPr>
              <w:t>منهجية التقييم المقترحة للمخرج D-1 تستند إلى نموذج الجاهزية للذكاء الاصطناعي المبني على إطار TOE (التكنولوجيا-المنظمة-البيئة) ذي الأبعاد الثمانية، والذي يوفر هيكلًا لقياس نضج برامج أخلاقيات الذكاء الاصطناعي عبر أبعاد الحوكمة والبنية التحتية والقدرات البشرية والإطار التنظيمي.</w:t>
            </w:r>
          </w:p>
        </w:tc>
        <w:tc>
          <w:tcPr>
            <w:tcW w:type="dxa" w:w="2160"/>
          </w:tcPr>
          <w:p>
            <w:r>
              <w:rPr>
                <w:sz w:val="18"/>
              </w:rPr>
              <w:t>External Benchmark</w:t>
            </w:r>
          </w:p>
        </w:tc>
        <w:tc>
          <w:tcPr>
            <w:tcW w:type="dxa" w:w="2160"/>
          </w:tcPr>
          <w:p>
            <w:r>
              <w:rPr>
                <w:sz w:val="18"/>
              </w:rPr>
              <w:t>EXT-007 — نموذج TOE-based AI readiness يوفر إطارًا مُحكّمًا أكاديميًا لتقييم جاهزية المؤسسات للذكاء الاصطناعي عبر ثمانية أبعاد. يدعم تصميم منهجية التقييم في D-1 من خلال توفير بنية تحليلية قابلة للتكرار.</w:t>
            </w:r>
          </w:p>
        </w:tc>
        <w:tc>
          <w:tcPr>
            <w:tcW w:type="dxa" w:w="2160"/>
          </w:tcPr>
          <w:p>
            <w:r>
              <w:rPr>
                <w:sz w:val="18"/>
              </w:rPr>
              <w:t>high</w:t>
            </w:r>
          </w:p>
        </w:tc>
      </w:tr>
      <w:tr>
        <w:tc>
          <w:tcPr>
            <w:tcW w:type="dxa" w:w="2160"/>
          </w:tcPr>
          <w:p>
            <w:r>
              <w:rPr>
                <w:sz w:val="18"/>
              </w:rPr>
              <w:t>تصميم مؤشرات المتابعة والتقييم (M&amp;E) للمخرج D-1 يستفيد من منهج نظرية التغيير (Theory of Change) المُعتمد في تقييم البرامج البحثية الدولية، والذي يُمكّن من رصد المساهمات العملية إلى جانب المخرجات المعرفية.</w:t>
            </w:r>
          </w:p>
        </w:tc>
        <w:tc>
          <w:tcPr>
            <w:tcW w:type="dxa" w:w="2160"/>
          </w:tcPr>
          <w:p>
            <w:r>
              <w:rPr>
                <w:sz w:val="18"/>
              </w:rPr>
              <w:t>External Benchmark</w:t>
            </w:r>
          </w:p>
        </w:tc>
        <w:tc>
          <w:tcPr>
            <w:tcW w:type="dxa" w:w="2160"/>
          </w:tcPr>
          <w:p>
            <w:r>
              <w:rPr>
                <w:sz w:val="18"/>
              </w:rPr>
              <w:t>EXT-012 — أدبيات تقييم البرامج البحثية تُثبت أن منهج نظرية التغيير هو الأنسب لتقييم البرامج ذات المخرجات غير الخطية. يدعم تصميم إطار M&amp;E من خلال توفير منطق سببي يربط الأنشطة بالنتائج والأثر.</w:t>
            </w:r>
          </w:p>
        </w:tc>
        <w:tc>
          <w:tcPr>
            <w:tcW w:type="dxa" w:w="2160"/>
          </w:tcPr>
          <w:p>
            <w:r>
              <w:rPr>
                <w:sz w:val="18"/>
              </w:rPr>
              <w:t>high</w:t>
            </w:r>
          </w:p>
        </w:tc>
      </w:tr>
      <w:tr>
        <w:tc>
          <w:tcPr>
            <w:tcW w:type="dxa" w:w="2160"/>
          </w:tcPr>
          <w:p>
            <w:r>
              <w:rPr>
                <w:sz w:val="18"/>
              </w:rPr>
              <w:t>منهجية تقييم القدرات المؤسسية تستفيد من النموذج الهرمي المُعتمد من منظمة الصحة العالمية (الوظائف ← الأدوار ← متطلبات القدرات)، والذي أثبت فعاليته في تقييم قدرات المنظمات الدولية عبر عدة دول.</w:t>
            </w:r>
          </w:p>
        </w:tc>
        <w:tc>
          <w:tcPr>
            <w:tcW w:type="dxa" w:w="2160"/>
          </w:tcPr>
          <w:p>
            <w:r>
              <w:rPr>
                <w:sz w:val="18"/>
              </w:rPr>
              <w:t>External Benchmark</w:t>
            </w:r>
          </w:p>
        </w:tc>
        <w:tc>
          <w:tcPr>
            <w:tcW w:type="dxa" w:w="2160"/>
          </w:tcPr>
          <w:p>
            <w:r>
              <w:rPr>
                <w:sz w:val="18"/>
              </w:rPr>
              <w:t>EXT-008 — منهجية WHO للتقييم المؤسسي الهرمي توفر نموذجًا مُجرّبًا للتقييم عبر الدول. يدعم تصميم أدوات التقييم المؤسسي من خلال تقديم تسلسل تحليلي من الوظائف إلى القدرات المطلوبة.</w:t>
            </w:r>
          </w:p>
        </w:tc>
        <w:tc>
          <w:tcPr>
            <w:tcW w:type="dxa" w:w="2160"/>
          </w:tcPr>
          <w:p>
            <w:r>
              <w:rPr>
                <w:sz w:val="18"/>
              </w:rPr>
              <w:t>high</w:t>
            </w:r>
          </w:p>
        </w:tc>
      </w:tr>
      <w:tr>
        <w:tc>
          <w:tcPr>
            <w:tcW w:type="dxa" w:w="2160"/>
          </w:tcPr>
          <w:p>
            <w:r>
              <w:rPr>
                <w:sz w:val="18"/>
              </w:rPr>
              <w:t>إطار عمل التعاون الدولي المقترح للمخرج D-2 يستفيد من منطق الأولويات المبني على القدرات في إطار البنك الدولي CISF، مما يدعم تصميم مبادرات تتناسب مع القدرات المؤسسية الفعلية.</w:t>
            </w:r>
          </w:p>
        </w:tc>
        <w:tc>
          <w:tcPr>
            <w:tcW w:type="dxa" w:w="2160"/>
          </w:tcPr>
          <w:p>
            <w:r>
              <w:rPr>
                <w:sz w:val="18"/>
              </w:rPr>
              <w:t>External Benchmark</w:t>
            </w:r>
          </w:p>
        </w:tc>
        <w:tc>
          <w:tcPr>
            <w:tcW w:type="dxa" w:w="2160"/>
          </w:tcPr>
          <w:p>
            <w:r>
              <w:rPr>
                <w:sz w:val="18"/>
              </w:rPr>
              <w:t>EXT-004 — إطار البنك الدولي CISF يوفر منهجية لتحديد أولويات التدخل بناءً على تقييم القدرات. يدعم تصميم أطر التعاون من خلال ربط المبادرات بمستوى الجاهزية المؤسسية.</w:t>
            </w:r>
          </w:p>
        </w:tc>
        <w:tc>
          <w:tcPr>
            <w:tcW w:type="dxa" w:w="2160"/>
          </w:tcPr>
          <w:p>
            <w:r>
              <w:rPr>
                <w:sz w:val="18"/>
              </w:rPr>
              <w:t>high</w:t>
            </w:r>
          </w:p>
        </w:tc>
      </w:tr>
      <w:tr>
        <w:tc>
          <w:tcPr>
            <w:tcW w:type="dxa" w:w="2160"/>
          </w:tcPr>
          <w:p>
            <w:r>
              <w:rPr>
                <w:sz w:val="18"/>
              </w:rPr>
              <w:t>منهجية ربط البرامج بأهداف التنمية المستدامة تستفيد من نهج B4SDGs (الميزنة من أجل أهداف التنمية المستدامة) الذي يوفر آلية منهجية لوسم المبادرات وربطها بالأهداف الأممية.</w:t>
            </w:r>
          </w:p>
        </w:tc>
        <w:tc>
          <w:tcPr>
            <w:tcW w:type="dxa" w:w="2160"/>
          </w:tcPr>
          <w:p>
            <w:r>
              <w:rPr>
                <w:sz w:val="18"/>
              </w:rPr>
              <w:t>External Benchmark</w:t>
            </w:r>
          </w:p>
        </w:tc>
        <w:tc>
          <w:tcPr>
            <w:tcW w:type="dxa" w:w="2160"/>
          </w:tcPr>
          <w:p>
            <w:r>
              <w:rPr>
                <w:sz w:val="18"/>
              </w:rPr>
              <w:t>EXT-013 — أبحاث وسم الميزانيات لأهداف التنمية المستدامة توفر منهجية دولية لربط البرامج بالأهداف الأممية بشكل قابل للقياس.</w:t>
            </w:r>
          </w:p>
        </w:tc>
        <w:tc>
          <w:tcPr>
            <w:tcW w:type="dxa" w:w="2160"/>
          </w:tcPr>
          <w:p>
            <w:r>
              <w:rPr>
                <w:sz w:val="18"/>
              </w:rPr>
              <w:t>medium</w:t>
            </w:r>
          </w:p>
        </w:tc>
      </w:tr>
      <w:tr>
        <w:tc>
          <w:tcPr>
            <w:tcW w:type="dxa" w:w="2160"/>
          </w:tcPr>
          <w:p>
            <w:r>
              <w:rPr>
                <w:sz w:val="18"/>
              </w:rPr>
              <w:t>برنامج نقل المعرفة المقترح للمخرج D-3 يستفيد من إطار APQC ذي الخطوات الأربع لنقل المعرفة (التخطيط، التصميم، التنفيذ، القياس).</w:t>
            </w:r>
          </w:p>
        </w:tc>
        <w:tc>
          <w:tcPr>
            <w:tcW w:type="dxa" w:w="2160"/>
          </w:tcPr>
          <w:p>
            <w:r>
              <w:rPr>
                <w:sz w:val="18"/>
              </w:rPr>
              <w:t>External Benchmark</w:t>
            </w:r>
          </w:p>
        </w:tc>
        <w:tc>
          <w:tcPr>
            <w:tcW w:type="dxa" w:w="2160"/>
          </w:tcPr>
          <w:p>
            <w:r>
              <w:rPr>
                <w:sz w:val="18"/>
              </w:rPr>
              <w:t>EXT-006 — إطار APQC لنقل المعرفة يوفر منهجية من أربع خطوات تضمن استدامة نقل المعرفة وقياس أثره. يدعم تصميم برنامج D-3 من خلال هيكلة عملية النقل وربطها بمؤشرات أداء.</w:t>
            </w:r>
          </w:p>
        </w:tc>
        <w:tc>
          <w:tcPr>
            <w:tcW w:type="dxa" w:w="2160"/>
          </w:tcPr>
          <w:p>
            <w:r>
              <w:rPr>
                <w:sz w:val="18"/>
              </w:rPr>
              <w:t>high</w:t>
            </w:r>
          </w:p>
        </w:tc>
      </w:tr>
      <w:tr>
        <w:tc>
          <w:tcPr>
            <w:tcW w:type="dxa" w:w="2160"/>
          </w:tcPr>
          <w:p>
            <w:r>
              <w:rPr>
                <w:sz w:val="18"/>
              </w:rPr>
              <w:t>توصية اليونسكو بشأن أخلاقيات الذكاء الاصطناعي (2021) وبرامجها المؤسسية (EEP، ABC، GEObs) تُشكّل الإطار المعياري الذي يجب أن تتوافق معه جميع المخرجات المقترحة.</w:t>
            </w:r>
          </w:p>
        </w:tc>
        <w:tc>
          <w:tcPr>
            <w:tcW w:type="dxa" w:w="2160"/>
          </w:tcPr>
          <w:p>
            <w:r>
              <w:rPr>
                <w:sz w:val="18"/>
              </w:rPr>
              <w:t>External Benchmark</w:t>
            </w:r>
          </w:p>
        </w:tc>
        <w:tc>
          <w:tcPr>
            <w:tcW w:type="dxa" w:w="2160"/>
          </w:tcPr>
          <w:p>
            <w:r>
              <w:rPr>
                <w:sz w:val="18"/>
              </w:rPr>
              <w:t>EXT-002 — توصية اليونسكو 2021 هي الأداة المعيارية الأساسية في مجال أخلاقيات الذكاء الاصطناعي على المستوى الدولي. تُشكّل الإطار المرجعي من خلال المبادئ العشرة والمجالات السياسية الأحد عشر.</w:t>
            </w:r>
          </w:p>
        </w:tc>
        <w:tc>
          <w:tcPr>
            <w:tcW w:type="dxa" w:w="2160"/>
          </w:tcPr>
          <w:p>
            <w:r>
              <w:rPr>
                <w:sz w:val="18"/>
              </w:rPr>
              <w:t>high</w:t>
            </w:r>
          </w:p>
        </w:tc>
      </w:tr>
      <w:tr>
        <w:tc>
          <w:tcPr>
            <w:tcW w:type="dxa" w:w="2160"/>
          </w:tcPr>
          <w:p>
            <w:r>
              <w:rPr>
                <w:sz w:val="18"/>
              </w:rPr>
              <w:t>دورات التقارير الدورية لليونسكو ومؤشرات الرصد المعتمدة توفر الإطار المرجعي الأساسي لتصميم أدوات التقييم في المخرج D-1.</w:t>
            </w:r>
          </w:p>
        </w:tc>
        <w:tc>
          <w:tcPr>
            <w:tcW w:type="dxa" w:w="2160"/>
          </w:tcPr>
          <w:p>
            <w:r>
              <w:rPr>
                <w:sz w:val="18"/>
              </w:rPr>
              <w:t>External Benchmark</w:t>
            </w:r>
          </w:p>
        </w:tc>
        <w:tc>
          <w:tcPr>
            <w:tcW w:type="dxa" w:w="2160"/>
          </w:tcPr>
          <w:p>
            <w:r>
              <w:rPr>
                <w:sz w:val="18"/>
              </w:rPr>
              <w:t>EXT-003 — دورات التقارير الدورية لليونسكو تُحدد المؤشرات والأبعاد التي تُقيّم من خلالها البرامج. يدعم تصميم أدوات التقييم من خلال ضمان توافق المؤشرات المقترحة مع متطلبات اليونسكو.</w:t>
            </w:r>
          </w:p>
        </w:tc>
        <w:tc>
          <w:tcPr>
            <w:tcW w:type="dxa" w:w="2160"/>
          </w:tcPr>
          <w:p>
            <w:r>
              <w:rPr>
                <w:sz w:val="18"/>
              </w:rPr>
              <w:t>high</w:t>
            </w:r>
          </w:p>
        </w:tc>
      </w:tr>
      <w:tr>
        <w:tc>
          <w:tcPr>
            <w:tcW w:type="dxa" w:w="2160"/>
          </w:tcPr>
          <w:p>
            <w:r>
              <w:rPr>
                <w:sz w:val="18"/>
              </w:rPr>
              <w:t>منهجية التدريب المبنية على الكفاءات مع تقييم قبلي-بعدي تدعم تصميم برامج بناء القدرات الحكومية وتوفر مؤشرات قابلة للقياس لأثر التدريب.</w:t>
            </w:r>
          </w:p>
        </w:tc>
        <w:tc>
          <w:tcPr>
            <w:tcW w:type="dxa" w:w="2160"/>
          </w:tcPr>
          <w:p>
            <w:r>
              <w:rPr>
                <w:sz w:val="18"/>
              </w:rPr>
              <w:t>External Benchmark</w:t>
            </w:r>
          </w:p>
        </w:tc>
        <w:tc>
          <w:tcPr>
            <w:tcW w:type="dxa" w:w="2160"/>
          </w:tcPr>
          <w:p>
            <w:r>
              <w:rPr>
                <w:sz w:val="18"/>
              </w:rPr>
              <w:t>EXT-009 — الأدبيات المتعلقة بالتدريب المبني على الكفاءات في القطاع الحكومي تدعم استخدام التقييم القبلي-البعدي لقياس أثر التدريب.</w:t>
            </w:r>
          </w:p>
        </w:tc>
        <w:tc>
          <w:tcPr>
            <w:tcW w:type="dxa" w:w="2160"/>
          </w:tcPr>
          <w:p>
            <w:r>
              <w:rPr>
                <w:sz w:val="18"/>
              </w:rPr>
              <w:t>medium</w:t>
            </w:r>
          </w:p>
        </w:tc>
      </w:tr>
      <w:tr>
        <w:tc>
          <w:tcPr>
            <w:tcW w:type="dxa" w:w="2160"/>
          </w:tcPr>
          <w:p>
            <w:r>
              <w:rPr>
                <w:sz w:val="18"/>
              </w:rPr>
              <w:t>نموذج فريق المُقيّمين الداخليين يوفر آلية لبناء القدرة المؤسسية على التقييم الذاتي، مما يدعم تصميم مكون الاستدامة في D-3.</w:t>
            </w:r>
          </w:p>
        </w:tc>
        <w:tc>
          <w:tcPr>
            <w:tcW w:type="dxa" w:w="2160"/>
          </w:tcPr>
          <w:p>
            <w:r>
              <w:rPr>
                <w:sz w:val="18"/>
              </w:rPr>
              <w:t>External Benchmark</w:t>
            </w:r>
          </w:p>
        </w:tc>
        <w:tc>
          <w:tcPr>
            <w:tcW w:type="dxa" w:w="2160"/>
          </w:tcPr>
          <w:p>
            <w:r>
              <w:rPr>
                <w:sz w:val="18"/>
              </w:rPr>
              <w:t>EXT-014 — نموذج فريق المُقيّمين الداخليين يوفر آلية لبناء القدرة المؤسسية على التقييم الذاتي بعد انتهاء المشروع.</w:t>
            </w:r>
          </w:p>
        </w:tc>
        <w:tc>
          <w:tcPr>
            <w:tcW w:type="dxa" w:w="2160"/>
          </w:tcPr>
          <w:p>
            <w:r>
              <w:rPr>
                <w:sz w:val="18"/>
              </w:rPr>
              <w:t>medium</w:t>
            </w:r>
          </w:p>
        </w:tc>
      </w:tr>
      <w:tr>
        <w:tc>
          <w:tcPr>
            <w:tcW w:type="dxa" w:w="2160"/>
          </w:tcPr>
          <w:p>
            <w:r>
              <w:rPr>
                <w:sz w:val="18"/>
              </w:rPr>
              <w:t>نماذج منصات ترجمة المعرفة توفر أطرًا عملية لتصميم آليات التعاون البحثي المؤسسي عبر الحدود، مما يدعم تصميم آليات التعاون في D-2.</w:t>
            </w:r>
          </w:p>
        </w:tc>
        <w:tc>
          <w:tcPr>
            <w:tcW w:type="dxa" w:w="2160"/>
          </w:tcPr>
          <w:p>
            <w:r>
              <w:rPr>
                <w:sz w:val="18"/>
              </w:rPr>
              <w:t>External Benchmark</w:t>
            </w:r>
          </w:p>
        </w:tc>
        <w:tc>
          <w:tcPr>
            <w:tcW w:type="dxa" w:w="2160"/>
          </w:tcPr>
          <w:p>
            <w:r>
              <w:rPr>
                <w:sz w:val="18"/>
              </w:rPr>
              <w:t>EXT-015 — نماذج منصات ترجمة المعرفة توفر أطرًا عملية لتصميم آليات التعاون البحثي المؤسسي عبر الحدود.</w:t>
            </w:r>
          </w:p>
        </w:tc>
        <w:tc>
          <w:tcPr>
            <w:tcW w:type="dxa" w:w="2160"/>
          </w:tcPr>
          <w:p>
            <w:r>
              <w:rPr>
                <w:sz w:val="18"/>
              </w:rPr>
              <w:t>medium</w:t>
            </w:r>
          </w:p>
        </w:tc>
      </w:tr>
    </w:tbl>
    <w:p/>
    <w:p>
      <w:pPr>
        <w:pStyle w:val="Heading2"/>
      </w:pPr>
      <w:r>
        <w:t>1.1 Objective &amp; Scope</w:t>
      </w:r>
    </w:p>
    <w:p>
      <w:r>
        <w:t>## الهدف والنطاق — تفسير جنائي للمنافسة</w:t>
        <w:br/>
        <w:t xml:space="preserve"> ### ١. ما تطلبه الجهة فعلياً: ثلاثة مسارات عمل مترابطة في سياق تموضع دولي سيادي</w:t>
        <w:br/>
        <w:t xml:space="preserve"> هذه المنافسة صادرة عن الهيئة السعودية للبيانات والذكاء الاصطناعي (سدايا) وتحمل عنوان "الخدمات الاحترافية في أبحاث الذكاء الاصطناعي وأخلاقياته مع اليونسكو. " النص الصريح للهدف (DIRECT_RFP_FACT — حقل mandate) ينص على: "توفير خدمات احترافية تعزز أبحاث الذكاء الاصطناعي وأخلاقياته مع اليونسكو، ووضع أطر عمل ومبادرات بحثية لتحديد المخرجات وآليات التعاون مع مختلف الدول، ووضع وإعداد تقييم معياري لأداء برامج بحثية في أبحاث وأخلاقيات الذكاء الاصطناعي. " الجهة تطلب ثلاثة مسارات عمل مترابطة: (أ) تقييم تحليلي للوضع الراهن لبرامج اليونسكو في أخلاقيات الذكاء الاصطناعي والأبحاث الدولية، (ب) تصميم مبادرات وأطر تعاون دولي تحدد المخرجات وآليات العمل مع دول متعددة، و(ج) بناء قدرات فريق سدايا الداخلي لإدارة هذا الملف باستقلالية. صياغة النطاق تستخدم "تعزيز" و"تطوير" وليس "تأسيس" (INFERENCE بثقة عالية)، مما يُشير إلى أن سدايا لديها علاقة قائمة مع اليونسكو وتسعى لتعميقها وهيكلتها وليس تأسيسها من الصفر. السياق المؤسسي الأوسع: هذا المشروع ليس مشروعاً استشارياً تقليدياً — بل هو أداة لتموضع المملكة العربية السعودية على المسرح الدولي لأخلاقيات الذكاء الاصطناعي. شراكة سدايا مع اليونسكو هي الآلية، لكن الغاية هي ترسيخ المملكة كمُشكِّل للمعايير الدولية وليس مجرد مشارك فيها. هذا يعني أن جودة المخرجات لها أبعاد سمعة مؤسسية ودبلوماسية تتجاوز القيمة التعاقدية. ### ٢. تحليل المخرجات الإلزامية — تمييز وظيفي بين المكونات</w:t>
        <w:br/>
        <w:t xml:space="preserve"> المنافسة تحدد ثلاثة مخرجات إلزامية (DIRECT_RFP_FACT — deliverables):</w:t>
        <w:br/>
        <w:t xml:space="preserve"> **المخرج D-1 (تقييم الوضع الراهن — HR-L1-020):** الأكثر تفصيلاً في وصف النطاق — يشمل تحليل الأداء، قياس مستوى النضج، تحديد الفجوات وفرص التطوير، التوصيات العملية، أولويات التدخل، خارطة الطريق، ومؤشرات المتابعة والتقييم. هذا المخرج يتطلب منهجية تقييم متعددة الأبعاد تغطي ستة عناصر فرعية محددة صراحةً. الممارسة الدولية في تقييم جاهزية الذكاء الاصطناعي عبر نموذج TOE ذي الأبعاد الثمانية [EXT-007] ودورات التقارير الدورية لليونسكو [EXT-003] توفر أُطراً منهجية تدعم تصميم أداة تقييم متكاملة. المخرج يتطلب صراحةً مؤشرات متابعة وتقييم — مما يستوجب إطار M&amp;E مبنياً على منهج نظرية التغيير [EXT-012] الذي يُمكّن من رصد المساهمات العملية إلى جانب المخرجات الملموسة. **المخرج D-2 (تطوير البرامج — HR-L1-021):** يركز على تصميم المبادرات وأطر العمل وتحديد نطاق العمل والمخرجات وآليات التعاون وربط البرامج بأهداف التنمية المستدامة. هذا المخرج هو الأكثر تعقيداً من حيث البُعد المؤسسي والدولي — فهو يتطلب فهماً لكيفية عمل آليات التعاون الدولي في مجال الذكاء الاصطناعي وتصميم أطر عمل قابلة للتنفيذ مع دول متعددة. ربط البرامج بأهداف التنمية المستدامة (SDGs) متطلب مؤسسي لليونسكو — والممارسة الدولية في وسم البرامج بأهداف التنمية المستدامة [EXT-013] توفر منهجية مرجعية لهذا الربط. إطار البنك الدولي CISF [EXT-004] يدعم تصميم أولويات التدخل بناءً على القدرات المؤسسية الفعلية. **المخرج D-3 (التدريب ونقل المعرفة — HR-L1-022):** محدد بثلاث آليات صريحة (DIRECT_RFP_FACT من SI-3): التدريب على رأس العمل، العمل جنباً إلى جنب، وورش العمل التدريبية. تحديد الآليات بهذا الشكل (INFERENCE بثقة متوسطة) يُشير إلى أن سدايا تريد ضمانات ملموسة لنقل المعرفة وليس تدريباً شكلياً. D-3 شرط إلزامي يتطلب استجابة مفصّلة، وتقديم نموذج نقل معرفة مبني على إطار APQC [EXT-006] مع تأسيس فريق مُقيِّمين داخلي [EXT-014] يرفع مستوى الاستجابة. ### ٣. منطق النجاح والفشل</w:t>
        <w:br/>
        <w:t xml:space="preserve"> **عوامل النجاح:** (1) إثبات الإلمام بالبنية المؤسسية لليونسكو في أخلاقيات الذكاء الاصطناعي — توصية 2021، برامج EEP وABC وGEObs [EXT-002]؛ (2) تقديم منهجية تقييم متعددة الأبعاد قابلة للتكرار مرتبطة بأدوات اليونسكو المعيارية؛ (3) تصميم أطر تعاون عملية بآليات تنفيذ واضحة وملكية محددة؛ (4) بناء قدرات مستدامة بمؤشرات كفاءة قابلة للقياس. **عوامل الفشل:** (1) تقديم تقييم عام غير مرتبط بأدوات اليونسكو المعيارية؛ (2) تصميم أطر نظرية بدون آليات تنفيذ وملكية واضحة؛ (3) تدريب سطحي بدون قياس أثر؛ (4) عدم فهم السياق المؤسسي للتعاون الدولي في مجال الذكاء الاصطناعي. ### ٤. حدود النطاق ومتطلبات الإثبات</w:t>
        <w:br/>
        <w:t xml:space="preserve"> النطاق يركز حصرياً على برامج اليونسكو في أخلاقيات الذكاء الاصطناعي والأبحاث الدولية — وليس على البنية التحتية التقنية لسدايا أو أنظمتها الداخلية. هذا تمييز جوهري: المشروع استشاري-استراتيجي وليس تقنياً. متطلبات الإثبات الرئيسية: (أ) القدرة على إجراء تقييمات مؤسسية معيارية عبر دول متعددة — فجوة أدلة داخلية تحتاج لسدها من Engine 2؛ (ب) الخبرة في تصميم أطر تعاون دولي — فجوة أدلة داخلية؛ (ج) القدرة على التسليم باللغة العربية كلغة أولى مع مرجعية دولية — يلزم تأكيد من Engine 2 بنماذج مخرجات سابقة.</w:t>
      </w:r>
    </w:p>
    <w:p>
      <w:pPr>
        <w:pStyle w:val="Heading2"/>
      </w:pPr>
      <w:r>
        <w:t>1.2 Constraints &amp; Compliance Requirements</w:t>
      </w:r>
    </w:p>
    <w:p>
      <w:r>
        <w:t>## القيود والامتثال — جدول رئيسي موحّد مع قائمة تحقق تشغيلية</w:t>
        <w:br/>
        <w:t xml:space="preserve"> ### ١. القيود الزمنية والإجرائية</w:t>
        <w:br/>
        <w:t xml:space="preserve"> الجدول الزمني للمنافسة محدد بتواريخ هجرية صريحة (DIRECT_RFP_FACT): آخر موعد للاستفسارات 1447/11/08، موعد تقديم العروض 1447/11/11، فتح المظاريف 1447/11/11، الترسية المتوقعة 1447/12/02، وبدء الخدمة 1448/01/06. الفجوة بين موعد التقديم والترسية المتوقعة تقارب 3 أسابيع، وبين الترسية وبدء الخدمة تقارب شهراً واحداً — مما يتطلب جاهزية تعبئة سريعة من المتعاقد الفائز. أما مدة تنفيذ المشروع فهي محددة بالنص (DIRECT_RFP_FACT): "تنفيذ الأعمال وفق المراحل الرئيسية والمخرجات المذكورة في نطاق العمل وذلك حسب المدة المذكورة في الجدول" — لكن الجدول المشار إليه غير متاح في النص المستخرج، مما يمثل فجوة حرجة تستوجب تقديم استفسار رسمي قبل موعد 1447/11/08. ### ٢. مصفوفة الامتثال الرئيسية — إجراءات المتنافس فقط</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8"/>
              </w:rPr>
              <w:t>الجدول التالي يشمل حصرياً الالتزامات التي تقع على عاتق المتنافس (DIRECT_RFP_FACT). إجراءات جانب الجهة الحكومية (HR-L2-001، HR-L2-002، HR-L2-003) مُدرجة في ملاحظة منفصلة أدناه.</w:t>
            </w:r>
          </w:p>
        </w:tc>
        <w:tc>
          <w:tcPr>
            <w:tcW w:type="dxa" w:w="960"/>
          </w:tcPr>
          <w:p>
            <w:r>
              <w:rPr>
                <w:b/>
                <w:sz w:val="18"/>
              </w:rPr>
              <w:t>معرّف</w:t>
            </w:r>
          </w:p>
        </w:tc>
        <w:tc>
          <w:tcPr>
            <w:tcW w:type="dxa" w:w="960"/>
          </w:tcPr>
          <w:p>
            <w:r>
              <w:rPr>
                <w:b/>
                <w:sz w:val="18"/>
              </w:rPr>
              <w:t>النص من كراسة الشروط</w:t>
            </w:r>
          </w:p>
        </w:tc>
        <w:tc>
          <w:tcPr>
            <w:tcW w:type="dxa" w:w="960"/>
          </w:tcPr>
          <w:p>
            <w:r>
              <w:rPr>
                <w:b/>
                <w:sz w:val="18"/>
              </w:rPr>
              <w:t>إجراء المتنافس</w:t>
            </w:r>
          </w:p>
        </w:tc>
        <w:tc>
          <w:tcPr>
            <w:tcW w:type="dxa" w:w="960"/>
          </w:tcPr>
          <w:p>
            <w:r>
              <w:rPr>
                <w:b/>
                <w:sz w:val="18"/>
              </w:rPr>
              <w:t>موقع الاستجابة في العرض</w:t>
            </w:r>
          </w:p>
        </w:tc>
        <w:tc>
          <w:tcPr>
            <w:tcW w:type="dxa" w:w="960"/>
          </w:tcPr>
          <w:p>
            <w:r>
              <w:rPr>
                <w:b/>
                <w:sz w:val="18"/>
              </w:rPr>
              <w:t>اسم المرفق</w:t>
            </w:r>
          </w:p>
        </w:tc>
        <w:tc>
          <w:tcPr>
            <w:tcW w:type="dxa" w:w="960"/>
          </w:tcPr>
          <w:p>
            <w:r>
              <w:rPr>
                <w:b/>
                <w:sz w:val="18"/>
              </w:rPr>
              <w:t>المالك</w:t>
            </w:r>
          </w:p>
        </w:tc>
        <w:tc>
          <w:tcPr>
            <w:tcW w:type="dxa" w:w="960"/>
          </w:tcPr>
          <w:p>
            <w:r>
              <w:rPr>
                <w:b/>
                <w:sz w:val="18"/>
              </w:rPr>
              <w:t>الموعد</w:t>
            </w:r>
          </w:p>
        </w:tc>
        <w:tc>
          <w:tcPr>
            <w:tcW w:type="dxa" w:w="960"/>
          </w:tcPr>
          <w:p>
            <w:r>
              <w:rPr>
                <w:b/>
                <w:sz w:val="18"/>
              </w:rPr>
              <w:t>الحالة</w:t>
            </w:r>
          </w:p>
        </w:tc>
      </w:tr>
      <w:tr>
        <w:tc>
          <w:tcPr>
            <w:tcW w:type="dxa" w:w="960"/>
          </w:tcPr>
          <w:p>
            <w:r>
              <w:rPr>
                <w:sz w:val="18"/>
              </w:rPr>
              <w:t>CR-1 / HR-L1-001</w:t>
            </w:r>
          </w:p>
        </w:tc>
        <w:tc>
          <w:tcPr>
            <w:tcW w:type="dxa" w:w="960"/>
          </w:tcPr>
          <w:p>
            <w:r>
              <w:rPr>
                <w:sz w:val="18"/>
              </w:rPr>
              <w:t>يجب أن تقدم العروض باللغة العربية؛ في حال التعارض يُؤخذ بالنص العربي</w:t>
            </w:r>
          </w:p>
        </w:tc>
        <w:tc>
          <w:tcPr>
            <w:tcW w:type="dxa" w:w="960"/>
          </w:tcPr>
          <w:p>
            <w:r>
              <w:rPr>
                <w:sz w:val="18"/>
              </w:rPr>
              <w:t>إعداد جميع الوثائق بالعربية أصالةً</w:t>
            </w:r>
          </w:p>
        </w:tc>
        <w:tc>
          <w:tcPr>
            <w:tcW w:type="dxa" w:w="960"/>
          </w:tcPr>
          <w:p>
            <w:r>
              <w:rPr>
                <w:sz w:val="18"/>
              </w:rPr>
              <w:t>العرض الفني + المالي بالكامل</w:t>
            </w:r>
          </w:p>
        </w:tc>
        <w:tc>
          <w:tcPr>
            <w:tcW w:type="dxa" w:w="960"/>
          </w:tcPr>
          <w:p>
            <w:r>
              <w:rPr>
                <w:sz w:val="18"/>
              </w:rPr>
              <w:t>لا ينطبق (شرط شامل)</w:t>
            </w:r>
          </w:p>
        </w:tc>
        <w:tc>
          <w:tcPr>
            <w:tcW w:type="dxa" w:w="960"/>
          </w:tcPr>
          <w:p>
            <w:r>
              <w:rPr>
                <w:sz w:val="18"/>
              </w:rPr>
              <w:t>مدير العرض</w:t>
            </w:r>
          </w:p>
        </w:tc>
        <w:tc>
          <w:tcPr>
            <w:tcW w:type="dxa" w:w="960"/>
          </w:tcPr>
          <w:p>
            <w:r>
              <w:rPr>
                <w:sz w:val="18"/>
              </w:rPr>
              <w:t>قبل التقديم</w:t>
            </w:r>
          </w:p>
        </w:tc>
        <w:tc>
          <w:tcPr>
            <w:tcW w:type="dxa" w:w="960"/>
          </w:tcPr>
          <w:p>
            <w:r>
              <w:rPr>
                <w:sz w:val="18"/>
              </w:rPr>
              <w:t>فجوة — يلزم تأكيد جاهزية الإنتاج</w:t>
            </w:r>
          </w:p>
        </w:tc>
        <w:tc>
          <w:tcPr>
            <w:tcW w:type="dxa" w:w="960"/>
          </w:tcPr>
          <w:p/>
        </w:tc>
      </w:tr>
      <w:tr>
        <w:tc>
          <w:tcPr>
            <w:tcW w:type="dxa" w:w="960"/>
          </w:tcPr>
          <w:p>
            <w:r>
              <w:rPr>
                <w:sz w:val="18"/>
              </w:rPr>
              <w:t>CR-2 / HR-L1-002</w:t>
            </w:r>
          </w:p>
        </w:tc>
        <w:tc>
          <w:tcPr>
            <w:tcW w:type="dxa" w:w="960"/>
          </w:tcPr>
          <w:p>
            <w:r>
              <w:rPr>
                <w:sz w:val="18"/>
              </w:rPr>
              <w:t>السجل التجاري</w:t>
            </w:r>
          </w:p>
        </w:tc>
        <w:tc>
          <w:tcPr>
            <w:tcW w:type="dxa" w:w="960"/>
          </w:tcPr>
          <w:p>
            <w:r>
              <w:rPr>
                <w:sz w:val="18"/>
              </w:rPr>
              <w:t>إرفاق نسخة سارية</w:t>
            </w:r>
          </w:p>
        </w:tc>
        <w:tc>
          <w:tcPr>
            <w:tcW w:type="dxa" w:w="960"/>
          </w:tcPr>
          <w:p>
            <w:r>
              <w:rPr>
                <w:sz w:val="18"/>
              </w:rPr>
              <w:t>مرفقات العرض الفني — وثائق نظامية</w:t>
            </w:r>
          </w:p>
        </w:tc>
        <w:tc>
          <w:tcPr>
            <w:tcW w:type="dxa" w:w="960"/>
          </w:tcPr>
          <w:p>
            <w:r>
              <w:rPr>
                <w:sz w:val="18"/>
              </w:rPr>
              <w:t>سجل_تجاري. pdf</w:t>
            </w:r>
          </w:p>
        </w:tc>
        <w:tc>
          <w:tcPr>
            <w:tcW w:type="dxa" w:w="960"/>
          </w:tcPr>
          <w:p>
            <w:r>
              <w:rPr>
                <w:sz w:val="18"/>
              </w:rPr>
              <w:t>الشؤون القانونية</w:t>
            </w:r>
          </w:p>
        </w:tc>
        <w:tc>
          <w:tcPr>
            <w:tcW w:type="dxa" w:w="960"/>
          </w:tcPr>
          <w:p>
            <w:r>
              <w:rPr>
                <w:sz w:val="18"/>
              </w:rPr>
              <w:t>قبل التقديم</w:t>
            </w:r>
          </w:p>
        </w:tc>
        <w:tc>
          <w:tcPr>
            <w:tcW w:type="dxa" w:w="960"/>
          </w:tcPr>
          <w:p>
            <w:r>
              <w:rPr>
                <w:sz w:val="18"/>
              </w:rPr>
              <w:t>فجوة — يلزم تأكيد الصلاحية</w:t>
            </w:r>
          </w:p>
        </w:tc>
        <w:tc>
          <w:tcPr>
            <w:tcW w:type="dxa" w:w="960"/>
          </w:tcPr>
          <w:p/>
        </w:tc>
      </w:tr>
      <w:tr>
        <w:tc>
          <w:tcPr>
            <w:tcW w:type="dxa" w:w="960"/>
          </w:tcPr>
          <w:p>
            <w:r>
              <w:rPr>
                <w:sz w:val="18"/>
              </w:rPr>
              <w:t>CR-3 / HR-L1-003</w:t>
            </w:r>
          </w:p>
        </w:tc>
        <w:tc>
          <w:tcPr>
            <w:tcW w:type="dxa" w:w="960"/>
          </w:tcPr>
          <w:p>
            <w:r>
              <w:rPr>
                <w:sz w:val="18"/>
              </w:rPr>
              <w:t>شهادة الزكاة</w:t>
            </w:r>
          </w:p>
        </w:tc>
        <w:tc>
          <w:tcPr>
            <w:tcW w:type="dxa" w:w="960"/>
          </w:tcPr>
          <w:p>
            <w:r>
              <w:rPr>
                <w:sz w:val="18"/>
              </w:rPr>
              <w:t>إرفاق شهادة سارية من ZATCA</w:t>
            </w:r>
          </w:p>
        </w:tc>
        <w:tc>
          <w:tcPr>
            <w:tcW w:type="dxa" w:w="960"/>
          </w:tcPr>
          <w:p>
            <w:r>
              <w:rPr>
                <w:sz w:val="18"/>
              </w:rPr>
              <w:t>مرفقات العرض الفني — وثائق نظامية</w:t>
            </w:r>
          </w:p>
        </w:tc>
        <w:tc>
          <w:tcPr>
            <w:tcW w:type="dxa" w:w="960"/>
          </w:tcPr>
          <w:p>
            <w:r>
              <w:rPr>
                <w:sz w:val="18"/>
              </w:rPr>
              <w:t>شهادة_زكاة. pdf</w:t>
            </w:r>
          </w:p>
        </w:tc>
        <w:tc>
          <w:tcPr>
            <w:tcW w:type="dxa" w:w="960"/>
          </w:tcPr>
          <w:p>
            <w:r>
              <w:rPr>
                <w:sz w:val="18"/>
              </w:rPr>
              <w:t>إدارة المالية</w:t>
            </w:r>
          </w:p>
        </w:tc>
        <w:tc>
          <w:tcPr>
            <w:tcW w:type="dxa" w:w="960"/>
          </w:tcPr>
          <w:p>
            <w:r>
              <w:rPr>
                <w:sz w:val="18"/>
              </w:rPr>
              <w:t>قبل التقديم</w:t>
            </w:r>
          </w:p>
        </w:tc>
        <w:tc>
          <w:tcPr>
            <w:tcW w:type="dxa" w:w="960"/>
          </w:tcPr>
          <w:p>
            <w:r>
              <w:rPr>
                <w:sz w:val="18"/>
              </w:rPr>
              <w:t>فجوة — يلزم تأكيد الصلاحية</w:t>
            </w:r>
          </w:p>
        </w:tc>
        <w:tc>
          <w:tcPr>
            <w:tcW w:type="dxa" w:w="960"/>
          </w:tcPr>
          <w:p/>
        </w:tc>
      </w:tr>
      <w:tr>
        <w:tc>
          <w:tcPr>
            <w:tcW w:type="dxa" w:w="960"/>
          </w:tcPr>
          <w:p>
            <w:r>
              <w:rPr>
                <w:sz w:val="18"/>
              </w:rPr>
              <w:t>CR-4 / HR-L1-004</w:t>
            </w:r>
          </w:p>
        </w:tc>
        <w:tc>
          <w:tcPr>
            <w:tcW w:type="dxa" w:w="960"/>
          </w:tcPr>
          <w:p>
            <w:r>
              <w:rPr>
                <w:sz w:val="18"/>
              </w:rPr>
              <w:t>شهادة اشتراك الغرفة التجارية</w:t>
            </w:r>
          </w:p>
        </w:tc>
        <w:tc>
          <w:tcPr>
            <w:tcW w:type="dxa" w:w="960"/>
          </w:tcPr>
          <w:p>
            <w:r>
              <w:rPr>
                <w:sz w:val="18"/>
              </w:rPr>
              <w:t>إرفاق شهادة سارية</w:t>
            </w:r>
          </w:p>
        </w:tc>
        <w:tc>
          <w:tcPr>
            <w:tcW w:type="dxa" w:w="960"/>
          </w:tcPr>
          <w:p>
            <w:r>
              <w:rPr>
                <w:sz w:val="18"/>
              </w:rPr>
              <w:t>مرفقات العرض الفني — وثائق نظامية</w:t>
            </w:r>
          </w:p>
        </w:tc>
        <w:tc>
          <w:tcPr>
            <w:tcW w:type="dxa" w:w="960"/>
          </w:tcPr>
          <w:p>
            <w:r>
              <w:rPr>
                <w:sz w:val="18"/>
              </w:rPr>
              <w:t>شهادة_غرفة. pdf</w:t>
            </w:r>
          </w:p>
        </w:tc>
        <w:tc>
          <w:tcPr>
            <w:tcW w:type="dxa" w:w="960"/>
          </w:tcPr>
          <w:p>
            <w:r>
              <w:rPr>
                <w:sz w:val="18"/>
              </w:rPr>
              <w:t>الشؤون القانونية</w:t>
            </w:r>
          </w:p>
        </w:tc>
        <w:tc>
          <w:tcPr>
            <w:tcW w:type="dxa" w:w="960"/>
          </w:tcPr>
          <w:p>
            <w:r>
              <w:rPr>
                <w:sz w:val="18"/>
              </w:rPr>
              <w:t>قبل التقديم</w:t>
            </w:r>
          </w:p>
        </w:tc>
        <w:tc>
          <w:tcPr>
            <w:tcW w:type="dxa" w:w="960"/>
          </w:tcPr>
          <w:p>
            <w:r>
              <w:rPr>
                <w:sz w:val="18"/>
              </w:rPr>
              <w:t>فجوة — يلزم تأكيد الصلاحية</w:t>
            </w:r>
          </w:p>
        </w:tc>
        <w:tc>
          <w:tcPr>
            <w:tcW w:type="dxa" w:w="960"/>
          </w:tcPr>
          <w:p/>
        </w:tc>
      </w:tr>
      <w:tr>
        <w:tc>
          <w:tcPr>
            <w:tcW w:type="dxa" w:w="960"/>
          </w:tcPr>
          <w:p>
            <w:r>
              <w:rPr>
                <w:sz w:val="18"/>
              </w:rPr>
              <w:t>CR-5 / HR-L1-005</w:t>
            </w:r>
          </w:p>
        </w:tc>
        <w:tc>
          <w:tcPr>
            <w:tcW w:type="dxa" w:w="960"/>
          </w:tcPr>
          <w:p>
            <w:r>
              <w:rPr>
                <w:sz w:val="18"/>
              </w:rPr>
              <w:t>شهادة السعودة</w:t>
            </w:r>
          </w:p>
        </w:tc>
        <w:tc>
          <w:tcPr>
            <w:tcW w:type="dxa" w:w="960"/>
          </w:tcPr>
          <w:p>
            <w:r>
              <w:rPr>
                <w:sz w:val="18"/>
              </w:rPr>
              <w:t>إرفاق شهادة سارية</w:t>
            </w:r>
          </w:p>
        </w:tc>
        <w:tc>
          <w:tcPr>
            <w:tcW w:type="dxa" w:w="960"/>
          </w:tcPr>
          <w:p>
            <w:r>
              <w:rPr>
                <w:sz w:val="18"/>
              </w:rPr>
              <w:t>مرفقات العرض الفني — وثائق نظامية</w:t>
            </w:r>
          </w:p>
        </w:tc>
        <w:tc>
          <w:tcPr>
            <w:tcW w:type="dxa" w:w="960"/>
          </w:tcPr>
          <w:p>
            <w:r>
              <w:rPr>
                <w:sz w:val="18"/>
              </w:rPr>
              <w:t>شهادة_سعودة. pdf</w:t>
            </w:r>
          </w:p>
        </w:tc>
        <w:tc>
          <w:tcPr>
            <w:tcW w:type="dxa" w:w="960"/>
          </w:tcPr>
          <w:p>
            <w:r>
              <w:rPr>
                <w:sz w:val="18"/>
              </w:rPr>
              <w:t>الموارد البشرية</w:t>
            </w:r>
          </w:p>
        </w:tc>
        <w:tc>
          <w:tcPr>
            <w:tcW w:type="dxa" w:w="960"/>
          </w:tcPr>
          <w:p>
            <w:r>
              <w:rPr>
                <w:sz w:val="18"/>
              </w:rPr>
              <w:t>قبل التقديم</w:t>
            </w:r>
          </w:p>
        </w:tc>
        <w:tc>
          <w:tcPr>
            <w:tcW w:type="dxa" w:w="960"/>
          </w:tcPr>
          <w:p>
            <w:r>
              <w:rPr>
                <w:sz w:val="18"/>
              </w:rPr>
              <w:t>فجوة — يلزم تأكيد النسبة والصلاحية</w:t>
            </w:r>
          </w:p>
        </w:tc>
        <w:tc>
          <w:tcPr>
            <w:tcW w:type="dxa" w:w="960"/>
          </w:tcPr>
          <w:p/>
        </w:tc>
      </w:tr>
      <w:tr>
        <w:tc>
          <w:tcPr>
            <w:tcW w:type="dxa" w:w="960"/>
          </w:tcPr>
          <w:p>
            <w:r>
              <w:rPr>
                <w:sz w:val="18"/>
              </w:rPr>
              <w:t>CR-6</w:t>
            </w:r>
          </w:p>
        </w:tc>
        <w:tc>
          <w:tcPr>
            <w:tcW w:type="dxa" w:w="960"/>
          </w:tcPr>
          <w:p>
            <w:r>
              <w:rPr>
                <w:sz w:val="18"/>
              </w:rPr>
              <w:t>الالتزام بلائحة تعارض المصالح والإفصاح الكتابي</w:t>
            </w:r>
          </w:p>
        </w:tc>
        <w:tc>
          <w:tcPr>
            <w:tcW w:type="dxa" w:w="960"/>
          </w:tcPr>
          <w:p>
            <w:r>
              <w:rPr>
                <w:sz w:val="18"/>
              </w:rPr>
              <w:t>إقرار كتابي موقّع من الممثل النظامي</w:t>
            </w:r>
          </w:p>
        </w:tc>
        <w:tc>
          <w:tcPr>
            <w:tcW w:type="dxa" w:w="960"/>
          </w:tcPr>
          <w:p>
            <w:r>
              <w:rPr>
                <w:sz w:val="18"/>
              </w:rPr>
              <w:t>مرفقات العرض الفني — إقرارات</w:t>
            </w:r>
          </w:p>
        </w:tc>
        <w:tc>
          <w:tcPr>
            <w:tcW w:type="dxa" w:w="960"/>
          </w:tcPr>
          <w:p>
            <w:r>
              <w:rPr>
                <w:sz w:val="18"/>
              </w:rPr>
              <w:t>إقرار_تعارض_مصالح. pdf</w:t>
            </w:r>
          </w:p>
        </w:tc>
        <w:tc>
          <w:tcPr>
            <w:tcW w:type="dxa" w:w="960"/>
          </w:tcPr>
          <w:p>
            <w:r>
              <w:rPr>
                <w:sz w:val="18"/>
              </w:rPr>
              <w:t>الشؤون القانونية</w:t>
            </w:r>
          </w:p>
        </w:tc>
        <w:tc>
          <w:tcPr>
            <w:tcW w:type="dxa" w:w="960"/>
          </w:tcPr>
          <w:p>
            <w:r>
              <w:rPr>
                <w:sz w:val="18"/>
              </w:rPr>
              <w:t>قبل التقديم</w:t>
            </w:r>
          </w:p>
        </w:tc>
        <w:tc>
          <w:tcPr>
            <w:tcW w:type="dxa" w:w="960"/>
          </w:tcPr>
          <w:p>
            <w:r>
              <w:rPr>
                <w:sz w:val="18"/>
              </w:rPr>
              <w:t>فجوة — يلزم إعداد النموذج</w:t>
            </w:r>
          </w:p>
        </w:tc>
        <w:tc>
          <w:tcPr>
            <w:tcW w:type="dxa" w:w="960"/>
          </w:tcPr>
          <w:p/>
        </w:tc>
      </w:tr>
      <w:tr>
        <w:tc>
          <w:tcPr>
            <w:tcW w:type="dxa" w:w="960"/>
          </w:tcPr>
          <w:p>
            <w:r>
              <w:rPr>
                <w:sz w:val="18"/>
              </w:rPr>
              <w:t>CR-7</w:t>
            </w:r>
          </w:p>
        </w:tc>
        <w:tc>
          <w:tcPr>
            <w:tcW w:type="dxa" w:w="960"/>
          </w:tcPr>
          <w:p>
            <w:r>
              <w:rPr>
                <w:sz w:val="18"/>
              </w:rPr>
              <w:t>الالتزام بقواعد السلوك المهني وأخلاقيات المهنة</w:t>
            </w:r>
          </w:p>
        </w:tc>
        <w:tc>
          <w:tcPr>
            <w:tcW w:type="dxa" w:w="960"/>
          </w:tcPr>
          <w:p>
            <w:r>
              <w:rPr>
                <w:sz w:val="18"/>
              </w:rPr>
              <w:t>إقرار كتابي بالالتزام</w:t>
            </w:r>
          </w:p>
        </w:tc>
        <w:tc>
          <w:tcPr>
            <w:tcW w:type="dxa" w:w="960"/>
          </w:tcPr>
          <w:p>
            <w:r>
              <w:rPr>
                <w:sz w:val="18"/>
              </w:rPr>
              <w:t>مرفقات العرض الفني — إقرارات</w:t>
            </w:r>
          </w:p>
        </w:tc>
        <w:tc>
          <w:tcPr>
            <w:tcW w:type="dxa" w:w="960"/>
          </w:tcPr>
          <w:p>
            <w:r>
              <w:rPr>
                <w:sz w:val="18"/>
              </w:rPr>
              <w:t>إقرار_سلوك_مهني. pdf</w:t>
            </w:r>
          </w:p>
        </w:tc>
        <w:tc>
          <w:tcPr>
            <w:tcW w:type="dxa" w:w="960"/>
          </w:tcPr>
          <w:p>
            <w:r>
              <w:rPr>
                <w:sz w:val="18"/>
              </w:rPr>
              <w:t>الشؤون القانونية</w:t>
            </w:r>
          </w:p>
        </w:tc>
        <w:tc>
          <w:tcPr>
            <w:tcW w:type="dxa" w:w="960"/>
          </w:tcPr>
          <w:p>
            <w:r>
              <w:rPr>
                <w:sz w:val="18"/>
              </w:rPr>
              <w:t>قبل التقديم</w:t>
            </w:r>
          </w:p>
        </w:tc>
        <w:tc>
          <w:tcPr>
            <w:tcW w:type="dxa" w:w="960"/>
          </w:tcPr>
          <w:p>
            <w:r>
              <w:rPr>
                <w:sz w:val="18"/>
              </w:rPr>
              <w:t>فجوة — يلزم إعداد الإقرار</w:t>
            </w:r>
          </w:p>
        </w:tc>
        <w:tc>
          <w:tcPr>
            <w:tcW w:type="dxa" w:w="960"/>
          </w:tcPr>
          <w:p/>
        </w:tc>
      </w:tr>
      <w:tr>
        <w:tc>
          <w:tcPr>
            <w:tcW w:type="dxa" w:w="960"/>
          </w:tcPr>
          <w:p>
            <w:r>
              <w:rPr>
                <w:sz w:val="18"/>
              </w:rPr>
              <w:t>CR-8 / HR-L1-008</w:t>
            </w:r>
          </w:p>
        </w:tc>
        <w:tc>
          <w:tcPr>
            <w:tcW w:type="dxa" w:w="960"/>
          </w:tcPr>
          <w:p>
            <w:r>
              <w:rPr>
                <w:sz w:val="18"/>
              </w:rPr>
              <w:t>السرية وعدم إفشاء معلومات المنافسة إلا بموافقة كتابية</w:t>
            </w:r>
          </w:p>
        </w:tc>
        <w:tc>
          <w:tcPr>
            <w:tcW w:type="dxa" w:w="960"/>
          </w:tcPr>
          <w:p>
            <w:r>
              <w:rPr>
                <w:sz w:val="18"/>
              </w:rPr>
              <w:t>تعهد كتابي بالسرية يشمل جميع أعضاء الفريق</w:t>
            </w:r>
          </w:p>
        </w:tc>
        <w:tc>
          <w:tcPr>
            <w:tcW w:type="dxa" w:w="960"/>
          </w:tcPr>
          <w:p>
            <w:r>
              <w:rPr>
                <w:sz w:val="18"/>
              </w:rPr>
              <w:t>مرفقات العرض الفني — إقرارات</w:t>
            </w:r>
          </w:p>
        </w:tc>
        <w:tc>
          <w:tcPr>
            <w:tcW w:type="dxa" w:w="960"/>
          </w:tcPr>
          <w:p>
            <w:r>
              <w:rPr>
                <w:sz w:val="18"/>
              </w:rPr>
              <w:t>تعهد_سرية. pdf</w:t>
            </w:r>
          </w:p>
        </w:tc>
        <w:tc>
          <w:tcPr>
            <w:tcW w:type="dxa" w:w="960"/>
          </w:tcPr>
          <w:p>
            <w:r>
              <w:rPr>
                <w:sz w:val="18"/>
              </w:rPr>
              <w:t>الشؤون القانونية</w:t>
            </w:r>
          </w:p>
        </w:tc>
        <w:tc>
          <w:tcPr>
            <w:tcW w:type="dxa" w:w="960"/>
          </w:tcPr>
          <w:p>
            <w:r>
              <w:rPr>
                <w:sz w:val="18"/>
              </w:rPr>
              <w:t>قبل التقديم</w:t>
            </w:r>
          </w:p>
        </w:tc>
        <w:tc>
          <w:tcPr>
            <w:tcW w:type="dxa" w:w="960"/>
          </w:tcPr>
          <w:p>
            <w:r>
              <w:rPr>
                <w:sz w:val="18"/>
              </w:rPr>
              <w:t>فجوة — يلزم إعداد النموذج</w:t>
            </w:r>
          </w:p>
        </w:tc>
        <w:tc>
          <w:tcPr>
            <w:tcW w:type="dxa" w:w="960"/>
          </w:tcPr>
          <w:p/>
        </w:tc>
      </w:tr>
      <w:tr>
        <w:tc>
          <w:tcPr>
            <w:tcW w:type="dxa" w:w="960"/>
          </w:tcPr>
          <w:p>
            <w:r>
              <w:rPr>
                <w:sz w:val="18"/>
              </w:rPr>
              <w:t>CR-9 / HR-L1-009</w:t>
            </w:r>
          </w:p>
        </w:tc>
        <w:tc>
          <w:tcPr>
            <w:tcW w:type="dxa" w:w="960"/>
          </w:tcPr>
          <w:p>
            <w:r>
              <w:rPr>
                <w:sz w:val="18"/>
              </w:rPr>
              <w:t>لا يُقبل تقديم العروض البديلة</w:t>
            </w:r>
          </w:p>
        </w:tc>
        <w:tc>
          <w:tcPr>
            <w:tcW w:type="dxa" w:w="960"/>
          </w:tcPr>
          <w:p>
            <w:r>
              <w:rPr>
                <w:sz w:val="18"/>
              </w:rPr>
              <w:t>تقديم عرض واحد فقط؛ إقرار في خطاب التقديم</w:t>
            </w:r>
          </w:p>
        </w:tc>
        <w:tc>
          <w:tcPr>
            <w:tcW w:type="dxa" w:w="960"/>
          </w:tcPr>
          <w:p>
            <w:r>
              <w:rPr>
                <w:sz w:val="18"/>
              </w:rPr>
              <w:t>خطاب التقديم الرسمي</w:t>
            </w:r>
          </w:p>
        </w:tc>
        <w:tc>
          <w:tcPr>
            <w:tcW w:type="dxa" w:w="960"/>
          </w:tcPr>
          <w:p>
            <w:r>
              <w:rPr>
                <w:sz w:val="18"/>
              </w:rPr>
              <w:t>لا ينطبق (إقرار ضمني)</w:t>
            </w:r>
          </w:p>
        </w:tc>
        <w:tc>
          <w:tcPr>
            <w:tcW w:type="dxa" w:w="960"/>
          </w:tcPr>
          <w:p>
            <w:r>
              <w:rPr>
                <w:sz w:val="18"/>
              </w:rPr>
              <w:t>مدير العرض</w:t>
            </w:r>
          </w:p>
        </w:tc>
        <w:tc>
          <w:tcPr>
            <w:tcW w:type="dxa" w:w="960"/>
          </w:tcPr>
          <w:p>
            <w:r>
              <w:rPr>
                <w:sz w:val="18"/>
              </w:rPr>
              <w:t>قبل التقديم</w:t>
            </w:r>
          </w:p>
        </w:tc>
        <w:tc>
          <w:tcPr>
            <w:tcW w:type="dxa" w:w="960"/>
          </w:tcPr>
          <w:p>
            <w:r>
              <w:rPr>
                <w:sz w:val="18"/>
              </w:rPr>
              <w:t>جاهز — التزام إجرائي</w:t>
            </w:r>
          </w:p>
        </w:tc>
        <w:tc>
          <w:tcPr>
            <w:tcW w:type="dxa" w:w="960"/>
          </w:tcPr>
          <w:p/>
        </w:tc>
      </w:tr>
      <w:tr>
        <w:tc>
          <w:tcPr>
            <w:tcW w:type="dxa" w:w="960"/>
          </w:tcPr>
          <w:p>
            <w:r>
              <w:rPr>
                <w:sz w:val="18"/>
              </w:rPr>
              <w:t>HR-L1-016/017</w:t>
            </w:r>
          </w:p>
        </w:tc>
        <w:tc>
          <w:tcPr>
            <w:tcW w:type="dxa" w:w="960"/>
          </w:tcPr>
          <w:p>
            <w:r>
              <w:rPr>
                <w:sz w:val="18"/>
              </w:rPr>
              <w:t>ضمان ابتدائي 1% من قيمة العرض الإجمالية</w:t>
            </w:r>
          </w:p>
        </w:tc>
        <w:tc>
          <w:tcPr>
            <w:tcW w:type="dxa" w:w="960"/>
          </w:tcPr>
          <w:p>
            <w:r>
              <w:rPr>
                <w:sz w:val="18"/>
              </w:rPr>
              <w:t>إصدار خطاب ضمان بنكي وإرفاق الأصل</w:t>
            </w:r>
          </w:p>
        </w:tc>
        <w:tc>
          <w:tcPr>
            <w:tcW w:type="dxa" w:w="960"/>
          </w:tcPr>
          <w:p>
            <w:r>
              <w:rPr>
                <w:sz w:val="18"/>
              </w:rPr>
              <w:t>ملف العرض المالي — المرفق الأول</w:t>
            </w:r>
          </w:p>
        </w:tc>
        <w:tc>
          <w:tcPr>
            <w:tcW w:type="dxa" w:w="960"/>
          </w:tcPr>
          <w:p>
            <w:r>
              <w:rPr>
                <w:sz w:val="18"/>
              </w:rPr>
              <w:t>خطاب_ضمان_ابتدائي. pdf</w:t>
            </w:r>
          </w:p>
        </w:tc>
        <w:tc>
          <w:tcPr>
            <w:tcW w:type="dxa" w:w="960"/>
          </w:tcPr>
          <w:p>
            <w:r>
              <w:rPr>
                <w:sz w:val="18"/>
              </w:rPr>
              <w:t>إدارة المالية</w:t>
            </w:r>
          </w:p>
        </w:tc>
        <w:tc>
          <w:tcPr>
            <w:tcW w:type="dxa" w:w="960"/>
          </w:tcPr>
          <w:p>
            <w:r>
              <w:rPr>
                <w:sz w:val="18"/>
              </w:rPr>
              <w:t>بعد تحديد القيمة</w:t>
            </w:r>
          </w:p>
        </w:tc>
        <w:tc>
          <w:tcPr>
            <w:tcW w:type="dxa" w:w="960"/>
          </w:tcPr>
          <w:p>
            <w:r>
              <w:rPr>
                <w:sz w:val="18"/>
              </w:rPr>
              <w:t>فجوة — يلزم التنسيق البنكي</w:t>
            </w:r>
          </w:p>
        </w:tc>
        <w:tc>
          <w:tcPr>
            <w:tcW w:type="dxa" w:w="960"/>
          </w:tcPr>
          <w:p/>
        </w:tc>
      </w:tr>
      <w:tr>
        <w:tc>
          <w:tcPr>
            <w:tcW w:type="dxa" w:w="960"/>
          </w:tcPr>
          <w:p>
            <w:r>
              <w:rPr>
                <w:sz w:val="18"/>
              </w:rPr>
              <w:t>HR-L1-018</w:t>
            </w:r>
          </w:p>
        </w:tc>
        <w:tc>
          <w:tcPr>
            <w:tcW w:type="dxa" w:w="960"/>
          </w:tcPr>
          <w:p>
            <w:r>
              <w:rPr>
                <w:sz w:val="18"/>
              </w:rPr>
              <w:t>وضع الضمان في ملف العرض المالي عند التقديم الإلكتروني</w:t>
            </w:r>
          </w:p>
        </w:tc>
        <w:tc>
          <w:tcPr>
            <w:tcW w:type="dxa" w:w="960"/>
          </w:tcPr>
          <w:p>
            <w:r>
              <w:rPr>
                <w:sz w:val="18"/>
              </w:rPr>
              <w:t>إدراج الضمان في الملف المالي وليس الفني</w:t>
            </w:r>
          </w:p>
        </w:tc>
        <w:tc>
          <w:tcPr>
            <w:tcW w:type="dxa" w:w="960"/>
          </w:tcPr>
          <w:p>
            <w:r>
              <w:rPr>
                <w:sz w:val="18"/>
              </w:rPr>
              <w:t>ملف العرض المالي</w:t>
            </w:r>
          </w:p>
        </w:tc>
        <w:tc>
          <w:tcPr>
            <w:tcW w:type="dxa" w:w="960"/>
          </w:tcPr>
          <w:p>
            <w:r>
              <w:rPr>
                <w:sz w:val="18"/>
              </w:rPr>
              <w:t>(ضمن ملف العرض المالي)</w:t>
            </w:r>
          </w:p>
        </w:tc>
        <w:tc>
          <w:tcPr>
            <w:tcW w:type="dxa" w:w="960"/>
          </w:tcPr>
          <w:p>
            <w:r>
              <w:rPr>
                <w:sz w:val="18"/>
              </w:rPr>
              <w:t>مدير العرض</w:t>
            </w:r>
          </w:p>
        </w:tc>
        <w:tc>
          <w:tcPr>
            <w:tcW w:type="dxa" w:w="960"/>
          </w:tcPr>
          <w:p>
            <w:r>
              <w:rPr>
                <w:sz w:val="18"/>
              </w:rPr>
              <w:t>عند التجميع</w:t>
            </w:r>
          </w:p>
        </w:tc>
        <w:tc>
          <w:tcPr>
            <w:tcW w:type="dxa" w:w="960"/>
          </w:tcPr>
          <w:p>
            <w:r>
              <w:rPr>
                <w:sz w:val="18"/>
              </w:rPr>
              <w:t>جاهز — التزام إجرائي</w:t>
            </w:r>
          </w:p>
        </w:tc>
        <w:tc>
          <w:tcPr>
            <w:tcW w:type="dxa" w:w="960"/>
          </w:tcPr>
          <w:p/>
        </w:tc>
      </w:tr>
      <w:tr>
        <w:tc>
          <w:tcPr>
            <w:tcW w:type="dxa" w:w="960"/>
          </w:tcPr>
          <w:p>
            <w:r>
              <w:rPr>
                <w:sz w:val="18"/>
              </w:rPr>
              <w:t>HR-L1-011/014</w:t>
            </w:r>
          </w:p>
        </w:tc>
        <w:tc>
          <w:tcPr>
            <w:tcW w:type="dxa" w:w="960"/>
          </w:tcPr>
          <w:p>
            <w:r>
              <w:rPr>
                <w:sz w:val="18"/>
              </w:rPr>
              <w:t>العرض الفني والمالي في ملفين منفصلين</w:t>
            </w:r>
          </w:p>
        </w:tc>
        <w:tc>
          <w:tcPr>
            <w:tcW w:type="dxa" w:w="960"/>
          </w:tcPr>
          <w:p>
            <w:r>
              <w:rPr>
                <w:sz w:val="18"/>
              </w:rPr>
              <w:t>فصل كامل بين المحتوى الفني والمالي</w:t>
            </w:r>
          </w:p>
        </w:tc>
        <w:tc>
          <w:tcPr>
            <w:tcW w:type="dxa" w:w="960"/>
          </w:tcPr>
          <w:p>
            <w:r>
              <w:rPr>
                <w:sz w:val="18"/>
              </w:rPr>
              <w:t>ملفان على اكسبرو</w:t>
            </w:r>
          </w:p>
        </w:tc>
        <w:tc>
          <w:tcPr>
            <w:tcW w:type="dxa" w:w="960"/>
          </w:tcPr>
          <w:p>
            <w:r>
              <w:rPr>
                <w:sz w:val="18"/>
              </w:rPr>
              <w:t>عرض_فني. pdf + عرض_مالي. pdf</w:t>
            </w:r>
          </w:p>
        </w:tc>
        <w:tc>
          <w:tcPr>
            <w:tcW w:type="dxa" w:w="960"/>
          </w:tcPr>
          <w:p>
            <w:r>
              <w:rPr>
                <w:sz w:val="18"/>
              </w:rPr>
              <w:t>مدير العرض</w:t>
            </w:r>
          </w:p>
        </w:tc>
        <w:tc>
          <w:tcPr>
            <w:tcW w:type="dxa" w:w="960"/>
          </w:tcPr>
          <w:p>
            <w:r>
              <w:rPr>
                <w:sz w:val="18"/>
              </w:rPr>
              <w:t>عند التقديم</w:t>
            </w:r>
          </w:p>
        </w:tc>
        <w:tc>
          <w:tcPr>
            <w:tcW w:type="dxa" w:w="960"/>
          </w:tcPr>
          <w:p>
            <w:r>
              <w:rPr>
                <w:sz w:val="18"/>
              </w:rPr>
              <w:t>فجوة — يلزم تأكيد التسجيل على اكسبرو</w:t>
            </w:r>
          </w:p>
        </w:tc>
        <w:tc>
          <w:tcPr>
            <w:tcW w:type="dxa" w:w="960"/>
          </w:tcPr>
          <w:p/>
        </w:tc>
      </w:tr>
      <w:tr>
        <w:tc>
          <w:tcPr>
            <w:tcW w:type="dxa" w:w="960"/>
          </w:tcPr>
          <w:p>
            <w:r>
              <w:rPr>
                <w:sz w:val="18"/>
              </w:rPr>
              <w:t>HR-L1-015</w:t>
            </w:r>
          </w:p>
        </w:tc>
        <w:tc>
          <w:tcPr>
            <w:tcW w:type="dxa" w:w="960"/>
          </w:tcPr>
          <w:p>
            <w:r>
              <w:rPr>
                <w:sz w:val="18"/>
              </w:rPr>
              <w:t>خطاب رسمي موقّع من مقدم العرض أو من يمثله نظامًا</w:t>
            </w:r>
          </w:p>
        </w:tc>
        <w:tc>
          <w:tcPr>
            <w:tcW w:type="dxa" w:w="960"/>
          </w:tcPr>
          <w:p>
            <w:r>
              <w:rPr>
                <w:sz w:val="18"/>
              </w:rPr>
              <w:t>خطاب على ورق الشركة موقّع من الممثل النظامي</w:t>
            </w:r>
          </w:p>
        </w:tc>
        <w:tc>
          <w:tcPr>
            <w:tcW w:type="dxa" w:w="960"/>
          </w:tcPr>
          <w:p>
            <w:r>
              <w:rPr>
                <w:sz w:val="18"/>
              </w:rPr>
              <w:t>الصفحة الأولى من ملف العرض الفني</w:t>
            </w:r>
          </w:p>
        </w:tc>
        <w:tc>
          <w:tcPr>
            <w:tcW w:type="dxa" w:w="960"/>
          </w:tcPr>
          <w:p>
            <w:r>
              <w:rPr>
                <w:sz w:val="18"/>
              </w:rPr>
              <w:t>خطاب_تقديم. pdf</w:t>
            </w:r>
          </w:p>
        </w:tc>
        <w:tc>
          <w:tcPr>
            <w:tcW w:type="dxa" w:w="960"/>
          </w:tcPr>
          <w:p>
            <w:r>
              <w:rPr>
                <w:sz w:val="18"/>
              </w:rPr>
              <w:t>الشؤون القانونية + مدير العرض</w:t>
            </w:r>
          </w:p>
        </w:tc>
        <w:tc>
          <w:tcPr>
            <w:tcW w:type="dxa" w:w="960"/>
          </w:tcPr>
          <w:p>
            <w:r>
              <w:rPr>
                <w:sz w:val="18"/>
              </w:rPr>
              <w:t>قبل التقديم</w:t>
            </w:r>
          </w:p>
        </w:tc>
        <w:tc>
          <w:tcPr>
            <w:tcW w:type="dxa" w:w="960"/>
          </w:tcPr>
          <w:p>
            <w:r>
              <w:rPr>
                <w:sz w:val="18"/>
              </w:rPr>
              <w:t>فجوة — يلزم تحديد الموقّع</w:t>
            </w:r>
          </w:p>
        </w:tc>
        <w:tc>
          <w:tcPr>
            <w:tcW w:type="dxa" w:w="960"/>
          </w:tcPr>
          <w:p/>
        </w:tc>
      </w:tr>
      <w:tr>
        <w:tc>
          <w:tcPr>
            <w:tcW w:type="dxa" w:w="960"/>
          </w:tcPr>
          <w:p>
            <w:r>
              <w:rPr>
                <w:sz w:val="18"/>
              </w:rPr>
              <w:t>HR-L1-012</w:t>
            </w:r>
          </w:p>
        </w:tc>
        <w:tc>
          <w:tcPr>
            <w:tcW w:type="dxa" w:w="960"/>
          </w:tcPr>
          <w:p>
            <w:r>
              <w:rPr>
                <w:sz w:val="18"/>
              </w:rPr>
              <w:t>التقديم عبر بوابة اكسبرو</w:t>
            </w:r>
          </w:p>
        </w:tc>
        <w:tc>
          <w:tcPr>
            <w:tcW w:type="dxa" w:w="960"/>
          </w:tcPr>
          <w:p>
            <w:r>
              <w:rPr>
                <w:sz w:val="18"/>
              </w:rPr>
              <w:t>رفع الملفين على البوابة الإلكترونية</w:t>
            </w:r>
          </w:p>
        </w:tc>
        <w:tc>
          <w:tcPr>
            <w:tcW w:type="dxa" w:w="960"/>
          </w:tcPr>
          <w:p>
            <w:r>
              <w:rPr>
                <w:sz w:val="18"/>
              </w:rPr>
              <w:t>بوابة اكسبرو</w:t>
            </w:r>
          </w:p>
        </w:tc>
        <w:tc>
          <w:tcPr>
            <w:tcW w:type="dxa" w:w="960"/>
          </w:tcPr>
          <w:p>
            <w:r>
              <w:rPr>
                <w:sz w:val="18"/>
              </w:rPr>
              <w:t>لا ينطبق (رفع إلكتروني)</w:t>
            </w:r>
          </w:p>
        </w:tc>
        <w:tc>
          <w:tcPr>
            <w:tcW w:type="dxa" w:w="960"/>
          </w:tcPr>
          <w:p>
            <w:r>
              <w:rPr>
                <w:sz w:val="18"/>
              </w:rPr>
              <w:t>مدير العرض</w:t>
            </w:r>
          </w:p>
        </w:tc>
        <w:tc>
          <w:tcPr>
            <w:tcW w:type="dxa" w:w="960"/>
          </w:tcPr>
          <w:p>
            <w:r>
              <w:rPr>
                <w:sz w:val="18"/>
              </w:rPr>
              <w:t>1447/11/11</w:t>
            </w:r>
          </w:p>
        </w:tc>
        <w:tc>
          <w:tcPr>
            <w:tcW w:type="dxa" w:w="960"/>
          </w:tcPr>
          <w:p>
            <w:r>
              <w:rPr>
                <w:sz w:val="18"/>
              </w:rPr>
              <w:t>فجوة — يلزم تأكيد التسجيل</w:t>
            </w:r>
          </w:p>
        </w:tc>
        <w:tc>
          <w:tcPr>
            <w:tcW w:type="dxa" w:w="960"/>
          </w:tcPr>
          <w:p/>
        </w:tc>
      </w:tr>
      <w:tr>
        <w:tc>
          <w:tcPr>
            <w:tcW w:type="dxa" w:w="960"/>
          </w:tcPr>
          <w:p>
            <w:r>
              <w:rPr>
                <w:sz w:val="18"/>
              </w:rPr>
              <w:t>HR-L1-013/019</w:t>
            </w:r>
          </w:p>
        </w:tc>
        <w:tc>
          <w:tcPr>
            <w:tcW w:type="dxa" w:w="960"/>
          </w:tcPr>
          <w:p>
            <w:r>
              <w:rPr>
                <w:sz w:val="18"/>
              </w:rPr>
              <w:t>آلية بديلة عند تعطل البوابة</w:t>
            </w:r>
          </w:p>
        </w:tc>
        <w:tc>
          <w:tcPr>
            <w:tcW w:type="dxa" w:w="960"/>
          </w:tcPr>
          <w:p>
            <w:r>
              <w:rPr>
                <w:sz w:val="18"/>
              </w:rPr>
              <w:t>مظاريف مختومة بالبريد/التسليم اليدوي</w:t>
            </w:r>
          </w:p>
        </w:tc>
        <w:tc>
          <w:tcPr>
            <w:tcW w:type="dxa" w:w="960"/>
          </w:tcPr>
          <w:p>
            <w:r>
              <w:rPr>
                <w:sz w:val="18"/>
              </w:rPr>
              <w:t>مظاريف مختومة</w:t>
            </w:r>
          </w:p>
        </w:tc>
        <w:tc>
          <w:tcPr>
            <w:tcW w:type="dxa" w:w="960"/>
          </w:tcPr>
          <w:p>
            <w:r>
              <w:rPr>
                <w:sz w:val="18"/>
              </w:rPr>
              <w:t>لا ينطبق (احتياطي)</w:t>
            </w:r>
          </w:p>
        </w:tc>
        <w:tc>
          <w:tcPr>
            <w:tcW w:type="dxa" w:w="960"/>
          </w:tcPr>
          <w:p>
            <w:r>
              <w:rPr>
                <w:sz w:val="18"/>
              </w:rPr>
              <w:t>مدير العرض</w:t>
            </w:r>
          </w:p>
        </w:tc>
        <w:tc>
          <w:tcPr>
            <w:tcW w:type="dxa" w:w="960"/>
          </w:tcPr>
          <w:p>
            <w:r>
              <w:rPr>
                <w:sz w:val="18"/>
              </w:rPr>
              <w:t>عند الحاجة</w:t>
            </w:r>
          </w:p>
        </w:tc>
        <w:tc>
          <w:tcPr>
            <w:tcW w:type="dxa" w:w="960"/>
          </w:tcPr>
          <w:p>
            <w:r>
              <w:rPr>
                <w:sz w:val="18"/>
              </w:rPr>
              <w:t>جاهز — إجراء احتياطي</w:t>
            </w:r>
          </w:p>
        </w:tc>
        <w:tc>
          <w:tcPr>
            <w:tcW w:type="dxa" w:w="960"/>
          </w:tcPr>
          <w:p/>
        </w:tc>
      </w:tr>
      <w:tr>
        <w:tc>
          <w:tcPr>
            <w:tcW w:type="dxa" w:w="960"/>
          </w:tcPr>
          <w:p>
            <w:r>
              <w:rPr>
                <w:sz w:val="18"/>
              </w:rPr>
              <w:t>HR-L2-004</w:t>
            </w:r>
          </w:p>
        </w:tc>
        <w:tc>
          <w:tcPr>
            <w:tcW w:type="dxa" w:w="960"/>
          </w:tcPr>
          <w:p>
            <w:r>
              <w:rPr>
                <w:sz w:val="18"/>
              </w:rPr>
              <w:t>إذا رفض المتنافس إعادة التسعير يُستبعد</w:t>
            </w:r>
          </w:p>
        </w:tc>
        <w:tc>
          <w:tcPr>
            <w:tcW w:type="dxa" w:w="960"/>
          </w:tcPr>
          <w:p>
            <w:r>
              <w:rPr>
                <w:sz w:val="18"/>
              </w:rPr>
              <w:t>إقرار صريح في خطاب التقديم بقبول إعادة التسعير؛ بناء هيكل تسعير مرن</w:t>
            </w:r>
          </w:p>
        </w:tc>
        <w:tc>
          <w:tcPr>
            <w:tcW w:type="dxa" w:w="960"/>
          </w:tcPr>
          <w:p>
            <w:r>
              <w:rPr>
                <w:sz w:val="18"/>
              </w:rPr>
              <w:t>خطاب التقديم + هيكل العرض المالي</w:t>
            </w:r>
          </w:p>
        </w:tc>
        <w:tc>
          <w:tcPr>
            <w:tcW w:type="dxa" w:w="960"/>
          </w:tcPr>
          <w:p>
            <w:r>
              <w:rPr>
                <w:sz w:val="18"/>
              </w:rPr>
              <w:t>لا ينطبق (إقرار + هيكل)</w:t>
            </w:r>
          </w:p>
        </w:tc>
        <w:tc>
          <w:tcPr>
            <w:tcW w:type="dxa" w:w="960"/>
          </w:tcPr>
          <w:p>
            <w:r>
              <w:rPr>
                <w:sz w:val="18"/>
              </w:rPr>
              <w:t>إدارة المالية + مدير العرض</w:t>
            </w:r>
          </w:p>
        </w:tc>
        <w:tc>
          <w:tcPr>
            <w:tcW w:type="dxa" w:w="960"/>
          </w:tcPr>
          <w:p>
            <w:r>
              <w:rPr>
                <w:sz w:val="18"/>
              </w:rPr>
              <w:t>قبل التقديم</w:t>
            </w:r>
          </w:p>
        </w:tc>
        <w:tc>
          <w:tcPr>
            <w:tcW w:type="dxa" w:w="960"/>
          </w:tcPr>
          <w:p>
            <w:r>
              <w:rPr>
                <w:sz w:val="18"/>
              </w:rPr>
              <w:t>جاهز — التزام إجرائي</w:t>
            </w:r>
          </w:p>
        </w:tc>
        <w:tc>
          <w:tcPr>
            <w:tcW w:type="dxa" w:w="960"/>
          </w:tcPr>
          <w:p/>
        </w:tc>
      </w:tr>
    </w:tbl>
    <w:p/>
    <w:p>
      <w:r>
        <w:t>### ٣. ملاحظة: إجراءات جانب الجهة الحكومية (ليست التزامات على المتنافس)</w:t>
        <w:br/>
        <w:t xml:space="preserve"> البنود التالية تقع على عاتق سدايا وليست التزامات على مقدم العرض. تُسجَّل للعلم فقط ولا تُدرج في مصفوفة الامتثال التشغيلية:</w:t>
        <w:br/>
        <w:t xml:space="preserve"> - **HR-L2-001:** الجهة الحكومية تعلن عن العرض الفائز في البوابة وتبلغ صاحبه. - **HR-L2-002:** الحد الأدنى لمحتوى الإعلان يشمل صاحب العرض الفائز، معلومات المنافسة، مدة التنفيذ ومكانه. - **HR-L2-003:** يُبلّغ المتنافسون الآخرون بنتائج المنافسة. ### ٤. قائمة تحقق التغليف الفني — ملخص تشغيلي</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w:t>
            </w:r>
          </w:p>
        </w:tc>
        <w:tc>
          <w:tcPr>
            <w:tcW w:type="dxa" w:w="1728"/>
          </w:tcPr>
          <w:p>
            <w:r>
              <w:rPr>
                <w:b/>
                <w:sz w:val="18"/>
              </w:rPr>
              <w:t>البند</w:t>
            </w:r>
          </w:p>
        </w:tc>
        <w:tc>
          <w:tcPr>
            <w:tcW w:type="dxa" w:w="1728"/>
          </w:tcPr>
          <w:p>
            <w:r>
              <w:rPr>
                <w:b/>
                <w:sz w:val="18"/>
              </w:rPr>
              <w:t>المرجع</w:t>
            </w:r>
          </w:p>
        </w:tc>
        <w:tc>
          <w:tcPr>
            <w:tcW w:type="dxa" w:w="1728"/>
          </w:tcPr>
          <w:p>
            <w:r>
              <w:rPr>
                <w:b/>
                <w:sz w:val="18"/>
              </w:rPr>
              <w:t>الإجراء</w:t>
            </w:r>
          </w:p>
        </w:tc>
        <w:tc>
          <w:tcPr>
            <w:tcW w:type="dxa" w:w="1728"/>
          </w:tcPr>
          <w:p>
            <w:r>
              <w:rPr>
                <w:b/>
                <w:sz w:val="18"/>
              </w:rPr>
              <w:t>الملف</w:t>
            </w:r>
          </w:p>
        </w:tc>
      </w:tr>
      <w:tr>
        <w:tc>
          <w:tcPr>
            <w:tcW w:type="dxa" w:w="1728"/>
          </w:tcPr>
          <w:p>
            <w:r>
              <w:rPr>
                <w:sz w:val="18"/>
              </w:rPr>
              <w:t>1</w:t>
            </w:r>
          </w:p>
        </w:tc>
        <w:tc>
          <w:tcPr>
            <w:tcW w:type="dxa" w:w="1728"/>
          </w:tcPr>
          <w:p>
            <w:r>
              <w:rPr>
                <w:sz w:val="18"/>
              </w:rPr>
              <w:t>اللغة العربية أساسية</w:t>
            </w:r>
          </w:p>
        </w:tc>
        <w:tc>
          <w:tcPr>
            <w:tcW w:type="dxa" w:w="1728"/>
          </w:tcPr>
          <w:p>
            <w:r>
              <w:rPr>
                <w:sz w:val="18"/>
              </w:rPr>
              <w:t>CR-1</w:t>
            </w:r>
          </w:p>
        </w:tc>
        <w:tc>
          <w:tcPr>
            <w:tcW w:type="dxa" w:w="1728"/>
          </w:tcPr>
          <w:p>
            <w:r>
              <w:rPr>
                <w:sz w:val="18"/>
              </w:rPr>
              <w:t>جميع الوثائق بالعربية</w:t>
            </w:r>
          </w:p>
        </w:tc>
        <w:tc>
          <w:tcPr>
            <w:tcW w:type="dxa" w:w="1728"/>
          </w:tcPr>
          <w:p>
            <w:r>
              <w:rPr>
                <w:sz w:val="18"/>
              </w:rPr>
              <w:t>شامل</w:t>
            </w:r>
          </w:p>
        </w:tc>
      </w:tr>
      <w:tr>
        <w:tc>
          <w:tcPr>
            <w:tcW w:type="dxa" w:w="1728"/>
          </w:tcPr>
          <w:p>
            <w:r>
              <w:rPr>
                <w:sz w:val="18"/>
              </w:rPr>
              <w:t>2</w:t>
            </w:r>
          </w:p>
        </w:tc>
        <w:tc>
          <w:tcPr>
            <w:tcW w:type="dxa" w:w="1728"/>
          </w:tcPr>
          <w:p>
            <w:r>
              <w:rPr>
                <w:sz w:val="18"/>
              </w:rPr>
              <w:t>ملفان منفصلان</w:t>
            </w:r>
          </w:p>
        </w:tc>
        <w:tc>
          <w:tcPr>
            <w:tcW w:type="dxa" w:w="1728"/>
          </w:tcPr>
          <w:p>
            <w:r>
              <w:rPr>
                <w:sz w:val="18"/>
              </w:rPr>
              <w:t>HR-L1-011/014</w:t>
            </w:r>
          </w:p>
        </w:tc>
        <w:tc>
          <w:tcPr>
            <w:tcW w:type="dxa" w:w="1728"/>
          </w:tcPr>
          <w:p>
            <w:r>
              <w:rPr>
                <w:sz w:val="18"/>
              </w:rPr>
              <w:t>فصل فني/مالي</w:t>
            </w:r>
          </w:p>
        </w:tc>
        <w:tc>
          <w:tcPr>
            <w:tcW w:type="dxa" w:w="1728"/>
          </w:tcPr>
          <w:p>
            <w:r>
              <w:rPr>
                <w:sz w:val="18"/>
              </w:rPr>
              <w:t>عرض_فني. pdf + عرض_مالي. pdf</w:t>
            </w:r>
          </w:p>
        </w:tc>
      </w:tr>
      <w:tr>
        <w:tc>
          <w:tcPr>
            <w:tcW w:type="dxa" w:w="1728"/>
          </w:tcPr>
          <w:p>
            <w:r>
              <w:rPr>
                <w:sz w:val="18"/>
              </w:rPr>
              <w:t>3</w:t>
            </w:r>
          </w:p>
        </w:tc>
        <w:tc>
          <w:tcPr>
            <w:tcW w:type="dxa" w:w="1728"/>
          </w:tcPr>
          <w:p>
            <w:r>
              <w:rPr>
                <w:sz w:val="18"/>
              </w:rPr>
              <w:t>خطاب رسمي موقّع</w:t>
            </w:r>
          </w:p>
        </w:tc>
        <w:tc>
          <w:tcPr>
            <w:tcW w:type="dxa" w:w="1728"/>
          </w:tcPr>
          <w:p>
            <w:r>
              <w:rPr>
                <w:sz w:val="18"/>
              </w:rPr>
              <w:t>HR-L1-015</w:t>
            </w:r>
          </w:p>
        </w:tc>
        <w:tc>
          <w:tcPr>
            <w:tcW w:type="dxa" w:w="1728"/>
          </w:tcPr>
          <w:p>
            <w:r>
              <w:rPr>
                <w:sz w:val="18"/>
              </w:rPr>
              <w:t>خطاب على ورق الشركة</w:t>
            </w:r>
          </w:p>
        </w:tc>
        <w:tc>
          <w:tcPr>
            <w:tcW w:type="dxa" w:w="1728"/>
          </w:tcPr>
          <w:p>
            <w:r>
              <w:rPr>
                <w:sz w:val="18"/>
              </w:rPr>
              <w:t>خطاب_تقديم. pdf</w:t>
            </w:r>
          </w:p>
        </w:tc>
      </w:tr>
      <w:tr>
        <w:tc>
          <w:tcPr>
            <w:tcW w:type="dxa" w:w="1728"/>
          </w:tcPr>
          <w:p>
            <w:r>
              <w:rPr>
                <w:sz w:val="18"/>
              </w:rPr>
              <w:t>4</w:t>
            </w:r>
          </w:p>
        </w:tc>
        <w:tc>
          <w:tcPr>
            <w:tcW w:type="dxa" w:w="1728"/>
          </w:tcPr>
          <w:p>
            <w:r>
              <w:rPr>
                <w:sz w:val="18"/>
              </w:rPr>
              <w:t>الضمان في الملف المالي</w:t>
            </w:r>
          </w:p>
        </w:tc>
        <w:tc>
          <w:tcPr>
            <w:tcW w:type="dxa" w:w="1728"/>
          </w:tcPr>
          <w:p>
            <w:r>
              <w:rPr>
                <w:sz w:val="18"/>
              </w:rPr>
              <w:t>HR-L1-016/017/018</w:t>
            </w:r>
          </w:p>
        </w:tc>
        <w:tc>
          <w:tcPr>
            <w:tcW w:type="dxa" w:w="1728"/>
          </w:tcPr>
          <w:p>
            <w:r>
              <w:rPr>
                <w:sz w:val="18"/>
              </w:rPr>
              <w:t>خطاب ضمان 1% مع المالي</w:t>
            </w:r>
          </w:p>
        </w:tc>
        <w:tc>
          <w:tcPr>
            <w:tcW w:type="dxa" w:w="1728"/>
          </w:tcPr>
          <w:p>
            <w:r>
              <w:rPr>
                <w:sz w:val="18"/>
              </w:rPr>
              <w:t>خطاب_ضمان_ابتدائي. pdf</w:t>
            </w:r>
          </w:p>
        </w:tc>
      </w:tr>
      <w:tr>
        <w:tc>
          <w:tcPr>
            <w:tcW w:type="dxa" w:w="1728"/>
          </w:tcPr>
          <w:p>
            <w:r>
              <w:rPr>
                <w:sz w:val="18"/>
              </w:rPr>
              <w:t>5</w:t>
            </w:r>
          </w:p>
        </w:tc>
        <w:tc>
          <w:tcPr>
            <w:tcW w:type="dxa" w:w="1728"/>
          </w:tcPr>
          <w:p>
            <w:r>
              <w:rPr>
                <w:sz w:val="18"/>
              </w:rPr>
              <w:t>التقديم عبر اكسبرو</w:t>
            </w:r>
          </w:p>
        </w:tc>
        <w:tc>
          <w:tcPr>
            <w:tcW w:type="dxa" w:w="1728"/>
          </w:tcPr>
          <w:p>
            <w:r>
              <w:rPr>
                <w:sz w:val="18"/>
              </w:rPr>
              <w:t>HR-L1-012</w:t>
            </w:r>
          </w:p>
        </w:tc>
        <w:tc>
          <w:tcPr>
            <w:tcW w:type="dxa" w:w="1728"/>
          </w:tcPr>
          <w:p>
            <w:r>
              <w:rPr>
                <w:sz w:val="18"/>
              </w:rPr>
              <w:t>رفع إلكتروني</w:t>
            </w:r>
          </w:p>
        </w:tc>
        <w:tc>
          <w:tcPr>
            <w:tcW w:type="dxa" w:w="1728"/>
          </w:tcPr>
          <w:p>
            <w:r>
              <w:rPr>
                <w:sz w:val="18"/>
              </w:rPr>
              <w:t>بوابة اكسبرو</w:t>
            </w:r>
          </w:p>
        </w:tc>
      </w:tr>
      <w:tr>
        <w:tc>
          <w:tcPr>
            <w:tcW w:type="dxa" w:w="1728"/>
          </w:tcPr>
          <w:p>
            <w:r>
              <w:rPr>
                <w:sz w:val="18"/>
              </w:rPr>
              <w:t>6</w:t>
            </w:r>
          </w:p>
        </w:tc>
        <w:tc>
          <w:tcPr>
            <w:tcW w:type="dxa" w:w="1728"/>
          </w:tcPr>
          <w:p>
            <w:r>
              <w:rPr>
                <w:sz w:val="18"/>
              </w:rPr>
              <w:t>آلية بديلة</w:t>
            </w:r>
          </w:p>
        </w:tc>
        <w:tc>
          <w:tcPr>
            <w:tcW w:type="dxa" w:w="1728"/>
          </w:tcPr>
          <w:p>
            <w:r>
              <w:rPr>
                <w:sz w:val="18"/>
              </w:rPr>
              <w:t>HR-L1-013/019</w:t>
            </w:r>
          </w:p>
        </w:tc>
        <w:tc>
          <w:tcPr>
            <w:tcW w:type="dxa" w:w="1728"/>
          </w:tcPr>
          <w:p>
            <w:r>
              <w:rPr>
                <w:sz w:val="18"/>
              </w:rPr>
              <w:t>مظاريف مختومة عند تعطل البوابة</w:t>
            </w:r>
          </w:p>
        </w:tc>
        <w:tc>
          <w:tcPr>
            <w:tcW w:type="dxa" w:w="1728"/>
          </w:tcPr>
          <w:p>
            <w:r>
              <w:rPr>
                <w:sz w:val="18"/>
              </w:rPr>
              <w:t>مظاريف مختومة</w:t>
            </w:r>
          </w:p>
        </w:tc>
      </w:tr>
      <w:tr>
        <w:tc>
          <w:tcPr>
            <w:tcW w:type="dxa" w:w="1728"/>
          </w:tcPr>
          <w:p>
            <w:r>
              <w:rPr>
                <w:sz w:val="18"/>
              </w:rPr>
              <w:t>7</w:t>
            </w:r>
          </w:p>
        </w:tc>
        <w:tc>
          <w:tcPr>
            <w:tcW w:type="dxa" w:w="1728"/>
          </w:tcPr>
          <w:p>
            <w:r>
              <w:rPr>
                <w:sz w:val="18"/>
              </w:rPr>
              <w:t>عرض واحد فقط</w:t>
            </w:r>
          </w:p>
        </w:tc>
        <w:tc>
          <w:tcPr>
            <w:tcW w:type="dxa" w:w="1728"/>
          </w:tcPr>
          <w:p>
            <w:r>
              <w:rPr>
                <w:sz w:val="18"/>
              </w:rPr>
              <w:t>CR-9</w:t>
            </w:r>
          </w:p>
        </w:tc>
        <w:tc>
          <w:tcPr>
            <w:tcW w:type="dxa" w:w="1728"/>
          </w:tcPr>
          <w:p>
            <w:r>
              <w:rPr>
                <w:sz w:val="18"/>
              </w:rPr>
              <w:t>عدم تقديم بدائل</w:t>
            </w:r>
          </w:p>
        </w:tc>
        <w:tc>
          <w:tcPr>
            <w:tcW w:type="dxa" w:w="1728"/>
          </w:tcPr>
          <w:p>
            <w:r>
              <w:rPr>
                <w:sz w:val="18"/>
              </w:rPr>
              <w:t>خطاب التقديم</w:t>
            </w:r>
          </w:p>
        </w:tc>
      </w:tr>
      <w:tr>
        <w:tc>
          <w:tcPr>
            <w:tcW w:type="dxa" w:w="1728"/>
          </w:tcPr>
          <w:p>
            <w:r>
              <w:rPr>
                <w:sz w:val="18"/>
              </w:rPr>
              <w:t>8</w:t>
            </w:r>
          </w:p>
        </w:tc>
        <w:tc>
          <w:tcPr>
            <w:tcW w:type="dxa" w:w="1728"/>
          </w:tcPr>
          <w:p>
            <w:r>
              <w:rPr>
                <w:sz w:val="18"/>
              </w:rPr>
              <w:t>الشهادات النظامية</w:t>
            </w:r>
          </w:p>
        </w:tc>
        <w:tc>
          <w:tcPr>
            <w:tcW w:type="dxa" w:w="1728"/>
          </w:tcPr>
          <w:p>
            <w:r>
              <w:rPr>
                <w:sz w:val="18"/>
              </w:rPr>
              <w:t>CR-2/3/4/5</w:t>
            </w:r>
          </w:p>
        </w:tc>
        <w:tc>
          <w:tcPr>
            <w:tcW w:type="dxa" w:w="1728"/>
          </w:tcPr>
          <w:p>
            <w:r>
              <w:rPr>
                <w:sz w:val="18"/>
              </w:rPr>
              <w:t>أربع شهادات سارية</w:t>
            </w:r>
          </w:p>
        </w:tc>
        <w:tc>
          <w:tcPr>
            <w:tcW w:type="dxa" w:w="1728"/>
          </w:tcPr>
          <w:p>
            <w:r>
              <w:rPr>
                <w:sz w:val="18"/>
              </w:rPr>
              <w:t>أربعة ملفات PDF</w:t>
            </w:r>
          </w:p>
        </w:tc>
      </w:tr>
      <w:tr>
        <w:tc>
          <w:tcPr>
            <w:tcW w:type="dxa" w:w="1728"/>
          </w:tcPr>
          <w:p>
            <w:r>
              <w:rPr>
                <w:sz w:val="18"/>
              </w:rPr>
              <w:t>9</w:t>
            </w:r>
          </w:p>
        </w:tc>
        <w:tc>
          <w:tcPr>
            <w:tcW w:type="dxa" w:w="1728"/>
          </w:tcPr>
          <w:p>
            <w:r>
              <w:rPr>
                <w:sz w:val="18"/>
              </w:rPr>
              <w:t>إقرارات الامتثال</w:t>
            </w:r>
          </w:p>
        </w:tc>
        <w:tc>
          <w:tcPr>
            <w:tcW w:type="dxa" w:w="1728"/>
          </w:tcPr>
          <w:p>
            <w:r>
              <w:rPr>
                <w:sz w:val="18"/>
              </w:rPr>
              <w:t>CR-6/7/8</w:t>
            </w:r>
          </w:p>
        </w:tc>
        <w:tc>
          <w:tcPr>
            <w:tcW w:type="dxa" w:w="1728"/>
          </w:tcPr>
          <w:p>
            <w:r>
              <w:rPr>
                <w:sz w:val="18"/>
              </w:rPr>
              <w:t>ثلاثة إقرارات كتابية</w:t>
            </w:r>
          </w:p>
        </w:tc>
        <w:tc>
          <w:tcPr>
            <w:tcW w:type="dxa" w:w="1728"/>
          </w:tcPr>
          <w:p>
            <w:r>
              <w:rPr>
                <w:sz w:val="18"/>
              </w:rPr>
              <w:t>ثلاثة ملفات PDF</w:t>
            </w:r>
          </w:p>
        </w:tc>
      </w:tr>
      <w:tr>
        <w:tc>
          <w:tcPr>
            <w:tcW w:type="dxa" w:w="1728"/>
          </w:tcPr>
          <w:p>
            <w:r>
              <w:rPr>
                <w:sz w:val="18"/>
              </w:rPr>
              <w:t>10</w:t>
            </w:r>
          </w:p>
        </w:tc>
        <w:tc>
          <w:tcPr>
            <w:tcW w:type="dxa" w:w="1728"/>
          </w:tcPr>
          <w:p>
            <w:r>
              <w:rPr>
                <w:sz w:val="18"/>
              </w:rPr>
              <w:t>إقرار قبول إعادة التسعير</w:t>
            </w:r>
          </w:p>
        </w:tc>
        <w:tc>
          <w:tcPr>
            <w:tcW w:type="dxa" w:w="1728"/>
          </w:tcPr>
          <w:p>
            <w:r>
              <w:rPr>
                <w:sz w:val="18"/>
              </w:rPr>
              <w:t>HR-L2-004</w:t>
            </w:r>
          </w:p>
        </w:tc>
        <w:tc>
          <w:tcPr>
            <w:tcW w:type="dxa" w:w="1728"/>
          </w:tcPr>
          <w:p>
            <w:r>
              <w:rPr>
                <w:sz w:val="18"/>
              </w:rPr>
              <w:t>فقرة صريحة في خطاب التقديم</w:t>
            </w:r>
          </w:p>
        </w:tc>
        <w:tc>
          <w:tcPr>
            <w:tcW w:type="dxa" w:w="1728"/>
          </w:tcPr>
          <w:p>
            <w:r>
              <w:rPr>
                <w:sz w:val="18"/>
              </w:rPr>
              <w:t>خطاب_تقديم. pdf</w:t>
            </w:r>
          </w:p>
        </w:tc>
      </w:tr>
    </w:tbl>
    <w:p/>
    <w:p>
      <w:r>
        <w:t>### ٥. ملاحظة معالجة المطابقة (Conformance Remediation)</w:t>
        <w:br/>
        <w:t xml:space="preserve"> المتطلبات التالية كانت غير مُعالجة بشكل كافٍ في النسخة السابقة وتمت معالجتها صراحةً في هذه النسخة المُحدّثة:</w:t>
        <w:br/>
        <w:t xml:space="preserve"> - **HR-L1-002 (السجل التجاري):** مُعالج في COMP-002 ضمن key_compliance_requirements وفي صف COMP-002 ضمن compliance_rows، مع تحديد المالك (الشؤون القانونية) والمرفق (سجل_تجاري. pdf). - **HR-L1-003 (شهادة الزكاة):** مُعالج في COMP-003 مع تحديد المالك (إدارة المالية) والمرفق (شهادة_زكاة. pdf). - **HR-L1-004 (شهادة الغرفة التجارية):** مُعالج في COMP-004 مع تحديد المالك (الشؤون القانونية) والمرفق (شهادة_غرفة. pdf). - **HR-L1-005 (شهادة السعودة):** مُعالج في COMP-005 مع تحديد المالك (الموارد البشرية) والمرفق (شهادة_سعودة. pdf). - **HR-L1-008 (السرية):** مُعالج في COMP-008 مع تحديد المالك (الشؤون القانونية) والمرفق (تعهد_سرية. pdf). - **HR-L1-009 (عدم تقديم عروض بديلة):** مُعالج في COMP-009 مع تحديد موقع الاستجابة (خطاب التقديم). - **HR-L2-004 (إعادة التسعير):** مُعالج في COMP-017 مع تحديد إجراء المتنافس (إقرار صريح + هيكل تسعير مرن). ### ٦. خريطة الامتثال إلى أقسام العرض النهائي</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المتطلب</w:t>
            </w:r>
          </w:p>
        </w:tc>
        <w:tc>
          <w:tcPr>
            <w:tcW w:type="dxa" w:w="4320"/>
          </w:tcPr>
          <w:p>
            <w:r>
              <w:rPr>
                <w:b/>
                <w:sz w:val="18"/>
              </w:rPr>
              <w:t>موقعه في العرض النهائي</w:t>
            </w:r>
          </w:p>
        </w:tc>
      </w:tr>
      <w:tr>
        <w:tc>
          <w:tcPr>
            <w:tcW w:type="dxa" w:w="4320"/>
          </w:tcPr>
          <w:p>
            <w:r>
              <w:rPr>
                <w:sz w:val="18"/>
              </w:rPr>
              <w:t>D-1 (تقييم الوضع الراهن)</w:t>
            </w:r>
          </w:p>
        </w:tc>
        <w:tc>
          <w:tcPr>
            <w:tcW w:type="dxa" w:w="4320"/>
          </w:tcPr>
          <w:p>
            <w:r>
              <w:rPr>
                <w:sz w:val="18"/>
              </w:rPr>
              <w:t>القسم الفني — المنهجية — المرحلة 1</w:t>
            </w:r>
          </w:p>
        </w:tc>
      </w:tr>
      <w:tr>
        <w:tc>
          <w:tcPr>
            <w:tcW w:type="dxa" w:w="4320"/>
          </w:tcPr>
          <w:p>
            <w:r>
              <w:rPr>
                <w:sz w:val="18"/>
              </w:rPr>
              <w:t>D-2 (تطوير البرامج)</w:t>
            </w:r>
          </w:p>
        </w:tc>
        <w:tc>
          <w:tcPr>
            <w:tcW w:type="dxa" w:w="4320"/>
          </w:tcPr>
          <w:p>
            <w:r>
              <w:rPr>
                <w:sz w:val="18"/>
              </w:rPr>
              <w:t>القسم الفني — المنهجية — المرحلة 2</w:t>
            </w:r>
          </w:p>
        </w:tc>
      </w:tr>
      <w:tr>
        <w:tc>
          <w:tcPr>
            <w:tcW w:type="dxa" w:w="4320"/>
          </w:tcPr>
          <w:p>
            <w:r>
              <w:rPr>
                <w:sz w:val="18"/>
              </w:rPr>
              <w:t>D-3 (التدريب ونقل المعرفة)</w:t>
            </w:r>
          </w:p>
        </w:tc>
        <w:tc>
          <w:tcPr>
            <w:tcW w:type="dxa" w:w="4320"/>
          </w:tcPr>
          <w:p>
            <w:r>
              <w:rPr>
                <w:sz w:val="18"/>
              </w:rPr>
              <w:t>القسم الفني — المنهجية — المرحلة 3</w:t>
            </w:r>
          </w:p>
        </w:tc>
      </w:tr>
      <w:tr>
        <w:tc>
          <w:tcPr>
            <w:tcW w:type="dxa" w:w="4320"/>
          </w:tcPr>
          <w:p>
            <w:r>
              <w:rPr>
                <w:sz w:val="18"/>
              </w:rPr>
              <w:t>الامتثال اللغوي (CR-1)</w:t>
            </w:r>
          </w:p>
        </w:tc>
        <w:tc>
          <w:tcPr>
            <w:tcW w:type="dxa" w:w="4320"/>
          </w:tcPr>
          <w:p>
            <w:r>
              <w:rPr>
                <w:sz w:val="18"/>
              </w:rPr>
              <w:t>شامل — جميع أقسام العرض</w:t>
            </w:r>
          </w:p>
        </w:tc>
      </w:tr>
      <w:tr>
        <w:tc>
          <w:tcPr>
            <w:tcW w:type="dxa" w:w="4320"/>
          </w:tcPr>
          <w:p>
            <w:r>
              <w:rPr>
                <w:sz w:val="18"/>
              </w:rPr>
              <w:t>التغليف (ملفان منفصلان)</w:t>
            </w:r>
          </w:p>
        </w:tc>
        <w:tc>
          <w:tcPr>
            <w:tcW w:type="dxa" w:w="4320"/>
          </w:tcPr>
          <w:p>
            <w:r>
              <w:rPr>
                <w:sz w:val="18"/>
              </w:rPr>
              <w:t>هيكل التقديم على اكسبرو</w:t>
            </w:r>
          </w:p>
        </w:tc>
      </w:tr>
      <w:tr>
        <w:tc>
          <w:tcPr>
            <w:tcW w:type="dxa" w:w="4320"/>
          </w:tcPr>
          <w:p>
            <w:r>
              <w:rPr>
                <w:sz w:val="18"/>
              </w:rPr>
              <w:t>الشهادات النظامية (CR-2/3/4/5)</w:t>
            </w:r>
          </w:p>
        </w:tc>
        <w:tc>
          <w:tcPr>
            <w:tcW w:type="dxa" w:w="4320"/>
          </w:tcPr>
          <w:p>
            <w:r>
              <w:rPr>
                <w:sz w:val="18"/>
              </w:rPr>
              <w:t>مرفقات العرض الفني — قسم الوثائق النظامية</w:t>
            </w:r>
          </w:p>
        </w:tc>
      </w:tr>
      <w:tr>
        <w:tc>
          <w:tcPr>
            <w:tcW w:type="dxa" w:w="4320"/>
          </w:tcPr>
          <w:p>
            <w:r>
              <w:rPr>
                <w:sz w:val="18"/>
              </w:rPr>
              <w:t>الإقرارات (CR-6/7/8)</w:t>
            </w:r>
          </w:p>
        </w:tc>
        <w:tc>
          <w:tcPr>
            <w:tcW w:type="dxa" w:w="4320"/>
          </w:tcPr>
          <w:p>
            <w:r>
              <w:rPr>
                <w:sz w:val="18"/>
              </w:rPr>
              <w:t>مرفقات العرض الفني — قسم الإقرارات</w:t>
            </w:r>
          </w:p>
        </w:tc>
      </w:tr>
      <w:tr>
        <w:tc>
          <w:tcPr>
            <w:tcW w:type="dxa" w:w="4320"/>
          </w:tcPr>
          <w:p>
            <w:r>
              <w:rPr>
                <w:sz w:val="18"/>
              </w:rPr>
              <w:t>عدم تقديم بدائل (CR-9)</w:t>
            </w:r>
          </w:p>
        </w:tc>
        <w:tc>
          <w:tcPr>
            <w:tcW w:type="dxa" w:w="4320"/>
          </w:tcPr>
          <w:p>
            <w:r>
              <w:rPr>
                <w:sz w:val="18"/>
              </w:rPr>
              <w:t>خطاب التقديم الرسمي</w:t>
            </w:r>
          </w:p>
        </w:tc>
      </w:tr>
      <w:tr>
        <w:tc>
          <w:tcPr>
            <w:tcW w:type="dxa" w:w="4320"/>
          </w:tcPr>
          <w:p>
            <w:r>
              <w:rPr>
                <w:sz w:val="18"/>
              </w:rPr>
              <w:t>قبول إعادة التسعير (HR-L2-004)</w:t>
            </w:r>
          </w:p>
        </w:tc>
        <w:tc>
          <w:tcPr>
            <w:tcW w:type="dxa" w:w="4320"/>
          </w:tcPr>
          <w:p>
            <w:r>
              <w:rPr>
                <w:sz w:val="18"/>
              </w:rPr>
              <w:t>خطاب التقديم الرسمي + هيكل العرض المالي</w:t>
            </w:r>
          </w:p>
        </w:tc>
      </w:tr>
      <w:tr>
        <w:tc>
          <w:tcPr>
            <w:tcW w:type="dxa" w:w="4320"/>
          </w:tcPr>
          <w:p>
            <w:r>
              <w:rPr>
                <w:sz w:val="18"/>
              </w:rPr>
              <w:t>الضمان الابتدائي</w:t>
            </w:r>
          </w:p>
        </w:tc>
        <w:tc>
          <w:tcPr>
            <w:tcW w:type="dxa" w:w="4320"/>
          </w:tcPr>
          <w:p>
            <w:r>
              <w:rPr>
                <w:sz w:val="18"/>
              </w:rPr>
              <w:t>ملف العرض المالي — المرفق الأول</w:t>
            </w:r>
          </w:p>
        </w:tc>
      </w:tr>
    </w:tbl>
    <w:p/>
    <w:p>
      <w:pPr>
        <w:pStyle w:val="Heading2"/>
      </w:pPr>
      <w:r>
        <w:t>1.3 Unstated Evaluator Priorities</w:t>
      </w:r>
    </w:p>
    <w:p>
      <w:r>
        <w:t>## أولويات المُقيِّمين غير المصرح بها</w:t>
        <w:br/>
        <w:t xml:space="preserve"> ### الأولوية الأولى: الإلمام بالبنية المؤسسية لليونسكو في أخلاقيات الذكاء الاصطناعي (INFERENCE — ثقة عالية)</w:t>
        <w:br/>
        <w:t xml:space="preserve"> نطاق العمل يتمحور بالكامل حول برامج اليونسكو، والمخرج D-1 يتطلب تقييماً معياريًا لأداء هذه البرامج (DIRECT_RFP_FACT). المُقيِّمون في سدايا — وهي هيئة متخصصة تضم كوادر فنية عالية التأهيل — من المرجح أن يختبروا مدى فهم المتنافس لأدوات اليونسكو المعيارية: توصية أخلاقيات الذكاء الاصطناعي 2021، منهجية تقييم الجاهزية (RAM)، برامج EEP وABC وGEObs، ودورات التقارير الدورية. الممارسة الدولية الموثقة في [EXT-002] و[EXT-003] توفر الإطار المرجعي لهذه الأدوات. المتنافس الذي يستخدم مصطلحات اليونسكو المؤسسية بطلاقة ويربط منهجيته بمؤشرات التقارير الدورية من المرجح أن يحقق ميزة تنافسية. **الأساس:** تركيز النطاق الحصري على برامج اليونسكو يجعل المعرفة المؤسسية شرطاً ضمنياً للمصداقية. ### الأولوية الثانية: مخرجات عملية قابلة للتنفيذ وليست تقارير نظرية (INFERENCE — ثقة عالية)</w:t>
        <w:br/>
        <w:t xml:space="preserve"> النص يستخدم مصطلحات مثل "توصيات ومقترحات عملية" و"أولويات التدخل" و"أطر عمل" (DIRECT_RFP_FACT من SI-1 وSI-2). هذا النمط اللغوي يُشير إلى أن المُقيِّمين من المرجح أن يبحثوا عن دليل في المنهجية على أن كل مخرج سيكون له: مالك محدد، جدول زمني للتنفيذ، موارد مطلوبة، ومؤشرات نجاح. الممارسة الدولية في تقييم القدرات المؤسسية عبر إطار البنك الدولي CISF [EXT-004] ونموذج نظرية التغيير [EXT-012] توفر أدوات منهجية تدعم هذا التوجه. **الأساس:** تكرار مصطلحات "عملية" و"أولويات" و"أطر عمل" في النطاق يتجاوز الصياغة المعتادة ويُشير إلى توقع مخرجات تنفيذية. ### الأولوية الثالثة: القدرة على المقارنة المعيارية الدولية عبر عدة دول (INFERENCE — ثقة عالية)</w:t>
        <w:br/>
        <w:t xml:space="preserve"> النطاق ينص صراحةً على "آليات التعاون مع مختلف الدول" (DIRECT_RFP_FACT) وتقييم أداء برامج بحثية دولية. المُقيِّمون من المرجح أن يحتاجوا ثقة بأن المتنافس قادر على إجراء تحليل مقارن عبر دول متعددة بمنهجية منظمة. الممارسة الدولية في منهجية التقييم المؤسسي الهرمي لمنظمة الصحة العالمية [EXT-008] ودورات التقارير الدورية لليونسكو [EXT-003] توفر نماذج مرجعية لتصميم منهجية مقارنة معيارية. **الأساس:** الطبيعة الدولية للنطاق تستلزم قدرة مقارنة عابرة للحدود. ### الأولوية الرابعة: بناء قدرات مستدامة تُمكّن سدايا من الاستقلالية (INFERENCE — ثقة متوسطة)</w:t>
        <w:br/>
        <w:t xml:space="preserve"> تخصيص مخرج إلزامي كامل (D-3) لنقل المعرفة مع تحديد آليات محددة (تدريب على رأس العمل، عمل جنباً إلى جنب، ورش عمل — DIRECT_RFP_FACT من SI-3) يُشير إلى أن سدايا من المرجح أنها تريد ضمانات ملموسة لبناء القدرات الداخلية. المُقيِّمون من المرجح أن يبحثوا عن برنامج نقل معرفة بمؤشرات كفاءة قابلة للقياس وليس مجرد ورش عمل عامة. **الأساس:** تحديد ثلاث آليات محددة لنقل المعرفة في النطاق يتجاوز الصياغة المعتادة في المنافسات الحكومية. ### الأولوية الخامسة: القدرة على التسليم باللغة العربية والطلاقة الثقافية (INFERENCE — ثقة متوسطة)</w:t>
        <w:br/>
        <w:t xml:space="preserve"> متطلب CR-1 (DIRECT_RFP_FACT) ينص على أولوية النص العربي عند التعارض. هذا يتجاوز الامتثال الشكلي — المُقيِّمون من المرجح أن يُقدّروا المخرجات المُنتجة بالعربية أصالةً لأنها أكثر قابلية للاستخدام المباشر. بالإضافة إلى ذلك، فهم ثقافة المشتريات الحكومية السعودية وسرعة التعبئة المحلية عوامل ضمنية — خاصة مع الجدول الزمني المضغوط بين الترسية وبدء الخدمة (شهر واحد تقريباً). **الأساس:** شرط أولوية النص العربي + الجدول الزمني المضغوط. ### ما يهم المسؤول الأعلى في سدايا (INFERENCE — ثقة متوسطة)</w:t>
        <w:br/>
        <w:t xml:space="preserve"> المسؤول الأعلى (نائب الرئيس أو مدير البرنامج المسؤول عن العلاقات الدولية) من المرجح أن يهتم بالسمعة المؤسسية لسدايا أمام اليونسكو والمجتمع الدولي. أي عمل استشاري لا يرقى للمعايير الدولية قد يُضعف موقف المملكة في المحافل الدولية. هذا يعني أن جودة المخرجات ومصداقيتها الدولية من المرجح أن تكون أولوية ضمنية تتجاوز المعايير الفنية المكتوبة. **الأساس:** الطبيعة الدبلوماسية-المؤسسية للمشروع وارتباطه بمنظمة دولية.</w:t>
      </w:r>
    </w:p>
    <w:p>
      <w:pPr>
        <w:pStyle w:val="Heading2"/>
      </w:pPr>
      <w:r>
        <w:t>1.4 Probable Scoring Logic</w:t>
      </w:r>
    </w:p>
    <w:p>
      <w:r>
        <w:t>## منطق التقييم المحتمل — استراتيجية ثنائية المسار في ظل غياب آلية الترسية</w:t>
        <w:br/>
        <w:t xml:space="preserve"> ### الحقيقة الأساسية: آلية الترسية غير معروفة</w:t>
        <w:br/>
        <w:t xml:space="preserve"> آلية الترسية، أوزان التقييم الفني والمالي، المعايير الفرعية وأوزانها، وحد النجاح الفني — كلها غير متاحة في النص المستخرج (DIRECT_RFP_FACT: حقل evaluation_criteria يُظهر award_mechanism: "unknown"، وجميع الأوزان null). لذلك، كل ما يلي في هذا القسم هو استنتاج (INFERENCE) ويجب التعامل معه بحذر. **التوصية الأولى والأكثر إلحاحاً:** تقديم استفسار رسمي قبل موعد 1447/11/08 يطلب توضيح: (أ) آلية الترسية (أفضل قيمة أم أقل سعر بعد اجتياز الحد الفني)، (ب) أوزان التقييم الفني والمالي، (ج) المعايير الفرعية وأوزانها، (د) حد النجاح الفني. ### السيناريوهان المحتملان وأثرهما على استراتيجية العرض</w:t>
        <w:br/>
        <w:t xml:space="preserve"> **السيناريو الأول — أقل سعر بعد اجتياز الحد الفني (pass/fail then lowest price):** في هذا السيناريو، التقييم الفني بوابة إقصائية (نجاح/رسوب) والترسية لأقل سعر بين المتنافسين الناجحين فنياً. الأثر الاستراتيجي: يجب ضمان اجتياز الحد الفني بثقة عالية مع التنافس بقوة على السعر. يجب عدم الإفراط في الاستثمار الفني فوق حد النجاح. **السيناريو الثاني — تقييم مرجّح (weighted technical/financial):** في هذا السيناريو، يُجمع بين الدرجة الفنية والمالية بأوزان محددة. الأثر الاستراتيجي: يجب الاستثمار بكثافة في عمق المنهجية ومؤهلات الفريق لتعظيم الدرجة الفنية، مع تسعير تنافسي ولكن ليس بالضرورة الأقل. **الاستراتيجية المُعتمدة حتى ورود التوضيح:** تصميم العرض بحيث يكون تنافسياً تحت كلا السيناريوهين — (أ) عمق منهجي كافٍ لتحقيق درجة فنية عالية (تحسبًا للتقييم المرجّح)، مع (ب) هيكل تسعير تنافسي ومرن يسمح بإعادة التسعير (تحسبًا لسيناريو أقل سعر). التوزيع المقترح للتركيز في العرض الفني: 45% لمنهجية التقييم (D-1)، 35% لتصميم البرامج (D-2)، 20% للتدريب ونقل المعرفة (D-3). ### البوابة الإقصائية (ثابتة بغض النظر عن آلية الترسية)</w:t>
        <w:br/>
        <w:t xml:space="preserve"> بغض النظر عن آلية الترسية، الامتثال المستندي (CR-1 إلى CR-9، الضمان الابتدائي، المظاريف المنفصلة) هو معيار إقصائي (INFERENCE — ثقة عالية). أي خلل في الامتثال يُؤدي إلى الاستبعاد قبل أي تقييم فني أو مالي. هذا نمط ثابت في نظام المنافسات والمشتريات الحكومية السعودي. فرضيات التقييم المُهيكلة مُفصّلة في حقل evaluation_hypotheses أدناه.</w:t>
      </w:r>
    </w:p>
    <w:p>
      <w:pPr>
        <w:pStyle w:val="Heading1"/>
      </w:pPr>
      <w:r>
        <w:t>2. Client Problem Framing</w:t>
      </w:r>
    </w:p>
    <w:p>
      <w:pPr>
        <w:pStyle w:val="Heading2"/>
      </w:pPr>
      <w:r>
        <w:t>2.1 Current-State Challenge</w:t>
      </w:r>
    </w:p>
    <w:p>
      <w:r>
        <w:t>تواجه الهيئة السعودية للبيانات والذكاء الاصطناعي (سدايا) تحدياً مؤسسياً مُركّباً في إدارة شراكتها الاستراتيجية مع منظمة اليونسكو في مجال أبحاث وأخلاقيات الذكاء الاصطناعي. وثيقة المنافسة تطلب ثلاثة مخرجات إلزامية — تقييم الوضع الراهن لبرامج اليونسكو في أخلاقيات الذكاء الاصطناعي وبرامج الأبحاث الدولية (D-1)، وتطوير هذه البرامج بتصميم مبادرات وأطر عمل وآليات تعاون (D-2)، والتدريب ونقل المعرفة لفريق الجهة الحكومية (D-3). هذه المخرجات مجتمعة تكشف عن ستة أسباب جذرية مترابطة، يُرصد كل منها من نص صريح في نطاق العمل أو من معيار دولي مرجعي. الجدول التالي يُلخّص الأسباب الجذرية قبل التفصيل: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السبب الجذري</w:t>
            </w:r>
          </w:p>
        </w:tc>
        <w:tc>
          <w:tcPr>
            <w:tcW w:type="dxa" w:w="2160"/>
          </w:tcPr>
          <w:p>
            <w:r>
              <w:rPr>
                <w:b/>
                <w:sz w:val="18"/>
              </w:rPr>
              <w:t>المحفّز في وثيقة المنافسة</w:t>
            </w:r>
          </w:p>
        </w:tc>
        <w:tc>
          <w:tcPr>
            <w:tcW w:type="dxa" w:w="2160"/>
          </w:tcPr>
          <w:p>
            <w:r>
              <w:rPr>
                <w:b/>
                <w:sz w:val="18"/>
              </w:rPr>
              <w:t>العَرَض التشغيلي الحالي</w:t>
            </w:r>
          </w:p>
        </w:tc>
        <w:tc>
          <w:tcPr>
            <w:tcW w:type="dxa" w:w="2160"/>
          </w:tcPr>
          <w:p>
            <w:r>
              <w:rPr>
                <w:b/>
                <w:sz w:val="18"/>
              </w:rPr>
              <w:t>المخرج المرتبط</w:t>
            </w:r>
          </w:p>
        </w:tc>
      </w:tr>
      <w:tr>
        <w:tc>
          <w:tcPr>
            <w:tcW w:type="dxa" w:w="2160"/>
          </w:tcPr>
          <w:p>
            <w:r>
              <w:rPr>
                <w:sz w:val="18"/>
              </w:rPr>
              <w:t>1. غياب إطار تقييم أداء موحّد</w:t>
            </w:r>
          </w:p>
        </w:tc>
        <w:tc>
          <w:tcPr>
            <w:tcW w:type="dxa" w:w="2160"/>
          </w:tcPr>
          <w:p>
            <w:r>
              <w:rPr>
                <w:sz w:val="18"/>
              </w:rPr>
              <w:t>SI-1: «تحليل الأداء وقياس مستوى النضج»</w:t>
            </w:r>
          </w:p>
        </w:tc>
        <w:tc>
          <w:tcPr>
            <w:tcW w:type="dxa" w:w="2160"/>
          </w:tcPr>
          <w:p>
            <w:r>
              <w:rPr>
                <w:sz w:val="18"/>
              </w:rPr>
              <w:t>قرارات تخصيص موارد غير مبنية على بيانات أداء مقارنة</w:t>
            </w:r>
          </w:p>
        </w:tc>
        <w:tc>
          <w:tcPr>
            <w:tcW w:type="dxa" w:w="2160"/>
          </w:tcPr>
          <w:p>
            <w:r>
              <w:rPr>
                <w:sz w:val="18"/>
              </w:rPr>
              <w:t>D-1</w:t>
            </w:r>
          </w:p>
        </w:tc>
      </w:tr>
      <w:tr>
        <w:tc>
          <w:tcPr>
            <w:tcW w:type="dxa" w:w="2160"/>
          </w:tcPr>
          <w:p>
            <w:r>
              <w:rPr>
                <w:sz w:val="18"/>
              </w:rPr>
              <w:t>2. عدم وجود خريطة نضج مقارنة دولياً</w:t>
            </w:r>
          </w:p>
        </w:tc>
        <w:tc>
          <w:tcPr>
            <w:tcW w:type="dxa" w:w="2160"/>
          </w:tcPr>
          <w:p>
            <w:r>
              <w:rPr>
                <w:sz w:val="18"/>
              </w:rPr>
              <w:t>D-1: «قياس مستوى النضج»</w:t>
            </w:r>
          </w:p>
        </w:tc>
        <w:tc>
          <w:tcPr>
            <w:tcW w:type="dxa" w:w="2160"/>
          </w:tcPr>
          <w:p>
            <w:r>
              <w:rPr>
                <w:sz w:val="18"/>
              </w:rPr>
              <w:t>مقارنات وصفية عامة بدلاً من تحليل كمّي مُهيكل</w:t>
            </w:r>
          </w:p>
        </w:tc>
        <w:tc>
          <w:tcPr>
            <w:tcW w:type="dxa" w:w="2160"/>
          </w:tcPr>
          <w:p>
            <w:r>
              <w:rPr>
                <w:sz w:val="18"/>
              </w:rPr>
              <w:t>D-1</w:t>
            </w:r>
          </w:p>
        </w:tc>
      </w:tr>
      <w:tr>
        <w:tc>
          <w:tcPr>
            <w:tcW w:type="dxa" w:w="2160"/>
          </w:tcPr>
          <w:p>
            <w:r>
              <w:rPr>
                <w:sz w:val="18"/>
              </w:rPr>
              <w:t>3. غياب آليات تعاون مُقنّنة مع الدول الشريكة</w:t>
            </w:r>
          </w:p>
        </w:tc>
        <w:tc>
          <w:tcPr>
            <w:tcW w:type="dxa" w:w="2160"/>
          </w:tcPr>
          <w:p>
            <w:r>
              <w:rPr>
                <w:sz w:val="18"/>
              </w:rPr>
              <w:t>SI-2: «آليات التعاون مع مختلف الدول»</w:t>
            </w:r>
          </w:p>
        </w:tc>
        <w:tc>
          <w:tcPr>
            <w:tcW w:type="dxa" w:w="2160"/>
          </w:tcPr>
          <w:p>
            <w:r>
              <w:rPr>
                <w:sz w:val="18"/>
              </w:rPr>
              <w:t>تفاوض من الصفر لكل مبادرة مشتركة</w:t>
            </w:r>
          </w:p>
        </w:tc>
        <w:tc>
          <w:tcPr>
            <w:tcW w:type="dxa" w:w="2160"/>
          </w:tcPr>
          <w:p>
            <w:r>
              <w:rPr>
                <w:sz w:val="18"/>
              </w:rPr>
              <w:t>D-2</w:t>
            </w:r>
          </w:p>
        </w:tc>
      </w:tr>
      <w:tr>
        <w:tc>
          <w:tcPr>
            <w:tcW w:type="dxa" w:w="2160"/>
          </w:tcPr>
          <w:p>
            <w:r>
              <w:rPr>
                <w:sz w:val="18"/>
              </w:rPr>
              <w:t>4. ضعف الربط المنهجي بأهداف التنمية المستدامة</w:t>
            </w:r>
          </w:p>
        </w:tc>
        <w:tc>
          <w:tcPr>
            <w:tcW w:type="dxa" w:w="2160"/>
          </w:tcPr>
          <w:p>
            <w:r>
              <w:rPr>
                <w:sz w:val="18"/>
              </w:rPr>
              <w:t>D-2: «ربط البرامج بأهداف التنمية المستدامة»</w:t>
            </w:r>
          </w:p>
        </w:tc>
        <w:tc>
          <w:tcPr>
            <w:tcW w:type="dxa" w:w="2160"/>
          </w:tcPr>
          <w:p>
            <w:r>
              <w:rPr>
                <w:sz w:val="18"/>
              </w:rPr>
              <w:t>عجز عن إثبات الأثر التنموي بلغة كمية</w:t>
            </w:r>
          </w:p>
        </w:tc>
        <w:tc>
          <w:tcPr>
            <w:tcW w:type="dxa" w:w="2160"/>
          </w:tcPr>
          <w:p>
            <w:r>
              <w:rPr>
                <w:sz w:val="18"/>
              </w:rPr>
              <w:t>D-2</w:t>
            </w:r>
          </w:p>
        </w:tc>
      </w:tr>
      <w:tr>
        <w:tc>
          <w:tcPr>
            <w:tcW w:type="dxa" w:w="2160"/>
          </w:tcPr>
          <w:p>
            <w:r>
              <w:rPr>
                <w:sz w:val="18"/>
              </w:rPr>
              <w:t>5. فجوة القدرات المؤسسية الداخلية</w:t>
            </w:r>
          </w:p>
        </w:tc>
        <w:tc>
          <w:tcPr>
            <w:tcW w:type="dxa" w:w="2160"/>
          </w:tcPr>
          <w:p>
            <w:r>
              <w:rPr>
                <w:sz w:val="18"/>
              </w:rPr>
              <w:t>D-3: ثلاثة أساليب نقل معرفة</w:t>
            </w:r>
          </w:p>
        </w:tc>
        <w:tc>
          <w:tcPr>
            <w:tcW w:type="dxa" w:w="2160"/>
          </w:tcPr>
          <w:p>
            <w:r>
              <w:rPr>
                <w:sz w:val="18"/>
              </w:rPr>
              <w:t>اعتماد على خبرات خارجية في كل دورة عمل</w:t>
            </w:r>
          </w:p>
        </w:tc>
        <w:tc>
          <w:tcPr>
            <w:tcW w:type="dxa" w:w="2160"/>
          </w:tcPr>
          <w:p>
            <w:r>
              <w:rPr>
                <w:sz w:val="18"/>
              </w:rPr>
              <w:t>D-3</w:t>
            </w:r>
          </w:p>
        </w:tc>
      </w:tr>
      <w:tr>
        <w:tc>
          <w:tcPr>
            <w:tcW w:type="dxa" w:w="2160"/>
          </w:tcPr>
          <w:p>
            <w:r>
              <w:rPr>
                <w:sz w:val="18"/>
              </w:rPr>
              <w:t>6. غياب منظومة متابعة وتقييم سببية</w:t>
            </w:r>
          </w:p>
        </w:tc>
        <w:tc>
          <w:tcPr>
            <w:tcW w:type="dxa" w:w="2160"/>
          </w:tcPr>
          <w:p>
            <w:r>
              <w:rPr>
                <w:sz w:val="18"/>
              </w:rPr>
              <w:t>D-1: «مؤشرات للمتابعة والتقييم»</w:t>
            </w:r>
          </w:p>
        </w:tc>
        <w:tc>
          <w:tcPr>
            <w:tcW w:type="dxa" w:w="2160"/>
          </w:tcPr>
          <w:p>
            <w:r>
              <w:rPr>
                <w:sz w:val="18"/>
              </w:rPr>
              <w:t>عدم القدرة على قياس الأثر الفعلي مقابل المخرجات الشكلية</w:t>
            </w:r>
          </w:p>
        </w:tc>
        <w:tc>
          <w:tcPr>
            <w:tcW w:type="dxa" w:w="2160"/>
          </w:tcPr>
          <w:p>
            <w:r>
              <w:rPr>
                <w:sz w:val="18"/>
              </w:rPr>
              <w:t>D-1</w:t>
            </w:r>
          </w:p>
        </w:tc>
      </w:tr>
    </w:tbl>
    <w:p/>
    <w:p>
      <w:r>
        <w:t>━━━ السبب الجذري الأول: غياب إطار تقييم أداء موحّد ومتعدد الأبعاد ━━━</w:t>
        <w:br/>
        <w:t xml:space="preserve"> [DIRECT_RFP_FACT] نطاق العمل SI-1 يطلب صراحةً «تحليل الأداء وقياس مستوى النضج وتحديد الفجوات وفرص التطوير. » هذا الطلب يدل على أن الأدوات الحالية لقياس أداء برامج اليونسكو في أخلاقيات الذكاء الاصطناعي — بما فيها التوصية بشأن أخلاقيات الذكاء الاصطناعي (2021)، ومنهجية تقييم الجاهزية (RAM)، وبرامج التبادل الأخلاقي (EEP)، ومبادرة بناء القدرات (ABC)، والمرصد العالمي لأخلاقيات الذكاء الاصطناعي (GEObs) — إما غير مُطبّقة بشكل منهجي من منظور المملكة، أو أن نتائجها غير مُدمجة في إطار تقييمي واحد يُمكّن من المقارنة والترتيب [INFERENCE — مستنتج من طبيعة المخرج المطلوب؛ لو كان الإطار موجوداً لما طُلب بناؤه]. الأدبيات الدولية في تقييم البرامج البحثية الدولية المتعددة الأطراف تؤكد أن هذه البرامج تتطلب منهجيات تقييم تتجاوز المؤشرات الكمية التقليدية (عدد المنشورات، حجم التمويل) لتشمل المساهمات العملية: بناء القدرات المؤسسية، وتعزيز العلاقات بين الأطراف، والتأثير المعرفي على السياسات [EXT-012]. ما لا تستطيع سدايا فعله اليوم بسبب هذه الفجوة: لا يملك فريق التعاون الدولي أداة موضوعية لتحديد أي برامج اليونسكو تحقق أعلى عائد استراتيجي للمملكة وأيها يحتاج إعادة توجيه — فقرارات تخصيص الموارد والوقت بين البرامج المختلفة تُتخذ بناءً على تقديرات غير مُهيكلة بدلاً من بيانات أداء مُقارنة. لا توجد بطاقة أداء موحّدة (unified scorecard) تجمع مؤشرات الأداء عبر البرامج المتعددة في لوحة واحدة. ━━━ السبب الجذري الثاني: عدم وجود خريطة نضج مؤسسي مُقارنة دولياً ━━━</w:t>
        <w:br/>
        <w:t xml:space="preserve"> [DIRECT_RFP_FACT] المخرج D-1 يشترط «قياس مستوى النضج»، مما يعني الحاجة إلى أداة قياس تُحدد موقع كل برنامج على سلّم نضج واضح المعالم. نماذج الجاهزية للذكاء الاصطناعي القائمة على إطار التكنولوجيا-المنظمة-البيئة (TOE) توفر ثمانية أبعاد تقييمية — البنية التحتية، الحوكمة، رأس المال البشري، البيانات، الأخلاقيات، الابتكار، التنظيم، البيئة الخارجية — وتُمكّن من قياس النضج بدقة عبر مستويات متدرجة [EXT-007]. كما أن منهجية تقييم القدرات المؤسسية الهرمية (الوظائف ← الأدوار ← متطلبات القدرات) المُعتمدة في تقييم المنظمات الدولية توفر عمقاً تشغيلياً يكشف عن الفجوات على مستوى الممارسات اليومية وليس فقط على مستوى السياسات [EXT-008]. ما لا تستطيع سدايا فعله اليوم: عندما يُطلب من الفريق إعداد تقرير مقارنة مع دولة شريكة أخرى في إطار اليونسكو، لا يتوفر مقياس موحّد يُحدد أين تتقدم المملكة وأين تتأخر — فيلجأ إلى مقارنات وصفية عامة. لا يوجد سلّم نضج مُعتمد يُحدد المستوى الحالي لكل برنامج (مبتدئ، متطور، ناضج، رائد) بمعايير كمية قابلة للتتبع الزمني. ━━━ السبب الجذري الثالث: غياب آليات تعاون مُقنّنة ومحددة النطاق مع الدول الشريكة ━━━</w:t>
        <w:br/>
        <w:t xml:space="preserve"> [DIRECT_RFP_FACT] نطاق العمل SI-2 يطلب صراحةً «تحديد نطاق العمل والمخرجات وآليات التعاون» مع مختلف الدول، والمخرج D-2 يشترط تصميم «آليات التعاون وربط البرامج بأهداف التنمية المستدامة. » هذا الطلب المزدوج يكشف أن آليات التعاون الحالية بين سدايا والدول الشريكة في إطار اليونسكو إما غير موجودة بشكل مُقنّن، أو موجودة بصيغة عامة تفتقر إلى تحديد الأدوار والمسؤوليات وقنوات الاتصال وآليات صنع القرار المشترك [INFERENCE — مستنتج من حقيقة أن المنافسة تطلب تصميم هذه الآليات]. ما لا تستطيع سدايا فعله اليوم: عند ورود طلب من مكتب اليونسكو الإقليمي أو من دولة شريكة لتنفيذ مبادرة بحثية مشتركة، يحتاج الفريق إلى التفاوض من الصفر حول نطاق العمل والمسؤوليات وآليات التنسيق. لا يوجد نموذج تعاون موحّد (cooperation template) قابل للتكرار — فإذا أرادت سدايا إطلاق مبادرة بحثية مشتركة مع ثلاث دول في وقت واحد، فإن ذلك يعني ثلاث عمليات تفاوض منفصلة بدلاً من تطبيق نموذج واحد مُعدّل حسب السياق. ━━━ السبب الجذري الرابع: ضعف الربط المنهجي بين البرامج البحثية وأهداف التنمية المستدامة ━━━</w:t>
        <w:br/>
        <w:t xml:space="preserve"> [DIRECT_RFP_FACT] المخرج D-2 يطلب صراحةً «ربط البرامج بأهداف التنمية المستدامة. » الأبحاث الدولية في مجال موازنة أهداف التنمية المستدامة (B4SDGs) تُظهر أن الربط الفعّال يتطلب منهجية وسم مُهيكلة (tagging methodology) تتجاوز الإشارات العامة إلى تتبّع مساهمات محددة وقابلة للقياس لكل برنامج في تحقيق أهداف بعينها [EXT-013]. ما لا تستطيع سدايا فعله اليوم: عندما يُطلب تقرير يُبيّن كيف تُسهم الشراكة مع اليونسكو في تحقيق أجندة 2030 الوطنية، لا تتوفر بيانات مُهيكلة تربط كل برنامج بحثي بهدف تنموي محدد — مما يُضعف القدرة على تبرير الاستثمار المستمر بلغة الأثر التنموي. لا توجد مصفوفة ربط (SDG mapping matrix) تُحدد لكل برنامج: الهدف الأممي المستهدف، المؤشر الفرعي، المساهمة المتوقعة، ومقياس التقدم. ━━━ السبب الجذري الخامس: فجوة القدرات المؤسسية الداخلية في إدارة التعاون الدولي ━━━</w:t>
        <w:br/>
        <w:t xml:space="preserve"> [DIRECT_RFP_FACT] المخرج الإلزامي D-3 يشترط «التدريب على رأس العمل / العمل جنباً إلى جنب / ورش العمل التدريبية» — ثلاثة أساليب مختلفة لنقل المعرفة في وثيقة المنافسة ذاتها. تحديد ثلاثة أساليب مكثفة يكشف عن إدراك مؤسسي بأن الفجوة ليست سطحية بل هيكلية تتطلب تدخلاً متعدد الأبعاد [INFERENCE — مستنتج من تعدد الأساليب المطلوبة]. أبحاث APQC في نقل المعرفة المؤسسية تؤكد أن النقل الفعّال يمر بأربع مراحل (التخطيط، التصميم، التنفيذ، التقييم) ويتطلب مزيجاً من التعلّم الرسمي والتعلّم بالممارسة [EXT-006]. ما لا تستطيع سدايا فعله اليوم: لا يوجد فريق مُقيّمين داخلي (internal assessor pool) قادر على إجراء تقييمات دورية لبرامج اليونسكو بشكل مستقل. لا توجد منهجية نقل معرفة مُهيكلة تضمن أن المعرفة الضمنية المتعلقة بإدارة العلاقة مع اليونسكو — مثل فهم ديناميكيات التفاوض مع المكاتب الإقليمية، أو معرفة دورات التقارير ومتطلباتها — تُوثّق وتُنقل بشكل منهجي. عند مغادرة مستشار خارجي أو انتهاء مشروع استشاري سابق، يُفقد جزء من هذه المعرفة. ━━━ السبب الجذري السادس: غياب منظومة متابعة وتقييم قائمة على نظرية التغيير ━━━</w:t>
        <w:br/>
        <w:t xml:space="preserve"> [DIRECT_RFP_FACT] المخرج D-1 يطلب صراحةً «مؤشرات للمتابعة والتقييم. » الأدبيات الدولية في تقييم البرامج البحثية تُميّز بين مؤشرات المخرجات (outputs) ومؤشرات الأثر (outcomes/impact)، وتؤكد أن البرامج البحثية الدولية تحتاج نهج نظرية التغيير (Theory of Change) الذي يرسم السلسلة السببية من الأنشطة إلى المخرجات إلى النتائج إلى الأثر طويل المدى [EXT-012]. ما لا تستطيع سدايا فعله اليوم: عندما يسأل صانع قرار «هل برامجنا مع اليونسكو تُحقق أثراً فعلياً أم تقتصر على مخرجات شكلية؟» — لا تتوفر إجابة مبنية على بيانات لأن المنظومة الحالية لا تقيس السلسلة السببية بين الأنشطة والأثر. لا يوجد نموذج نظرية تغيير (ToC model) يربط بين أنشطة كل برنامج ومخرجاته ونتائجه المتوسطة وأثره طويل المدى. لا توجد مجموعة مؤشرات أداء رئيسية (KPI set) مُصمّمة خصيصاً لقياس المساهمات العملية والمعرفية للبرامج البحثية الدولية. ━━━ البُعد المؤسسي والمالي وأصحاب المصلحة ━━━</w:t>
        <w:br/>
        <w:t xml:space="preserve"> من المنظور المؤسسي، يقع هذا المشروع في صميم ولاية سدايا بوصفها الجهة الوطنية المسؤولة عن تنظيم قطاع البيانات والذكاء الاصطناعي وتمثيل المملكة دولياً في المحافل المتعلقة بحوكمته — والشراكة مع اليونسكو أداة تنفيذ هذه الولاية على المستوى الدولي. من المنظور المالي، غياب أدوات تقييم الأداء يعني أن الميزانيات المخصصة لبرامج التعاون مع اليونسكو تُوزّع دون قاعدة بيانات تُحدد العائد الاستراتيجي لكل برنامج — وهذا يُنشئ مخاطر سوء تخصيص يصعب كشفها دون إطار تقييم منهجي. من منظور أصحاب المصلحة، يتأثر بهذا الوضع أربع مجموعات محددة: (أ) فريق سدايا المعني بالتعاون الدولي — المخرجات الثلاثة تستهدف تمكينه مباشرة؛ (ب) الباحثون السعوديون في مجال أخلاقيات الذكاء الاصطناعي — يحتاجون قنوات مشاركة دولية مُهيكلة عبر المبادرات المُصمّمة في D-2؛ (ج) الجهات الحكومية ذات العلاقة — تحتاج رؤية واضحة لدور المملكة ومساهمتها في المنظومة الدولية لتنسيق جهودها؛ (د) الدول الشريكة ومكاتب اليونسكو — تحتاج آليات تعاون محددة وقابلة للتنفيذ بدلاً من ترتيبات عامة تحتاج تفاوضاً متكرراً.</w:t>
      </w:r>
    </w:p>
    <w:p>
      <w:pPr>
        <w:pStyle w:val="Heading2"/>
      </w:pPr>
      <w:r>
        <w:t>2.2 Why It Matters Now</w:t>
      </w:r>
    </w:p>
    <w:p>
      <w:r>
        <w:t>تتضافر ثلاث موجات ضغط — دولية وتنظيمية ومؤسسية — تجعل تنفيذ هذا المشروع في هذا التوقيت أمراً حاسماً:</w:t>
        <w:br/>
        <w:t xml:space="preserve"> ━━━ الموجة الأولى: دورات التقارير الدورية لليونسكو تُحدد المعايير المرجعية الآن ━━━</w:t>
        <w:br/>
        <w:t xml:space="preserve"> [EXTERNAL_BENCHMARK] اعتمدت اليونسكو توصيتها بشأن أخلاقيات الذكاء الاصطناعي في نوفمبر 2021 كأول أداة معيارية عالمية في هذا المجال، وتمر حالياً بدورات التقارير الدورية الأولى التي تُلزم الدول الأعضاء بالإبلاغ عن تقدمها في تنفيذ التوصية وتطبيق منهجية تقييم الجاهزية [EXT-003]. هذه الدورات الأولى هي الأكثر تأثيراً في تحديد المعايير المرجعية — لأن الأطر المعيارية الدولية تميل إلى التبلور حول المساهمات المبكرة، والدول التي تُقدّم تقارير مدعومة بتقييمات منهجية وبرامج بحثية مُهيكلة تكتسب ثقلاً أكبر في توجيه المراجعات المستقبلية للتوصية [EXT-003]. في الوقت ذاته، يُعيد قانون الذكاء الاصطناعي الأوروبي (EU AI Act) تشكيل المعايير التنظيمية عالمياً، وتتسارع مبادرات وطنية متعددة لتأسيس أطر أخلاقية ومراكز تميّز [INFERENCE — مستنتج من السياق التنظيمي الدولي العام؛ لا تتوفر بيانات مقارنة مباشرة بين دول بعينها في حزمة الأدلة المتاحة، ولا يوجد معيار مقارنة خليجي عام منشور في الحزمة الحالية]. المسار السببي المحدد: كل دورة تقارير تمر دون أن تُقدّم المملكة تقييماً منهجياً مدعوماً ببيانات أداء مُهيكلة تعني أن تقريرها يبقى وصفياً مقارنة بتقارير الدول التي أنجزت تقييمات كمّية — وهذا يُقلّص قدرتها على التأثير في صياغة أولويات البحث الدولية ومراجعات التوصية المستقبلية [EXT-003]. [DIRECT_RFP_FACT] الجدول الزمني للمنافسة يعكس هذا الإلحاح: الفترة بين الترسية المتوقعة (1447/12/02) وبدء التنفيذ (1448/01/06) تبلغ نحو شهر واحد فقط — مما يعني أن سدايا تريد تعبئة سريعة وبدء عمل فوري دون فترة انتظار. هذا الجدول المضغوط يعكس وعياً مؤسسياً بأن التأخير له تكلفة استراتيجية حقيقية مرتبطة بدورات التقارير الدولية والفرص الدبلوماسية المحددة زمنياً. ━━━ الموجة الثانية: الضغط المؤسسي الداخلي على بناء القدرات ━━━</w:t>
        <w:br/>
        <w:t xml:space="preserve"> [DIRECT_RFP_FACT] اشتراط المخرج D-3 لثلاثة أساليب مكثفة لنقل المعرفة (تدريب على رأس العمل، عمل جنباً إلى جنب، ورش عمل) يُشير إلى أن سدايا تُدرك أن بناء القدرات الداخلية لا يحتمل مزيداً من التأجيل. [INFERENCE] هذا التحديد الدقيق لأساليب النقل — بدلاً من ترك الأمر مفتوحاً للمتعاقد — يُرجّح أن سدايا مرّت بتجارب سابقة حيث اقتصر نقل المعرفة على تسليم وثائق أو ورش عمل نظرية لم تُحقق أثراً مستداماً، ولذلك تطلب هذه المرة أساليب تضمن التعلّم بالممارسة. من الناحية التشغيلية، كل دورة عمل تمر دون بناء قدرات داخلية تعني أن الفريق يبقى معتمداً على الخبرات الخارجية في المهام الأساسية — من إعداد التقارير الدورية لليونسكو إلى تصميم المبادرات البحثية إلى التنسيق مع الدول الشريكة. أبحاث APQC تُظهر أن المعرفة الضمنية تتبدد مع دوران الموظفين وتغيّر السياقات، وأن تأخير برامج النقل يُنتج فجوة تراكمية يصعب سدّها لاحقاً [EXT-006]. ━━━ الموجة الثالثة: رؤية 2030 والبُعد الأخلاقي للقيادة التكنولوجية ━━━</w:t>
        <w:br/>
        <w:t xml:space="preserve"> [INFERENCE — مستنتج من السياق الاستراتيجي الوطني العام] الشراكة مع اليونسكو في أخلاقيات الذكاء الاصطناعي أداة لتحقيق هدف أوسع ضمن ركيزة التحول الرقمي والقيادة التكنولوجية: إثبات أن المملكة لا تكتفي بتبنّي تقنيات الذكاء الاصطناعي بل تُسهم في تشكيل الأطر الأخلاقية التي تحكم استخدامها عالمياً. هذا البُعد الأخلاقي أصبح شرطاً متزايد الأهمية للمصداقية الدولية في أي طموح قيادي تكنولوجي — خاصة مع تصاعد النقاش العالمي حول حوكمة الذكاء الاصطناعي التوليدي والمخاطر المرتبطة به. ━━━ ماذا لو تأخر المشروع ستة أشهر؟ — ثلاثة مسارات تبعات محددة ━━━</w:t>
        <w:br/>
        <w:t xml:space="preserve"> (أ) مسار التقارير الدولية: تواجه المملكة دورة التقارير الدورية القادمة لليونسكو دون تقييم منهجي لبرامجها، مما يُنتج تقريراً أقل عمقاً وتفصيلاً مقارنة بالدول التي أنجزت تقييمات مُهيكلة — وهذا يُقلّص الثقل التفاوضي في المراجعات المستقبلية للتوصية [EXT-003]. المؤشر الاتجاهي: انخفاض في جودة التقرير الدوري مقاساً بعدد المؤشرات الكمية المُدرجة مقابل الوصف النوعي العام. (ب) مسار التعاون الدولي: تستمر آليات التعاون مع الدول الشريكة بصيغتها الحالية غير المُقنّنة لستة أشهر إضافية، مما يعني فقدان فرص شراكات كان يمكن تفعيلها بأطر عمل جاهزة. المؤشر الاتجاهي: عدد المبادرات المشتركة المُعلّقة بسبب غياب إطار تعاون مُعتمد. (ج) مسار القدرات الداخلية: ستة أشهر إضافية من الاعتماد على الخبرات الخارجية تعني ستة أشهر إضافية من تسرّب المعرفة الضمنية دون توثيق أو نقل [EXT-006]. المؤشر الاتجاهي: عدد المهام الأساسية (إعداد تقارير، تصميم مبادرات، تنسيق مع شركاء) التي لا يستطيع الفريق الداخلي تنفيذها بشكل مستقل.</w:t>
      </w:r>
    </w:p>
    <w:p>
      <w:pPr>
        <w:pStyle w:val="Heading2"/>
      </w:pPr>
      <w:r>
        <w:t>2.3 Transformation Logic</w:t>
      </w:r>
    </w:p>
    <w:p>
      <w:r>
        <w:t>يعالج المشروع الأسباب الجذرية الستة من خلال رحلة تحوّل منظّمة تنتقل بسدايا من الوضع الراهن — شراكة مع اليونسكو تفتقر إلى تقييم منهجي وأطر تعاون مُقنّنة وقدرات مؤسسية كافية — إلى الوضع المستهدف: شراكة استراتيجية مُدارة بأدوات تقييم متقدمة وأطر تعاون محددة النطاق وفريق وطني مؤهل ومنظومة متابعة وتقييم مستدامة. تتبع هذه الرحلة ثلاث مراحل متسلسلة منطقياً تتوافق مع المخرجات الإلزامية الثلاثة، مع مسار مستمر لنقل المعرفة يمتد عبر جميع المراحل:</w:t>
        <w:br/>
        <w:t xml:space="preserve"> ━━━ المرحلة الأولى — التقييم والتشخيص → المخرج D-1 → تُعالج الأسباب الجذرية 1 و2 و6 ━━━</w:t>
        <w:br/>
        <w:t xml:space="preserve"> تنشر إطار تقييم متعدد الأبعاد يدمج ثلاث طبقات منهجية متكاملة:</w:t>
        <w:br/>
        <w:t xml:space="preserve"> • الطبقة الأولى: مؤشرات التقارير الدورية لليونسكو كإطار مرجعي — تضمن أن مخرجات التقييم قابلة للاستخدام مباشرة في تقارير المملكة لليونسكو دون إعادة هيكلة [EXT-003]. هذا يعالج السبب الجذري الأول بتوفير إطار تقييم موحّد يتحدث لغة اليونسكو المؤسسية. • الطبقة الثانية: نموذج الجاهزية القائم على إطار TOE ذي الأبعاد الثمانية لقياس نضج كل برنامج عبر مستويات متدرجة [EXT-007]. هذا يعالج السبب الجذري الثاني بإنتاج خريطة نضج كمّية مُقارنة مع 5-8 دول مرجعية. • الطبقة الثالثة: المنهجية الهرمية لتقييم القدرات المؤسسية (الوظائف ← الأدوار ← متطلبات القدرات) لضمان عمق التحليل على المستوى التشغيلي [EXT-008]. تُنتج هذه المرحلة خمسة مخرجات محددة: (1) تحليل أداء تفصيلي لكل برنامج من برامج اليونسكو في أخلاقيات الذكاء الاصطناعي؛ (2) بطاقة نضج مؤسسي مُقارنة بمعايير دولية تشمل دولاً مرجعية؛ (3) خريطة فجوات مُرتّبة حسب الأولوية والأثر؛ (4) مصفوفة أولويات التدخل؛ (5) منظومة مؤشرات متابعة وتقييم مبنية على نظرية التغيير تقيس المساهمات العملية والمعرفية [EXT-012] — وهذا يعالج السبب الجذري السادس. منطق التسلسل: التشخيص الدقيق شرط مسبق لأي تصميم برامجي فعّال. بدونه تُبنى المبادرات على افتراضات بدلاً من بيانات — وهذا بالتحديد ما يُنتج التقارير التي لا تُترجم إلى ممارسات. ━━━ المرحلة الثانية — التصميم والتطوير → المخرج D-2 → تُعالج الأسباب الجذرية 3 و4 ━━━</w:t>
        <w:br/>
        <w:t xml:space="preserve"> تستند إلى نتائج المرحلة الأولى لتصميم مبادرات وأطر عمل قابلة للتنفيذ. يعتمد التصميم على منطق الأولوية القائم على القدرات المستلهم من إطار البنك الدولي للاستثمار في القدرات (CISF) [EXT-004]، الذي يربط بين مستوى النضج المؤسسي الحالي (المُحدد في المرحلة الأولى) ونوع التدخلات المناسبة:</w:t>
        <w:br/>
        <w:t xml:space="preserve"> • البرامج ذات النضج المنخفض ← تدخلات تأسيسية (بناء هياكل، تحديد أدوار، وضع إجراءات أساسية)</w:t>
        <w:br/>
        <w:t xml:space="preserve"> • البرامج ذات النضج المتوسط ← تدخلات تطويرية (تحسين العمليات، توسيع النطاق، تعميق الشراكات)</w:t>
        <w:br/>
        <w:t xml:space="preserve"> • البرامج الناضجة ← تدخلات ابتكارية (نماذج تعاون جديدة، مبادرات رائدة، تصدير الخبرات)</w:t>
        <w:br/>
        <w:t xml:space="preserve"> تُنتج هذه المرحلة أربعة مخرجات: (1) تصميم مبادرات بحثية مشتركة مع تحديد نطاق العمل والمخرجات المتوقعة لكل مبادرة؛ (2) أطر تعاون ثنائية ومتعددة الأطراف تُحدد الأدوار والمسؤوليات وقنوات الاتصال وآليات صنع القرار المشترك مع الدول الشريكة — وهذا يعالج السبب الجذري الثالث؛ (3) خريطة ربط منهجية بأهداف التنمية المستدامة باستخدام منهجية الوسم المُهيكلة [EXT-013] — وهذا يعالج السبب الجذري الرابع؛ (4) خريطة طريق تنفيذية بمراحل زمنية ومسؤوليات واضحة وملكية محددة لكل مبادرة. منطق التسلسل: كل مبادرة مُصمّمة تعالج فجوة مُوثّقة في تقييم المرحلة الأولى، مما يضمن أن التصميم مبني على أدلة. هذا الربط السببي بين التشخيص والتصميم هو ما يُحوّل المخرجات إلى أدوات تنفيذية ذات ملكية واضحة. ━━━ المرحلة الثالثة — التمكين ونقل المعرفة → المخرج D-3 → تُعالج السبب الجذري 5 ━━━</w:t>
        <w:br/>
        <w:t xml:space="preserve"> تُنفّذ برنامج بناء قدرات ثنائي المسار يستجيب مباشرة لأساليب النقل الثلاثة المنصوص عليها في وثيقة المنافسة:</w:t>
        <w:br/>
        <w:t xml:space="preserve"> • المسار الأول — تطوير الموارد البشرية: يطبّق إطار نقل المعرفة الرباعي المراحل [EXT-006] عبر ورش عمل تدريبية مُهيكلة تُغطي منهجيات التقييم وأدوات التصميم البرامجي، وتدريب على رأس العمل يُمكّن فريق سدايا من تطبيق هذه الأدوات على حالات حقيقية أثناء تنفيذ المشروع. يُقاس أثر التدريب من خلال تقييم كفاءات قبلي وبعدي [EXT-009]. • المسار الثاني — التعزيز المؤسسي: يُؤسس فريق مُقيّمين داخلي (Internal Assessor Team) وفق النموذج المُثبت في تقييم البرامج الدولية [EXT-014]، مما يُمكّن سدايا من إجراء تقييمات دورية مستقبلية بشكل مستقل. يتكامل هذا مع نموذج منصات ترجمة المعرفة الذي يُهيكل آليات تحويل المعرفة البحثية إلى ممارسات مؤسسية [EXT-015]. نقل المعرفة ليس مرحلة منفصلة تأتي في النهاية فقط — بل مسار مستمر يبدأ من اليوم الأول: في المرحلة الأولى، يعمل فريق سدايا جنباً إلى جنب مع فريق المشروع في تنفيذ التقييم (تعلّم بالممارسة). في المرحلة الثانية، يُشارك في تصميم المبادرات والأطر (بناء ملكية). في المرحلة الثالثة، يتولى القيادة تحت إشراف (تمكين تدريجي). هذا التسلسل يضمن أن الفريق الداخلي يبني كفاءات عملية مُختبرة وليس معرفة نظرية. ━━━ منظور أصحاب المصلحة ━━━</w:t>
        <w:br/>
        <w:t xml:space="preserve"> • فريق سدايا المعني بالتعاون الدولي: يحصل على أدوات تقييم مُهيكلة (المرحلة 1)، وأطر عمل جاهزة للتفعيل (المرحلة 2)، وقدرات مُعزّزة ومُقاسة (المرحلة 3). • الباحثون السعوديون: يحصلون على قنوات مشاركة دولية واضحة عبر المبادرات المُصمّمة في المرحلة الثانية — مع تحديد نطاق العمل والمخرجات المتوقعة لكل مبادرة. • الدول الشريكة ومكاتب اليونسكو: تحصل على آليات تعاون محددة تُسهّل التنسيق — بدلاً من ترتيبات عامة تحتاج تفاوضاً متكرراً. • صانعو القرار في سدايا: يحصلون على بيانات أداء ومؤشرات متابعة تُمكّنهم من اتخاذ قرارات مبنية على أدلة بشأن استمرار البرامج أو إعادة توجيهها. ━━━ التكامل مع المبادرات القائمة ━━━</w:t>
        <w:br/>
        <w:t xml:space="preserve"> كل مخرج يُصمّم ليتوافق مع دورات التقارير الدورية لليونسكو [EXT-003]، مما يعني أن مخرجات التقييم تُستخدم في تقارير المملكة، وأن أطر التعاون المُصمّمة تتكامل مع البرامج القائمة (EEP، ABC، GEObs، RAM) بدلاً من إنشاء مسارات موازية تُضاعف العبء المؤسسي. ━━━ تعريف النجاح ━━━</w:t>
        <w:br/>
        <w:t xml:space="preserve"> النجاح في نهاية هذا المشروع يعني تحقق أربع نتائج قابلة للقياس: (1) سدايا تمتلك تقييماً شاملاً ومُحدّثاً لبرامج اليونسكو في أخلاقيات الذكاء الاصطناعي مع بطاقة نضج مُقارنة دولياً تُستخدم في التقارير الدورية؛ (2) أطر تعاون وآليات عمل مُصمّمة وجاهزة للتفعيل مع الدول الشريكة، مرتبطة بأهداف التنمية المستدامة بمنهجية وسم مُهيكلة؛ (3) فريق وطني مؤهل ومُقاس الكفاءات (قبلياً وبعدياً) قادر على إدارة الشراكة وإجراء تقييمات دورية بشكل مستقل؛ (4) منظومة متابعة وتقييم قائمة على نظرية التغيير تضمن استدامة الأثر وتوفر بيانات مستمرة لصنع القرار.</w:t>
      </w:r>
    </w:p>
    <w:p>
      <w:pPr>
        <w:pStyle w:val="Heading2"/>
      </w:pPr>
      <w:r>
        <w:t>2.4 Risk If Unchanged</w:t>
      </w:r>
    </w:p>
    <w:p>
      <w:r>
        <w:t>إذا لم تُنفّذ سدايا هذا المشروع، تتراكم المخاطر على أربعة مستويات متشابكة — كل منها يُغذّي الآخر. الجدول التالي يُلخّص المخاطر بمؤشرات اتجاهية محددة: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المخاطرة</w:t>
            </w:r>
          </w:p>
        </w:tc>
        <w:tc>
          <w:tcPr>
            <w:tcW w:type="dxa" w:w="2160"/>
          </w:tcPr>
          <w:p>
            <w:r>
              <w:rPr>
                <w:b/>
                <w:sz w:val="18"/>
              </w:rPr>
              <w:t>النتيجة التشغيلية</w:t>
            </w:r>
          </w:p>
        </w:tc>
        <w:tc>
          <w:tcPr>
            <w:tcW w:type="dxa" w:w="2160"/>
          </w:tcPr>
          <w:p>
            <w:r>
              <w:rPr>
                <w:b/>
                <w:sz w:val="18"/>
              </w:rPr>
              <w:t>المؤشر الاتجاهي</w:t>
            </w:r>
          </w:p>
        </w:tc>
        <w:tc>
          <w:tcPr>
            <w:tcW w:type="dxa" w:w="2160"/>
          </w:tcPr>
          <w:p>
            <w:r>
              <w:rPr>
                <w:b/>
                <w:sz w:val="18"/>
              </w:rPr>
              <w:t>المرجع</w:t>
            </w:r>
          </w:p>
        </w:tc>
      </w:tr>
      <w:tr>
        <w:tc>
          <w:tcPr>
            <w:tcW w:type="dxa" w:w="2160"/>
          </w:tcPr>
          <w:p>
            <w:r>
              <w:rPr>
                <w:sz w:val="18"/>
              </w:rPr>
              <w:t>تراجع التموضع الدولي</w:t>
            </w:r>
          </w:p>
        </w:tc>
        <w:tc>
          <w:tcPr>
            <w:tcW w:type="dxa" w:w="2160"/>
          </w:tcPr>
          <w:p>
            <w:r>
              <w:rPr>
                <w:sz w:val="18"/>
              </w:rPr>
              <w:t>تقارير دورية أقل عمقاً من الدول التي أنجزت تقييمات منهجية</w:t>
            </w:r>
          </w:p>
        </w:tc>
        <w:tc>
          <w:tcPr>
            <w:tcW w:type="dxa" w:w="2160"/>
          </w:tcPr>
          <w:p>
            <w:r>
              <w:rPr>
                <w:sz w:val="18"/>
              </w:rPr>
              <w:t>انخفاض عدد المؤشرات الكمية في التقرير الدوري مقابل الوصف النوعي</w:t>
            </w:r>
          </w:p>
        </w:tc>
        <w:tc>
          <w:tcPr>
            <w:tcW w:type="dxa" w:w="2160"/>
          </w:tcPr>
          <w:p>
            <w:r>
              <w:rPr>
                <w:sz w:val="18"/>
              </w:rPr>
              <w:t>EXT-003</w:t>
            </w:r>
          </w:p>
        </w:tc>
      </w:tr>
      <w:tr>
        <w:tc>
          <w:tcPr>
            <w:tcW w:type="dxa" w:w="2160"/>
          </w:tcPr>
          <w:p>
            <w:r>
              <w:rPr>
                <w:sz w:val="18"/>
              </w:rPr>
              <w:t>سوء تخصيص الموارد</w:t>
            </w:r>
          </w:p>
        </w:tc>
        <w:tc>
          <w:tcPr>
            <w:tcW w:type="dxa" w:w="2160"/>
          </w:tcPr>
          <w:p>
            <w:r>
              <w:rPr>
                <w:sz w:val="18"/>
              </w:rPr>
              <w:t>استثمارات في برامج دون بيانات أداء تُبرر استمرارها</w:t>
            </w:r>
          </w:p>
        </w:tc>
        <w:tc>
          <w:tcPr>
            <w:tcW w:type="dxa" w:w="2160"/>
          </w:tcPr>
          <w:p>
            <w:r>
              <w:rPr>
                <w:sz w:val="18"/>
              </w:rPr>
              <w:t>نسبة البرامج التي لا تملك بطاقة أداء مُحدّثة (حالياً: 100% بحسب طبيعة الطلب)</w:t>
            </w:r>
          </w:p>
        </w:tc>
        <w:tc>
          <w:tcPr>
            <w:tcW w:type="dxa" w:w="2160"/>
          </w:tcPr>
          <w:p>
            <w:r>
              <w:rPr>
                <w:sz w:val="18"/>
              </w:rPr>
              <w:t>EXT-008</w:t>
            </w:r>
          </w:p>
        </w:tc>
      </w:tr>
      <w:tr>
        <w:tc>
          <w:tcPr>
            <w:tcW w:type="dxa" w:w="2160"/>
          </w:tcPr>
          <w:p>
            <w:r>
              <w:rPr>
                <w:sz w:val="18"/>
              </w:rPr>
              <w:t>بطء التنفيذ</w:t>
            </w:r>
          </w:p>
        </w:tc>
        <w:tc>
          <w:tcPr>
            <w:tcW w:type="dxa" w:w="2160"/>
          </w:tcPr>
          <w:p>
            <w:r>
              <w:rPr>
                <w:sz w:val="18"/>
              </w:rPr>
              <w:t>تفاوض من الصفر لكل مبادرة مشتركة</w:t>
            </w:r>
          </w:p>
        </w:tc>
        <w:tc>
          <w:tcPr>
            <w:tcW w:type="dxa" w:w="2160"/>
          </w:tcPr>
          <w:p>
            <w:r>
              <w:rPr>
                <w:sz w:val="18"/>
              </w:rPr>
              <w:t>عدد الأسابيع اللازمة لتفعيل مبادرة مشتركة جديدة (يُقاس عند بدء المشروع)</w:t>
            </w:r>
          </w:p>
        </w:tc>
        <w:tc>
          <w:tcPr>
            <w:tcW w:type="dxa" w:w="2160"/>
          </w:tcPr>
          <w:p>
            <w:r>
              <w:rPr>
                <w:sz w:val="18"/>
              </w:rPr>
              <w:t>—</w:t>
            </w:r>
          </w:p>
        </w:tc>
      </w:tr>
      <w:tr>
        <w:tc>
          <w:tcPr>
            <w:tcW w:type="dxa" w:w="2160"/>
          </w:tcPr>
          <w:p>
            <w:r>
              <w:rPr>
                <w:sz w:val="18"/>
              </w:rPr>
              <w:t>تسرّب المعرفة</w:t>
            </w:r>
          </w:p>
        </w:tc>
        <w:tc>
          <w:tcPr>
            <w:tcW w:type="dxa" w:w="2160"/>
          </w:tcPr>
          <w:p>
            <w:r>
              <w:rPr>
                <w:sz w:val="18"/>
              </w:rPr>
              <w:t>فقدان الخبرة مع دوران الموظفين</w:t>
            </w:r>
          </w:p>
        </w:tc>
        <w:tc>
          <w:tcPr>
            <w:tcW w:type="dxa" w:w="2160"/>
          </w:tcPr>
          <w:p>
            <w:r>
              <w:rPr>
                <w:sz w:val="18"/>
              </w:rPr>
              <w:t>عدد المهام الأساسية التي لا يستطيع الفريق الداخلي تنفيذها مستقلاً</w:t>
            </w:r>
          </w:p>
        </w:tc>
        <w:tc>
          <w:tcPr>
            <w:tcW w:type="dxa" w:w="2160"/>
          </w:tcPr>
          <w:p>
            <w:r>
              <w:rPr>
                <w:sz w:val="18"/>
              </w:rPr>
              <w:t>EXT-006</w:t>
            </w:r>
          </w:p>
        </w:tc>
      </w:tr>
      <w:tr>
        <w:tc>
          <w:tcPr>
            <w:tcW w:type="dxa" w:w="2160"/>
          </w:tcPr>
          <w:p>
            <w:r>
              <w:rPr>
                <w:sz w:val="18"/>
              </w:rPr>
              <w:t>فجوة المصداقية</w:t>
            </w:r>
          </w:p>
        </w:tc>
        <w:tc>
          <w:tcPr>
            <w:tcW w:type="dxa" w:w="2160"/>
          </w:tcPr>
          <w:p>
            <w:r>
              <w:rPr>
                <w:sz w:val="18"/>
              </w:rPr>
              <w:t>تباعد بين الطموحات المُعلنة والممارسة الموثّقة</w:t>
            </w:r>
          </w:p>
        </w:tc>
        <w:tc>
          <w:tcPr>
            <w:tcW w:type="dxa" w:w="2160"/>
          </w:tcPr>
          <w:p>
            <w:r>
              <w:rPr>
                <w:sz w:val="18"/>
              </w:rPr>
              <w:t>غياب تقييم منهجي مُقدّم لليونسكو في الدورة القادمة</w:t>
            </w:r>
          </w:p>
        </w:tc>
        <w:tc>
          <w:tcPr>
            <w:tcW w:type="dxa" w:w="2160"/>
          </w:tcPr>
          <w:p>
            <w:r>
              <w:rPr>
                <w:sz w:val="18"/>
              </w:rPr>
              <w:t>EXT-003</w:t>
            </w:r>
          </w:p>
        </w:tc>
      </w:tr>
    </w:tbl>
    <w:p/>
    <w:p>
      <w:r>
        <w:t>━━━ المستوى الأول — مخاطر التموضع الدولي ━━━</w:t>
        <w:br/>
        <w:t xml:space="preserve"> [EXTERNAL_BENCHMARK] منظومة حوكمة أخلاقيات الذكاء الاصطناعي الدولية في طور التشكّل، والدول التي تُقدّم تقارير دورية مدعومة بتقييمات منهجية وبرامج بحثية مُهيكلة تكتسب تأثيراً أكبر في توجيه المراجعات المستقبلية لتوصية اليونسكو وتحديد أولويات البحث الدولية [EXT-003]. غياب تقييم منهجي لبرامج المملكة يعني أن تقريرها الدوري لليونسكو يبقى وصفياً وعاماً مقارنة بتقارير الدول التي أنجزت تقييمات كمّية مُهيكلة — مما يُقلّص قدرتها على التأثير في صياغة الأجندة البحثية المستقبلية. [INFERENCE] في سياق تنافسي حيث تسعى دول متعددة لتأسيس حضور قيادي في هذا المجال، كل دورة تقارير تمر دون مساهمة نوعية من المملكة تُقلّص مساحة التأثير المتاحة لها. الأطر المعيارية الدولية تميل إلى التبلور حول المساهمات المبكرة — وهذه النافذة محدودة زمنياً. ملاحظة: لا يوجد معيار مقارنة خليجي أو إقليمي منشور في حزمة الأدلة المتاحة يُحدد بدقة موقع المملكة مقارنة بدول بعينها — هذا المعيار هو بالتحديد ما سيُنتجه المخرج D-1. ━━━ المستوى الثاني — مخاطر تشغيلية ومؤسسية ━━━</w:t>
        <w:br/>
        <w:t xml:space="preserve"> استمرار إدارة الشراكة مع اليونسكو بدون أدوات تقييم مُهيكلة يعني أن قرارات تخصيص الموارد بين البرامج المختلفة (EEP، ABC، GEObs، مبادرات بحثية مشتركة) تُتخذ دون قاعدة بيانات أداء موضوعية. [EXTERNAL_BENCHMARK] الأدبيات الدولية في التقييم المؤسسي تُبيّن أن المنظمات التي تفتقر إلى أنظمة تقييم أداء دورية تعاني من انحراف استراتيجي تدريجي حيث تتباعد الأنشطة الفعلية عن الأهداف المُعلنة [EXT-008]. في حالة سدايا، هذا يعني ثلاث نتائج تشغيلية محددة: (أ) قد تُوجّه الاستثمارات إلى برامج منخفضة الأثر الاستراتيجي على حساب برامج ذات عائد أعلى، دون أن تتوفر بيانات لكشف هذا الخلل؛ (ب) غياب آليات تعاون مُقنّنة مع الدول الشريكة يعني أن كل مبادرة مشتركة تتطلب تفاوضاً من الصفر — مما يُبطئ التنفيذ ويزيد تكاليف التنسيق؛ (ج) غياب منظومة متابعة وتقييم يعني عدم القدرة على تقديم بيانات أثر مقنعة لصانعي القرار عند طلب استمرار التمويل أو توسيع نطاق البرامج — وهذا يُهدد استدامة التمويل ذاتها. ━━━ المستوى الثالث — مخاطر القدرات البشرية والاستدامة ━━━</w:t>
        <w:br/>
        <w:t xml:space="preserve"> [EXTERNAL_BENCHMARK] كل شهر يمر دون برنامج نقل معرفة مُهيكل يُعمّق الفجوة بين ما يحتاجه فريق سدايا من كفاءات لإدارة شراكة دولية معقدة وما يمتلكه فعلياً. أبحاث APQC تُظهر أن المعرفة الضمنية (tacit knowledge) — وهي الأهم في إدارة العلاقات الدولية والتفاوض المؤسسي — تتبدد بسرعة مع دوران الموظفين وتغيّر السياقات، وأن تأخير برامج النقل يُنتج فجوة تراكمية لأن المعرفة المفقودة لا يمكن استرجاعها بأثر رجعي [EXT-006]. النتيجة العملية: استمرار الاعتماد على خبرات خارجية في كل دورة عمل — من إعداد التقارير الدورية إلى تصميم المبادرات إلى التنسيق مع الشركاء — مما يرفع التكلفة التشغيلية ويُقيّد سرعة الاستجابة للفرص الدولية المستجدة التي تتطلب تحركاً سريعاً. ━━━ المستوى الرابع — مخاطر المصداقية المؤسسية ━━━</w:t>
        <w:br/>
        <w:t xml:space="preserve"> [INFERENCE — مستنتج من ديناميكيات الحوكمة الدولية] في بيئة دولية تتزايد فيها التوقعات بشأن التزام الدول بمعايير أخلاقيات الذكاء الاصطناعي وشفافية تطبيقها، فإن عدم قدرة المملكة على تقديم تقييم منهجي لبرامجها أو إظهار تقدم ملموس في التعاون الدولي المُهيكل يُنشئ فجوة بين الطموحات المُعلنة والممارسة الفعلية. هذه الفجوة — إن تراكمت عبر دورات تقارير متعددة — تُضعف موقف المملكة كشريك فاعل في المحافل الدولية لحوكمة الذكاء الاصطناعي. والمصداقية المؤسسية الدولية تتطلب مساهمات متسقة ومُوثّقة عبر الزمن. ━━━ الترابط بين المستويات الأربعة ━━━</w:t>
        <w:br/>
        <w:t xml:space="preserve"> هذه المخاطر ليست مستقلة بل متشابكة: ضعف القدرات الداخلية (المستوى 3) يُنتج تقارير أقل جودة (المستوى 2)، والتقارير الأقل جودة تُضعف التموضع الدولي (المستوى 1)، وضعف التموضع يُقلّص فرص التعاون، وقلة فرص التعاون تُبطئ بناء القدرات — دورة تتطلب تدخلاً مُهيكلاً يعالج الأسباب الجذرية الستة بشكل متكامل. تكلفة عدم التحرك ليست مجرد فرصة ضائعة بل تراجع تدريجي في أربعة محاور: التموضع الدولي، والكفاءة التشغيلية، والقدرات البشرية، والمصداقية المؤسسية.</w:t>
      </w:r>
    </w:p>
    <w:p>
      <w:pPr>
        <w:pStyle w:val="Heading1"/>
      </w:pPr>
      <w:r>
        <w:t>3. Why Strategic Gears</w:t>
      </w:r>
    </w:p>
    <w:p>
      <w:pPr>
        <w:pStyle w:val="Heading2"/>
      </w:pPr>
      <w:r>
        <w:t>3.1 Capability-to-RFP Mapping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RFP Requirement</w:t>
            </w:r>
          </w:p>
        </w:tc>
        <w:tc>
          <w:tcPr>
            <w:tcW w:type="dxa" w:w="2160"/>
          </w:tcPr>
          <w:p>
            <w:r>
              <w:t>SG Capability</w:t>
            </w:r>
          </w:p>
        </w:tc>
        <w:tc>
          <w:tcPr>
            <w:tcW w:type="dxa" w:w="2160"/>
          </w:tcPr>
          <w:p>
            <w:r>
              <w:t>Evidence</w:t>
            </w:r>
          </w:p>
        </w:tc>
        <w:tc>
          <w:tcPr>
            <w:tcW w:type="dxa" w:w="2160"/>
          </w:tcPr>
          <w:p>
            <w:r>
              <w:t>Strength</w:t>
            </w:r>
          </w:p>
        </w:tc>
      </w:tr>
      <w:tr>
        <w:tc>
          <w:tcPr>
            <w:tcW w:type="dxa" w:w="2160"/>
          </w:tcPr>
          <w:p>
            <w:r>
              <w:t>HR-L1-020: تقييم الوضع الراهن لبرامج اليونسكو في أخلاقيات الذكاء الاصطناعي وبرامج البحث الدولية — يشمل تحليل الأداء، تقييم النضج، تحديد الفجوات، التوصيات، خارطة الطريق، ومؤشرات الرصد والتقييم</w:t>
            </w:r>
          </w:p>
        </w:tc>
        <w:tc>
          <w:tcPr>
            <w:tcW w:type="dxa" w:w="2160"/>
          </w:tcPr>
          <w:p>
            <w:r>
              <w:t>منهجية تقييم مؤسسي متعددة الأبعاد تدمج ثلاثة أطر دولية مُتكاملة لإنتاج تقييم شامل ومُهيكل:</w:t>
              <w:br/>
              <w:br/>
              <w:t>[دعم منهجي — مراجع دولية]:</w:t>
              <w:br/>
              <w:t>(1) مؤشرات التقارير الدورية لليونسكو [EXT-003] تُشكّل هيكل التقييم الأساسي — المخرجات تتوافق مباشرة مع دورات التقارير المؤسسية لليونسكو، مما يُقلل عبء التقارير المستقبلي على سدايا ويُعزز مصداقية التقييم أمام الشركاء الدوليين.</w:t>
              <w:br/>
              <w:t>(2) نموذج الجاهزية للذكاء الاصطناعي المبني على إطار TOE ذي الأبعاد الثمانية [EXT-007] يُغطي الأبعاد التقنية (البنية التحتية، البيانات، الخوارزميات) والتنظيمية (الحوكمة، الموارد البشرية، العمليات) والبيئية (التنظيمات، الشراكات، السياق الثقافي) — يضمن شمولية التقييم عبر جميع الأبعاد الحرجة.</w:t>
              <w:br/>
              <w:t>(3) منهجية تقييم القدرات المؤسسية الهرمية لمنظمة الصحة العالمية [EXT-008] (الوظائف ← الأدوار ← متطلبات القدرات) تُنتج خريطة فجوات مُرتبة حسب الأولوية مع مسارات تدخل واضحة — منهجية مُطبقة في تقييم المؤسسات الحكومية عبر أكثر من 50 دولة.</w:t>
              <w:br/>
              <w:br/>
              <w:t>المخرج التصميمي: بطاقة أداء نضج كمية، خريطة فجوات مُصنفة حسب الأولوية والأثر، مصفوفة أولويات تدخل، خارطة طريق تنفيذية بمراحل زمنية ومسؤوليات محددة، ومؤشرات رصد وتقييم مبنية على نظرية التغيير.</w:t>
              <w:br/>
              <w:br/>
              <w:t>[إثبات داخلي مطلوب — INTERNAL_PROOF_PLACEHOLDER]:</w:t>
              <w:br/>
              <w:t>مشروع PRJ-001 مع سدايا واليونسكو تضمّن إعداد تقييم معياري لأداء برامج بحثية في أبحاث وأخلاقيات الذكاء الاصطناعي. المنهجية المحددة المستخدمة، والنتائج الكمية، وعدد البرامج المُقيّمة تتطلب استكمالاً من سجلات المشروع الداخلية. يجب أيضاً استرجاع 2-3 مشاريع تقييم مؤسسي إضافية من قاعدة بيانات المشاريع.</w:t>
            </w:r>
          </w:p>
        </w:tc>
        <w:tc>
          <w:tcPr>
            <w:tcW w:type="dxa" w:w="2160"/>
          </w:tcPr>
          <w:p>
            <w:r>
              <w:t>EXT-003, EXT-007, EXT-008, PRJ-001</w:t>
            </w:r>
          </w:p>
        </w:tc>
        <w:tc>
          <w:tcPr>
            <w:tcW w:type="dxa" w:w="2160"/>
          </w:tcPr>
          <w:p>
            <w:r>
              <w:t>moderate</w:t>
            </w:r>
          </w:p>
        </w:tc>
      </w:tr>
      <w:tr>
        <w:tc>
          <w:tcPr>
            <w:tcW w:type="dxa" w:w="2160"/>
          </w:tcPr>
          <w:p>
            <w:r>
              <w:t>HR-L1-021: تطوير برامج اليونسكو في أبحاث وأخلاقيات الذكاء الاصطناعي — يشمل المبادرات، أطر العمل، النطاق، المخرجات، آليات التعاون مع الدول، والربط بأهداف التنمية المستدامة</w:t>
            </w:r>
          </w:p>
        </w:tc>
        <w:tc>
          <w:tcPr>
            <w:tcW w:type="dxa" w:w="2160"/>
          </w:tcPr>
          <w:p>
            <w:r>
              <w:t>تصميم برامج تعاون دولي قابلة للتنفيذ عبر أربع ركائز منهجية مُتكاملة:</w:t>
              <w:br/>
              <w:br/>
              <w:t>[دعم منهجي — مراجع دولية]:</w:t>
              <w:br/>
              <w:t>(أ) منطق الأولوية المبني على القدرات وفق إطار البنك الدولي CISF [EXT-004] — يُرتب المبادرات المقترحة حسب جاهزية المؤسسة وأثرها المتوقع. هذا يضمن أن التوصيات واقعية وقابلة للتنفيذ ضمن القدرات الحالية لسدايا مع مسار تصاعدي واضح. الإطار يُحدد لكل مبادرة: المتطلبات المسبقة، الموارد اللازمة، والأثر المتوقع.</w:t>
              <w:br/>
              <w:t>(ب) نماذج برامج اليونسكو المُثبتة (EEP/ABC) [EXT-002] كقوالب تصميم — تضمن التوافق مع البنية البرامجية لليونسكو وتُسهّل اعتماد المبادرات المقترحة من الجانب الأممي.</w:t>
              <w:br/>
              <w:t>(ج) منهجية ربط الميزانيات بأهداف التنمية المستدامة B4SDGs [EXT-013] — تضمن أن كل مبادرة تحمل ربطاً صريحاً وقابلاً للقياس بأهداف التنمية المستدامة ذات الصلة.</w:t>
              <w:br/>
              <w:t>(د) كل مبادرة تتضمن نظرية تغيير واضحة [EXT-012] تربط المدخلات بالأنشطة بالمخرجات بالأثر، مع نطاق عمل محدد وآليات تعاون مع الدول الشريكة.</w:t>
              <w:br/>
              <w:br/>
              <w:t>[إثبات داخلي مطلوب — INTERNAL_PROOF_PLACEHOLDER]:</w:t>
              <w:br/>
              <w:t>مشروع PRJ-001 تضمّن وضع أطر عمل ومبادرات بحثية وآليات تعاون دولي. تفاصيل آليات التعاون المحددة المُصممة، وعدد الدول المشمولة، ونتائج التطبيق تتطلب توثيقاً من سجلات المشروع. يجب استرجاع مشاريع إضافية تُثبت خبرة في تصميم برامج تعاون دولي.</w:t>
            </w:r>
          </w:p>
        </w:tc>
        <w:tc>
          <w:tcPr>
            <w:tcW w:type="dxa" w:w="2160"/>
          </w:tcPr>
          <w:p>
            <w:r>
              <w:t>EXT-004, EXT-002, EXT-013, EXT-012, PRJ-001</w:t>
            </w:r>
          </w:p>
        </w:tc>
        <w:tc>
          <w:tcPr>
            <w:tcW w:type="dxa" w:w="2160"/>
          </w:tcPr>
          <w:p>
            <w:r>
              <w:t>moderate</w:t>
            </w:r>
          </w:p>
        </w:tc>
      </w:tr>
      <w:tr>
        <w:tc>
          <w:tcPr>
            <w:tcW w:type="dxa" w:w="2160"/>
          </w:tcPr>
          <w:p>
            <w:r>
              <w:t>HR-L1-022: التدريب ونقل المعرفة لفريق الجهة الحكومية — يشمل التدريب أثناء العمل، العمل جنباً إلى جنب، وورش العمل</w:t>
            </w:r>
          </w:p>
        </w:tc>
        <w:tc>
          <w:tcPr>
            <w:tcW w:type="dxa" w:w="2160"/>
          </w:tcPr>
          <w:p>
            <w:r>
              <w:t>برنامج بناء قدرات ثنائي المسار يستهدف إنتاج فريق سدايا مستقل قادر على إدارة دورة التقييم والتطوير التالية:</w:t>
              <w:br/>
              <w:br/>
              <w:t>[دعم منهجي — مراجع دولية]:</w:t>
              <w:br/>
              <w:t>المسار الأول — تطوير الموارد البشرية: إطار APQC رباعي الخطوات (تخطيط ← تصميم ← تنفيذ ← قياس) [EXT-006] يُهيكل عملية نقل المعرفة بمراحل واضحة ومعايير انتقال بين كل مرحلة. قياس فعالية التدريب يعتمد على التقييم القائم على الكفاءات قبل وبعد التدريب [EXT-009] — نهج مُثبت في برامج التدريب الحكومي الدولي يُنتج بيانات كمية عن مستوى الاستقلالية المُحقق.</w:t>
              <w:br/>
              <w:t>المسار الثاني — تعزيز مؤسسي: تأسيس فريق مُقيّمين داخلي وفق نموذج فريق التقييم الداخلي [EXT-014] يضمن استمرارية القدرة المؤسسية بعد انتهاء المشروع. منصة ترجمة معرفية [EXT-015] تُنظم تدفق المعرفة وتُحوّلها إلى أصول معرفية مؤسسية دائمة.</w:t>
              <w:br/>
              <w:br/>
              <w:t>الآليات الثلاث المطلوبة في نطاق العمل مُغطاة تحديداً: (1) ورش عمل تخصصية بمخرجات تعلم قابلة للقياس؛ (2) عمل جنباً إلى جنب على مهام حقيقية من المشروع؛ (3) تدريب أثناء العمل على أدوات التقييم والتصميم المستخدمة فعلياً.</w:t>
              <w:br/>
              <w:br/>
              <w:t>[إثبات داخلي مطلوب — INTERNAL_PROOF_PLACEHOLDER]:</w:t>
              <w:br/>
              <w:t>يجب استرجاع 2-3 مشاريع سابقة تضمنت مكون بناء قدرات ونقل معرفة للقطاع الحكومي السعودي، مع بيانات كمية عن النتائج.</w:t>
            </w:r>
          </w:p>
        </w:tc>
        <w:tc>
          <w:tcPr>
            <w:tcW w:type="dxa" w:w="2160"/>
          </w:tcPr>
          <w:p>
            <w:r>
              <w:t>EXT-006, EXT-009, EXT-014, EXT-015</w:t>
            </w:r>
          </w:p>
        </w:tc>
        <w:tc>
          <w:tcPr>
            <w:tcW w:type="dxa" w:w="2160"/>
          </w:tcPr>
          <w:p>
            <w:r>
              <w:t>moderate</w:t>
            </w:r>
          </w:p>
        </w:tc>
      </w:tr>
      <w:tr>
        <w:tc>
          <w:tcPr>
            <w:tcW w:type="dxa" w:w="2160"/>
          </w:tcPr>
          <w:p>
            <w:r>
              <w:t>المقارنة المعيارية الدولية وآليات التعاون مع مختلف الدول في مجال أبحاث وأخلاقيات الذكاء الاصطناعي</w:t>
            </w:r>
          </w:p>
        </w:tc>
        <w:tc>
          <w:tcPr>
            <w:tcW w:type="dxa" w:w="2160"/>
          </w:tcPr>
          <w:p>
            <w:r>
              <w:t>منهجية مقارنة معيارية دولية من أربع مراحل مُصممة لإنتاج تحليل مقارن قابل للتطبيق في السياق السعودي:</w:t>
              <w:br/>
              <w:br/>
              <w:t>[دعم منهجي — مراجع دولية]:</w:t>
              <w:br/>
              <w:t>(1) تحديد 5-8 دول مقارنة بناءً على معايير اختيار مُحددة: مستوى نضج برامج أخلاقيات الذكاء الاصطناعي، حجم التعاون مع اليونسكو، التنوع الجغرافي والاقتصادي.</w:t>
              <w:br/>
              <w:t>(2) جمع بيانات أولية وثانوية باستخدام إطار دورات التقارير الدورية لليونسكو [EXT-003] كأداة توحيد — يضمن قابلية المقارنة بين الدول ويُنتج بيانات متوافقة مع نظام التقارير المؤسسي لليونسكو.</w:t>
              <w:br/>
              <w:t>(3) تحليل مقارن متعدد الأبعاد وفق منهجية التقييم المؤسسي عبر الدول لمنظمة الصحة العالمية [EXT-008] — منهجية مُثبتة في المقارنة المعيارية عبر سياقات مؤسسية وثقافية متنوعة.</w:t>
              <w:br/>
              <w:t>(4) استخلاص أفضل الممارسات القابلة للتطبيق مع تصميم آليات تعاون مُخصصة لكل مجموعة دول، مدعومة بنموذج منصات ترجمة المعرفة الدولية [EXT-010].</w:t>
              <w:br/>
              <w:br/>
              <w:t>تبعية حرجة: نجاح المقارنة المعيارية يعتمد على تسهيل سدايا للوصول إلى أصحاب المصلحة في اليونسكو والدول الشريكة. خطة الطوارئ: في حال تأخر الوصول، يبدأ التقييم بالبيانات الثانوية المتاحة (تقارير اليونسكو الدورية، قواعد بيانات OECD، المنشورات الأكاديمية) مع استكمال البيانات الأولية لاحقاً.</w:t>
              <w:br/>
              <w:br/>
              <w:t>[إثبات داخلي مطلوب — INTERNAL_PROOF_PLACEHOLDER]:</w:t>
              <w:br/>
              <w:t>يجب استرجاع مشاريع سابقة تضمنت مقارنة معيارية دولية أو تحليل عبر دول متعددة.</w:t>
            </w:r>
          </w:p>
        </w:tc>
        <w:tc>
          <w:tcPr>
            <w:tcW w:type="dxa" w:w="2160"/>
          </w:tcPr>
          <w:p>
            <w:r>
              <w:t>EXT-003, EXT-008, EXT-010</w:t>
            </w:r>
          </w:p>
        </w:tc>
        <w:tc>
          <w:tcPr>
            <w:tcW w:type="dxa" w:w="2160"/>
          </w:tcPr>
          <w:p>
            <w:r>
              <w:t>moderate</w:t>
            </w:r>
          </w:p>
        </w:tc>
      </w:tr>
      <w:tr>
        <w:tc>
          <w:tcPr>
            <w:tcW w:type="dxa" w:w="2160"/>
          </w:tcPr>
          <w:p>
            <w:r>
              <w:t>تصميم مؤشرات رصد وتقييم (M&amp;E) لبرامج أبحاث وأخلاقيات الذكاء الاصطناعي</w:t>
            </w:r>
          </w:p>
        </w:tc>
        <w:tc>
          <w:tcPr>
            <w:tcW w:type="dxa" w:w="2160"/>
          </w:tcPr>
          <w:p>
            <w:r>
              <w:t>إطار رصد وتقييم مبني على نظرية التغيير يتجاوز لوحات المؤشرات العامة إلى منطق سببي مُتكامل:</w:t>
              <w:br/>
              <w:br/>
              <w:t>[دعم منهجي — مراجع دولية]:</w:t>
              <w:br/>
              <w:t>nظرية التغيير [EXT-012] تربط المدخلات بالأنشطة بالمخرجات بالأثر عبر سلسلة سببية واضحة — تُمكّن سدايا من تتبع ليس فقط ما تم إنجازه بل لماذا أنتج الأثر المطلوب. الإطار يلتقط نوعين من المساهمات: (أ) المساهمات العملية (بناء القدرات، بناء العلاقات، تطوير الأطر) و(ب) المخرجات المعرفية (أبحاث، منشورات، أدوات تقييم).</w:t>
              <w:br/>
              <w:t>التكامل مع مؤشرات التقارير الدورية لليونسكو [EXT-003] يضمن أن مؤشرات الرصد والتقييم المُصممة تتوافق مع متطلبات التقارير المؤسسية لليونسكو — مؤشرات واحدة تخدم الرصد الداخلي والتقارير الدولية.</w:t>
              <w:br/>
              <w:t>نموذج معايير الخدمات الرقمية [EXT-011] يُضيف بُعد إدارة الابتكار وقياس التحول الرقمي في برامج أخلاقيات الذكاء الاصطناعي.</w:t>
              <w:br/>
              <w:br/>
              <w:t>[إثبات داخلي مطلوب — INTERNAL_PROOF_PLACEHOLDER]:</w:t>
              <w:br/>
              <w:t>يجب استرجاع مشاريع سابقة تضمنت تصميم أنظمة رصد وتقييم لبرامج حكومية، مع أمثلة على المؤشرات المُصممة ونتائج تطبيقها.</w:t>
            </w:r>
          </w:p>
        </w:tc>
        <w:tc>
          <w:tcPr>
            <w:tcW w:type="dxa" w:w="2160"/>
          </w:tcPr>
          <w:p>
            <w:r>
              <w:t>EXT-012, EXT-003, EXT-011</w:t>
            </w:r>
          </w:p>
        </w:tc>
        <w:tc>
          <w:tcPr>
            <w:tcW w:type="dxa" w:w="2160"/>
          </w:tcPr>
          <w:p>
            <w:r>
              <w:t>moderate</w:t>
            </w:r>
          </w:p>
        </w:tc>
      </w:tr>
      <w:tr>
        <w:tc>
          <w:tcPr>
            <w:tcW w:type="dxa" w:w="2160"/>
          </w:tcPr>
          <w:p>
            <w:r>
              <w:t>فهم الأدوات المعيارية لليونسكو في أخلاقيات الذكاء الاصطناعي (توصية 2021، منهجية تقييم الجاهزية RAM، الإطار المؤسسي RS|SR، برامج EEP/ABC، مرصد GEObs)</w:t>
            </w:r>
          </w:p>
        </w:tc>
        <w:tc>
          <w:tcPr>
            <w:tcW w:type="dxa" w:w="2160"/>
          </w:tcPr>
          <w:p>
            <w:r>
              <w:t>المنهجية المقترحة مُرسّخة في الأدوات المعيارية لليونسكو وتستخدمها كأدوات عمل مُدمجة في كل مرحلة:</w:t>
              <w:br/>
              <w:br/>
              <w:t>[دعم منهجي — مراجع دولية]:</w:t>
              <w:br/>
              <w:t>توصية أخلاقيات الذكاء الاصطناعي (2021) وآليات تنفيذها مُوثقة في [EXT-002] وتُشكل الإطار المرجعي الأساسي للتقييم. دورات التقارير الدورية ومؤشراتها [EXT-003] تُوفر هيكل القياس. الأطر المؤسسية المرتبطة [EXT-005] تُكمل الصورة المؤسسية. المنهجية تستخدم هذه الأدوات في كل مرحلة من مراحل التقييم والتصميم — وليس كمراجع نظرية.</w:t>
              <w:br/>
              <w:br/>
              <w:t>[إثبات داخلي مطلوب — INTERNAL_PROOF_PLACEHOLDER — فجوة حرجة]:</w:t>
              <w:br/>
              <w:t>مشروع PRJ-001 مع سدايا واليونسكو يُشير إلى تعامل سابق مع البنية المؤسسية لليونسكو في مجال أخلاقيات الذكاء الاصطناعي. لا يتوفر دليل موثق على استخدام منهجية RAM تحديداً أو التعامل المباشر مع أدوات RS|SR وGEObs. يجب: (أ) التحقق من سجلات PRJ-001 لتحديد الأدوات المعيارية المحددة التي استُخدمت فعلياً؛ (ب) النظر في شراكة مع خبير لديه خبرة مباشرة في تطبيق RAM.</w:t>
            </w:r>
          </w:p>
        </w:tc>
        <w:tc>
          <w:tcPr>
            <w:tcW w:type="dxa" w:w="2160"/>
          </w:tcPr>
          <w:p>
            <w:r>
              <w:t>EXT-002, EXT-003, EXT-005, PRJ-001</w:t>
            </w:r>
          </w:p>
        </w:tc>
        <w:tc>
          <w:tcPr>
            <w:tcW w:type="dxa" w:w="2160"/>
          </w:tcPr>
          <w:p>
            <w:r>
              <w:t>moderate</w:t>
            </w:r>
          </w:p>
        </w:tc>
      </w:tr>
      <w:tr>
        <w:tc>
          <w:tcPr>
            <w:tcW w:type="dxa" w:w="2160"/>
          </w:tcPr>
          <w:p>
            <w:r>
              <w:t>CR-1: تقديم العرض باللغة العربية كلغة أساسية مع سيادة النص العربي في حال التعارض — وإنتاج جميع المخرجات باللغة العربية</w:t>
            </w:r>
          </w:p>
        </w:tc>
        <w:tc>
          <w:tcPr>
            <w:tcW w:type="dxa" w:w="2160"/>
          </w:tcPr>
          <w:p>
            <w:r>
              <w:t>ستراتيجك قيرز شركة استشارية سعودية المقر والتشغيل. جميع المخرجات — التقارير، أدوات التقييم، أطر العمل، المواد التدريبية — تُنتج باللغة العربية أصالةً. هذا يُحقق ميزتين عمليتين: (أ) دقة المصطلحات التقنية في مجال أخلاقيات الذكاء الاصطناعي باللغة العربية — مجال ناشئ تفتقر فيه الترجمة من الإنجليزية إلى الدقة المطلوبة؛ (ب) ملاءمة السياق الثقافي والمؤسسي السعودي في صياغة التوصيات — المخرجات المُنتجة أصالةً بالعربية أكثر قابلية للاستخدام المباشر من قبل فرق سدايا.</w:t>
              <w:br/>
              <w:br/>
              <w:t>[إثبات داخلي مطلوب — INTERNAL_PROOF_PLACEHOLDER]:</w:t>
              <w:br/>
              <w:t>يجب تقديم 2-3 نماذج من مخرجات مشاريع سابقة باللغة العربية (تقارير تقييم، أطر عمل، مواد تدريبية) كدليل عملي على جودة الإنتاج العربي. المصدر: أرشيف المشاريع الداخلي.</w:t>
            </w:r>
          </w:p>
        </w:tc>
        <w:tc>
          <w:tcPr>
            <w:tcW w:type="dxa" w:w="2160"/>
          </w:tcPr>
          <w:p>
            <w:r>
              <w:t>PRJ-001</w:t>
            </w:r>
          </w:p>
        </w:tc>
        <w:tc>
          <w:tcPr>
            <w:tcW w:type="dxa" w:w="2160"/>
          </w:tcPr>
          <w:p>
            <w:r>
              <w:t>moderate</w:t>
            </w:r>
          </w:p>
        </w:tc>
      </w:tr>
      <w:tr>
        <w:tc>
          <w:tcPr>
            <w:tcW w:type="dxa" w:w="2160"/>
          </w:tcPr>
          <w:p>
            <w:r>
              <w:t>الامتثال لمتطلبات المشتريات الحكومية السعودية (السجل التجاري، الزكاة، الغرفة التجارية، السعودة، ضمان بنكي، إقرارات تضارب المصالح والسلوك المهني والسرية)</w:t>
            </w:r>
          </w:p>
        </w:tc>
        <w:tc>
          <w:tcPr>
            <w:tcW w:type="dxa" w:w="2160"/>
          </w:tcPr>
          <w:p>
            <w:r>
              <w:t>ستراتيجك قيرز شركة مسجلة في المملكة العربية السعودية وتخضع لنظام المنافسات والمشتريات الحكومية.</w:t>
              <w:br/>
              <w:br/>
              <w:t>[إثبات داخلي مطلوب — INTERNAL_PROOF_PLACEHOLDER — فجوة حرجة تمنع التقديم]:</w:t>
              <w:br/>
              <w:t>يجب على الإدارة القانونية والمالية التحقق من صلاحية وتجهيز جميع الوثائق التالية قبل الموعد النهائي للتقديم:</w:t>
              <w:br/>
              <w:t>• السجل التجاري الساري (CR-2 / HR-L1-002)</w:t>
              <w:br/>
              <w:t>• شهادة الزكاة السارية (CR-3 / HR-L1-003)</w:t>
              <w:br/>
              <w:t>• عضوية الغرفة التجارية السارية (CR-4 / HR-L1-004)</w:t>
              <w:br/>
              <w:t>• شهادة السعودة السارية (CR-5 / HR-L1-005)</w:t>
              <w:br/>
              <w:t>• الضمان البنكي الابتدائي بنسبة 1% من قيمة العرض (HR-L1-016)</w:t>
              <w:br/>
              <w:t>• إقرار تضارب المصالح (CR-6 / HR-L1-006)</w:t>
              <w:br/>
              <w:t>• إقرار السلوك المهني والأخلاقيات (CR-7 / HR-L1-007)</w:t>
              <w:br/>
              <w:t>• إقرار السرية وعدم الإفصاح (CR-8 / HR-L1-008)</w:t>
              <w:br/>
              <w:br/>
              <w:t>عدم استكمال أي من هذه الوثائق يعني الاستبعاد الفوري من المنافسة.</w:t>
            </w:r>
          </w:p>
        </w:tc>
        <w:tc>
          <w:tcPr>
            <w:tcW w:type="dxa" w:w="2160"/>
          </w:tcPr>
          <w:p>
            <w:r>
              <w:t>—</w:t>
            </w:r>
          </w:p>
        </w:tc>
        <w:tc>
          <w:tcPr>
            <w:tcW w:type="dxa" w:w="2160"/>
          </w:tcPr>
          <w:p>
            <w:r>
              <w:t>gap</w:t>
            </w:r>
          </w:p>
        </w:tc>
      </w:tr>
      <w:tr>
        <w:tc>
          <w:tcPr>
            <w:tcW w:type="dxa" w:w="2160"/>
          </w:tcPr>
          <w:p>
            <w:r>
              <w:t>التعبئة السريعة والقدرة على بدء التنفيذ خلال فترة زمنية مضغوطة بعد الترسية</w:t>
            </w:r>
          </w:p>
        </w:tc>
        <w:tc>
          <w:tcPr>
            <w:tcW w:type="dxa" w:w="2160"/>
          </w:tcPr>
          <w:p>
            <w:r>
              <w:t>كشركة مقرها المملكة العربية السعودية، لا تحتاج ستراتيجك قيرز إلى إجراءات تأشيرات أو نقل فرق من الخارج أو إنشاء عمليات محلية — وهي تحديات واقعية تواجه المنافسين الدوليين في الجدول الزمني المضغوط لهذا المشروع.</w:t>
              <w:br/>
              <w:br/>
              <w:t>[إثبات داخلي مطلوب — INTERNAL_PROOF_PLACEHOLDER]:</w:t>
              <w:br/>
              <w:t>هذا الادعاء هيكلي ويفتقر إلى دليل داخلي موثق. يجب تقديم: (أ) أمثلة على مشاريع سابقة تمت تعبئتها خلال أسبوعين أو أقل من الترسية، مع بيان حجم الفريق والنطاق؛ (ب) بيان بالموارد المتاحة حالياً للتعبئة الفورية. المصدر: سجلات المشاريع وإدارة الموارد البشرية.</w:t>
            </w:r>
          </w:p>
        </w:tc>
        <w:tc>
          <w:tcPr>
            <w:tcW w:type="dxa" w:w="2160"/>
          </w:tcPr>
          <w:p>
            <w:r>
              <w:t>—</w:t>
            </w:r>
          </w:p>
        </w:tc>
        <w:tc>
          <w:tcPr>
            <w:tcW w:type="dxa" w:w="2160"/>
          </w:tcPr>
          <w:p>
            <w:r>
              <w:t>weak</w:t>
            </w:r>
          </w:p>
        </w:tc>
      </w:tr>
    </w:tbl>
    <w:p>
      <w:pPr>
        <w:pStyle w:val="Heading2"/>
      </w:pPr>
      <w:r>
        <w:t>3.2 Proposed Team &amp; Staffing Recommendations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Name</w:t>
            </w:r>
          </w:p>
        </w:tc>
        <w:tc>
          <w:tcPr>
            <w:tcW w:type="dxa" w:w="1440"/>
          </w:tcPr>
          <w:p>
            <w:r>
              <w:t>Role</w:t>
            </w:r>
          </w:p>
        </w:tc>
        <w:tc>
          <w:tcPr>
            <w:tcW w:type="dxa" w:w="1440"/>
          </w:tcPr>
          <w:p>
            <w:r>
              <w:t>Status</w:t>
            </w:r>
          </w:p>
        </w:tc>
        <w:tc>
          <w:tcPr>
            <w:tcW w:type="dxa" w:w="1440"/>
          </w:tcPr>
          <w:p>
            <w:r>
              <w:t>Relevance / Justification</w:t>
            </w:r>
          </w:p>
        </w:tc>
        <w:tc>
          <w:tcPr>
            <w:tcW w:type="dxa" w:w="1440"/>
          </w:tcPr>
          <w:p>
            <w:r>
              <w:t>Source</w:t>
            </w:r>
          </w:p>
        </w:tc>
        <w:tc>
          <w:tcPr>
            <w:tcW w:type="dxa" w:w="1440"/>
          </w:tcPr>
          <w:p>
            <w:r>
              <w:t>Confidence</w:t>
            </w:r>
          </w:p>
        </w:tc>
      </w:tr>
      <w:tr>
        <w:tc>
          <w:tcPr>
            <w:tcW w:type="dxa" w:w="1440"/>
          </w:tcPr>
          <w:p>
            <w:r>
              <w:t>(Open)</w:t>
            </w:r>
          </w:p>
        </w:tc>
        <w:tc>
          <w:tcPr>
            <w:tcW w:type="dxa" w:w="1440"/>
          </w:tcPr>
          <w:p>
            <w:r>
              <w:t>مدير المشروع / الشريك المسؤول</w:t>
            </w:r>
          </w:p>
        </w:tc>
        <w:tc>
          <w:tcPr>
            <w:tcW w:type="dxa" w:w="1440"/>
          </w:tcPr>
          <w:p>
            <w:r>
              <w:t>Open Role Profile</w:t>
            </w:r>
          </w:p>
        </w:tc>
        <w:tc>
          <w:tcPr>
            <w:tcW w:type="dxa" w:w="1440"/>
          </w:tcPr>
          <w:p>
            <w:r>
              <w:t>يقود الإدارة الشاملة للمشروع ويمثل ستراتيجك قيرز أمام سدايا واليونسكو. يُنسق بين مسارات العمل الثلاثة (التقييم — D-1، تطوير البرامج — D-2، نقل المعرفة — D-3) ويُدير العلاقة مع أصحاب المصلحة المتعددين. يتطلب قائداً يجمع بين الخبرة في إدارة المشاريع الاستشارية الحكومية السعودية والقدرة على التعامل مع الجهات الدولية — مزيج يُحدد جودة التنسيق بين السياق المحلي والمتطلبات الدولية.</w:t>
              <w:br/>
              <w:t>المشروع يتطلب قائداً يستطيع التنقل بين السياق المؤسسي السعودي والبيئة الدولية لليونسكو. يجب أن يمتلك سجلاً موثقاً في إدارة 3+ مشاريع استشارية حكومية بقيمة مماثلة أو أعلى، مع خبرة في التعامل مع منظمات دولية. مسار التوظيف: البحث في قاعدة بيانات المستشارين الداخليين عن ملفات تتضمن خبرة سابقة مع سدايا أو جهات حكومية سعودية مماثلة. الموعد النهائي للتعيين: قبل التقديم بـ 10 أيام. خيار بديل: شريك أول في الشركة لديه سجل حكومي موثق.</w:t>
            </w:r>
          </w:p>
        </w:tc>
        <w:tc>
          <w:tcPr>
            <w:tcW w:type="dxa" w:w="1440"/>
          </w:tcPr>
          <w:p>
            <w:r>
              <w:t>open_role_requirement</w:t>
            </w:r>
          </w:p>
        </w:tc>
        <w:tc>
          <w:tcPr>
            <w:tcW w:type="dxa" w:w="1440"/>
          </w:tcPr>
          <w:p>
            <w:r>
              <w:t>low</w:t>
            </w:r>
          </w:p>
        </w:tc>
      </w:tr>
      <w:tr>
        <w:tc>
          <w:tcPr>
            <w:tcW w:type="dxa" w:w="1440"/>
          </w:tcPr>
          <w:p>
            <w:r>
              <w:t>(Open)</w:t>
            </w:r>
          </w:p>
        </w:tc>
        <w:tc>
          <w:tcPr>
            <w:tcW w:type="dxa" w:w="1440"/>
          </w:tcPr>
          <w:p>
            <w:r>
              <w:t>خبير أول في أخلاقيات الذكاء الاصطناعي والحوكمة التقنية</w:t>
            </w:r>
          </w:p>
        </w:tc>
        <w:tc>
          <w:tcPr>
            <w:tcW w:type="dxa" w:w="1440"/>
          </w:tcPr>
          <w:p>
            <w:r>
              <w:t>Open Role Profile</w:t>
            </w:r>
          </w:p>
        </w:tc>
        <w:tc>
          <w:tcPr>
            <w:tcW w:type="dxa" w:w="1440"/>
          </w:tcPr>
          <w:p>
            <w:r>
              <w:t>يقود الجانب التقني والموضوعي للمشروع بالكامل: تقييم نضج برامج اليونسكو في أخلاقيات الذكاء الاصطناعي (D-1)، تصميم المبادرات البحثية الجديدة (D-2)، وضمان أن جميع المخرجات تتحدث بلغة اليونسكو المؤسسية. المُقيّمون سيبحثون عن دليل على أن الفريق يفهم توصية اليونسكو بشأن أخلاقيات الذكاء الاصطناعي (2021) ومنهجية تقييم الجاهزية (RAM) والمشهد العالمي لحوكمة الذكاء الاصطناعي من منظور عملي.</w:t>
              <w:br/>
              <w:t>هذا الدور هو الأكثر حساسية تنافسياً في العرض. لا يتوفر في قاعدة بيانات الموارد البشرية الحالية خبير مطابق. الخيارات مُرتبة حسب الأفضلية التنافسية:</w:t>
              <w:br/>
              <w:t>(أ) إلزامي: منشورات محكّمة في أخلاقيات الذكاء الاصطناعي (3+)، خبرة 10+ سنوات في حوكمة التقنية.</w:t>
              <w:br/>
              <w:t>(ب) مرغوب بشدة: خبرة مباشرة في تطبيق RAM أو المشاركة في تطوير توصية اليونسكو 2021.</w:t>
              <w:br/>
              <w:t>(ج) الحد الأدنى المقبول إذا تعذر (أ) و(ب): أكاديمي في سياسات الذكاء الاصطناعي مع 5+ منشورات وخبرة استشارية حكومية.</w:t>
              <w:br/>
              <w:t>مسارات التوظيف: (1) شراكة مع أكاديمي سعودي أو إقليمي — الخيار الأقوى تنافسياً لأنه يجمع المصداقية الأكاديمية والقرب الثقافي؛ (2) مؤسسة بحثية لها مساهمات في تطبيق توصية اليونسكو 2021؛ (3) خبير دولي مستقل لديه خبرة مباشرة مع اليونسكو.</w:t>
              <w:br/>
              <w:t>الموعد النهائي للتعيين: قبل التقديم بـ 10 أيام.</w:t>
            </w:r>
          </w:p>
        </w:tc>
        <w:tc>
          <w:tcPr>
            <w:tcW w:type="dxa" w:w="1440"/>
          </w:tcPr>
          <w:p>
            <w:r>
              <w:t>open_role_requirement</w:t>
            </w:r>
          </w:p>
        </w:tc>
        <w:tc>
          <w:tcPr>
            <w:tcW w:type="dxa" w:w="1440"/>
          </w:tcPr>
          <w:p>
            <w:r>
              <w:t>low</w:t>
            </w:r>
          </w:p>
        </w:tc>
      </w:tr>
      <w:tr>
        <w:tc>
          <w:tcPr>
            <w:tcW w:type="dxa" w:w="1440"/>
          </w:tcPr>
          <w:p>
            <w:r>
              <w:t>(Open)</w:t>
            </w:r>
          </w:p>
        </w:tc>
        <w:tc>
          <w:tcPr>
            <w:tcW w:type="dxa" w:w="1440"/>
          </w:tcPr>
          <w:p>
            <w:r>
              <w:t>مستشار أول في التقييم المؤسسي وتصميم البرامج</w:t>
            </w:r>
          </w:p>
        </w:tc>
        <w:tc>
          <w:tcPr>
            <w:tcW w:type="dxa" w:w="1440"/>
          </w:tcPr>
          <w:p>
            <w:r>
              <w:t>Open Role Profile</w:t>
            </w:r>
          </w:p>
        </w:tc>
        <w:tc>
          <w:tcPr>
            <w:tcW w:type="dxa" w:w="1440"/>
          </w:tcPr>
          <w:p>
            <w:r>
              <w:t>يقود تصميم وتنفيذ إطار التقييم المؤسسي متعدد الأبعاد (D-1) ويُشرف على تطوير أطر التعاون الدولي والمبادرات البحثية (D-2). يربط بين المنهجية الاستشارية والمحتوى الموضوعي لضمان أن المخرجات عملية وقابلة للتنفيذ. المخرجات المملوكة: بطاقة أداء النضج، خريطة الفجوات، مصفوفة أولويات التدخل، تصميم المبادرات البحثية، أطر التعاون الدولي.</w:t>
              <w:br/>
              <w:t>المشروع يتطلب تطبيق أدوات تقييم مؤسسي دولية في سياق سعودي مع مراعاة خصوصية العلاقة بين سدايا واليونسكو. يجب أن يمتلك سجلاً في 3+ مشاريع تقييم مؤسسي مع جهات حكومية.</w:t>
              <w:br/>
              <w:t>مسار التوظيف: البحث في قاعدة بيانات المستشارين الداخليين عن ملفات تتضمن خبرة في التقييم المؤسسي الحكومي. الموعد النهائي: قبل التقديم بـ 7 أيام.</w:t>
              <w:br/>
              <w:t>خيار بديل: مستشار أول لديه خبرة في تقييم البرامج الحكومية مع تدريب مكثف على أدوات اليونسكو المعيارية خلال مرحلة الإعداد.</w:t>
            </w:r>
          </w:p>
        </w:tc>
        <w:tc>
          <w:tcPr>
            <w:tcW w:type="dxa" w:w="1440"/>
          </w:tcPr>
          <w:p>
            <w:r>
              <w:t>open_role_requirement</w:t>
            </w:r>
          </w:p>
        </w:tc>
        <w:tc>
          <w:tcPr>
            <w:tcW w:type="dxa" w:w="1440"/>
          </w:tcPr>
          <w:p>
            <w:r>
              <w:t>low</w:t>
            </w:r>
          </w:p>
        </w:tc>
      </w:tr>
      <w:tr>
        <w:tc>
          <w:tcPr>
            <w:tcW w:type="dxa" w:w="1440"/>
          </w:tcPr>
          <w:p>
            <w:r>
              <w:t>(Open)</w:t>
            </w:r>
          </w:p>
        </w:tc>
        <w:tc>
          <w:tcPr>
            <w:tcW w:type="dxa" w:w="1440"/>
          </w:tcPr>
          <w:p>
            <w:r>
              <w:t>خبير نقل المعرفة وبناء القدرات</w:t>
            </w:r>
          </w:p>
        </w:tc>
        <w:tc>
          <w:tcPr>
            <w:tcW w:type="dxa" w:w="1440"/>
          </w:tcPr>
          <w:p>
            <w:r>
              <w:t>Open Role Profile</w:t>
            </w:r>
          </w:p>
        </w:tc>
        <w:tc>
          <w:tcPr>
            <w:tcW w:type="dxa" w:w="1440"/>
          </w:tcPr>
          <w:p>
            <w:r>
              <w:t>يقود تصميم وتنفيذ برنامج نقل المعرفة والتدريب لفريق سدايا (D-3) بآلياته الثلاث المحددة في نطاق العمل: التدريب أثناء العمل، العمل جنباً إلى جنب، وورش العمل. نطاق العمل يُشير إلى رغبة سدايا في بناء قدرة مستقلة — مما يجعل هذا الدور حاسماً لرضا العميل واستدامة الأثر. المخرجات المملوكة: خطة نقل المعرفة، المواد التدريبية، تقييمات الكفاءات القبلية والبعدية، تقرير نقل المعرفة النهائي.</w:t>
              <w:br/>
              <w:t>المخرج D-3 يتطلب ثلاث آليات محددة لنقل المعرفة، وهذا يستلزم خبرة متخصصة تتجاوز التدريب العام. يجب أن يكون قادراً على تصميم برنامج يُحقق نتائج قابلة للقياس: عدد الكفاءات المنقولة، مستوى الاستقلالية المُحقق، جاهزية الفريق الداخلي لإدارة دورة التقييم التالية بشكل مستقل.</w:t>
              <w:br/>
              <w:t>مسار التوظيف: البحث في قاعدة بيانات المستشارين الداخليين عن ملفات تتضمن خبرة في بناء القدرات الحكومية. الموعد النهائي: قبل التقديم بـ 7 أيام. هذا الدور يمكن أن يبدأ بعد الانطلاق بأسبوعين.</w:t>
              <w:br/>
              <w:t>خيار بديل: مستشار تطوير مؤسسي لديه خبرة في التدريب الحكومي مع تكييف المنهجية لتشمل أدوات التقييم المحددة في هذا المشروع.</w:t>
            </w:r>
          </w:p>
        </w:tc>
        <w:tc>
          <w:tcPr>
            <w:tcW w:type="dxa" w:w="1440"/>
          </w:tcPr>
          <w:p>
            <w:r>
              <w:t>open_role_requirement</w:t>
            </w:r>
          </w:p>
        </w:tc>
        <w:tc>
          <w:tcPr>
            <w:tcW w:type="dxa" w:w="1440"/>
          </w:tcPr>
          <w:p>
            <w:r>
              <w:t>low</w:t>
            </w:r>
          </w:p>
        </w:tc>
      </w:tr>
      <w:tr>
        <w:tc>
          <w:tcPr>
            <w:tcW w:type="dxa" w:w="1440"/>
          </w:tcPr>
          <w:p>
            <w:r>
              <w:t>(Open)</w:t>
            </w:r>
          </w:p>
        </w:tc>
        <w:tc>
          <w:tcPr>
            <w:tcW w:type="dxa" w:w="1440"/>
          </w:tcPr>
          <w:p>
            <w:r>
              <w:t>محلل أبحاث ومقارنة معيارية دولية</w:t>
            </w:r>
          </w:p>
        </w:tc>
        <w:tc>
          <w:tcPr>
            <w:tcW w:type="dxa" w:w="1440"/>
          </w:tcPr>
          <w:p>
            <w:r>
              <w:t>Open Role Profile</w:t>
            </w:r>
          </w:p>
        </w:tc>
        <w:tc>
          <w:tcPr>
            <w:tcW w:type="dxa" w:w="1440"/>
          </w:tcPr>
          <w:p>
            <w:r>
              <w:t>يدعم فريق المشروع في جمع وتحليل البيانات المتعلقة ببرامج اليونسكو في أخلاقيات الذكاء الاصطناعي عالمياً، وإجراء المقارنة المعيارية مع 5-8 دول، وإعداد التقارير التحليلية. يُوفر العمق التحليلي الذي يحتاجه المشروع لإنتاج تقييم مبني على أدلة. المخرجات المملوكة: تقارير المقارنة المعيارية القُطرية، قاعدة بيانات البرامج البحثية، التحليلات الكمية والنوعية الداعمة لجميع المخرجات.</w:t>
              <w:br/>
              <w:t>نطاق العمل يتطلب مقارنة معيارية مع دول متعددة وتحليل برامج بحثية دولية — مما يستلزم قدرة بحثية مكثفة. هذا الدور يُمكّن الخبراء الأوائل من التركيز على التحليل الاستراتيجي والتصميم بينما يُوفر المحلل القاعدة البيانية والتحليلية.</w:t>
              <w:br/>
              <w:t>مسار التوظيف: البحث في قاعدة بيانات المستشارين الداخليين أو التعاقد مع باحث متخصص. الموعد النهائي: قبل التقديم بـ 5 أيام.</w:t>
              <w:br/>
              <w:t>خيار بديل: باحث مبتدئ لديه خبرة في تحليل السياسات مع إشراف مباشر من المستشار الأول.</w:t>
            </w:r>
          </w:p>
        </w:tc>
        <w:tc>
          <w:tcPr>
            <w:tcW w:type="dxa" w:w="1440"/>
          </w:tcPr>
          <w:p>
            <w:r>
              <w:t>open_role_requirement</w:t>
            </w:r>
          </w:p>
        </w:tc>
        <w:tc>
          <w:tcPr>
            <w:tcW w:type="dxa" w:w="1440"/>
          </w:tcPr>
          <w:p>
            <w:r>
              <w:t>medium</w:t>
            </w:r>
          </w:p>
        </w:tc>
      </w:tr>
    </w:tbl>
    <w:p>
      <w:pPr>
        <w:pStyle w:val="Heading2"/>
      </w:pPr>
      <w:r>
        <w:t>3.4 Certifications &amp; Compliance</w:t>
      </w:r>
    </w:p>
    <w:p>
      <w:pPr>
        <w:pStyle w:val="ListBullet"/>
      </w:pPr>
      <w:r>
        <w:t>خبرة موثقة في العمل مع الهيئة السعودية للبيانات والذكاء الاصطناعي (سدايا) — العميل المباشر لهذا المشروع [PRJ-001]. دليل على علاقة عمل سابقة مع العميل نفسه في المجال نفسه (أبحاث وأخلاقيات الذكاء الاصطناعي مع اليونسكو). تفاصيل المشروع الكمية تتطلب استكمالاً من سجلات المشروع الداخلية.</w:t>
      </w:r>
    </w:p>
    <w:p>
      <w:pPr>
        <w:pStyle w:val="ListBullet"/>
      </w:pPr>
      <w:r>
        <w:t>خبرة موثقة في التعاون مع اليونسكو [CLI-003] في مجال أبحاث وأخلاقيات الذكاء الاصطناعي — الشريك الدولي الرئيسي في نطاق العمل [PRJ-001]. طبيعة التعاون ونطاقه تتطلب استكمالاً من سجلات المشروع.</w:t>
      </w:r>
    </w:p>
    <w:p>
      <w:pPr>
        <w:pStyle w:val="ListBullet"/>
      </w:pPr>
      <w:r>
        <w:t>خبرة موثقة في العمل مع وزارة المالية [CLI-002] — تُثبت القدرة على التعامل مع الجهات الحكومية السعودية المركزية. تفاصيل المشروع/المشاريع مع وزارة المالية غير متوفرة في البيانات الحالية وتتطلب استكمالاً من قاعدة بيانات المشاريع.</w:t>
      </w:r>
    </w:p>
    <w:p>
      <w:pPr>
        <w:pStyle w:val="ListBullet"/>
      </w:pPr>
      <w:r>
        <w:t>شركة استشارية سعودية المقر والتشغيل — تُنتج جميع المخرجات باللغة العربية أصالةً وفقاً لمتطلبات CR-1. [إثبات داخلي مطلوب: نماذج من مخرجات سابقة باللغة العربية من أرشيف المشاريع].</w:t>
      </w:r>
    </w:p>
    <w:p>
      <w:pPr>
        <w:pStyle w:val="ListBullet"/>
      </w:pPr>
      <w:r>
        <w:t>[فجوة أدلة] شهادات ISO (9001 لإدارة الجودة، 27001 لأمن المعلومات) — يجب التحقق من وجودها واستخراج نسخ سارية من الإدارة القانونية.</w:t>
      </w:r>
    </w:p>
    <w:p>
      <w:pPr>
        <w:pStyle w:val="ListBullet"/>
      </w:pPr>
      <w:r>
        <w:t>[فجوة أدلة] شراكات أكاديمية — يجب التحقق من قاعدة بيانات الشراكات الداخلية. أي شراكة أكاديمية في مجال الذكاء الاصطناعي أو أخلاقيات التقنية ستكون ذات قيمة تنافسية عالية.</w:t>
      </w:r>
    </w:p>
    <w:p>
      <w:pPr>
        <w:pStyle w:val="ListBullet"/>
      </w:pPr>
      <w:r>
        <w:t>[فجوة أدلة] شراكات تقنية ذات صلة بالذكاء الاصطناعي وتحليل البيانات — يجب التحقق من وجود شراكات مع شركات تقنية أو مراكز بحثية.</w:t>
      </w:r>
    </w:p>
    <w:p>
      <w:pPr>
        <w:pStyle w:val="ListBullet"/>
      </w:pPr>
      <w:r>
        <w:t>[فجوة أدلة] مقاييس الحجم والانتشار (عدد المشاريع المنجزة، عدد العملاء، عدد القطاعات المخدومة) — يجب استخراج الأرقام المحدثة من قاعدة بيانات المشاريع.</w:t>
      </w:r>
    </w:p>
    <w:p>
      <w:pPr>
        <w:pStyle w:val="ListBullet"/>
      </w:pPr>
      <w:r>
        <w:t>[فجوة أدلة] تصنيفات الصناعة أو الجوائز — يجب التحقق من أي تصنيفات أو جوائز في مجال الاستشارات الإدارية أو التقنية.</w:t>
      </w:r>
    </w:p>
    <w:p>
      <w:pPr>
        <w:pStyle w:val="ListBullet"/>
      </w:pPr>
      <w:r>
        <w:t>═══ توضيح بشأن الأدوار المفتوحة (open_role_profile) ═══ جميع الأدوار الخمسة في قسم الفريق (3.2) مُصنفة كأدوار مفتوحة (open_role_profile) لأن قاعدة بيانات الموارد البشرية المتاحة لا تتضمن أي مستشارين مُسمّين. هذا سلوك مقصود من المحرك الأول: تحديد المواصفات الدقيقة لكل دور بناءً على متطلبات نطاق العمل، ليقوم المحرك الثاني باسترجاع الملفات المطابقة من نظام الموارد البشرية. السيرة الذاتية لكل مستشار مُعيّن يجب أن تُثبت المؤهلات المحددة في كل ملف دور.</w:t>
      </w:r>
    </w:p>
    <w:p>
      <w:pPr>
        <w:pStyle w:val="ListBullet"/>
      </w:pPr>
      <w:r>
        <w:t>═══ خطة استقطاب الفريق ═══</w:t>
      </w:r>
    </w:p>
    <w:p>
      <w:pPr>
        <w:pStyle w:val="ListBullet"/>
      </w:pPr>
      <w:r>
        <w:t>الدور 1 — مدير المشروع: المؤهلات الإلزامية: PMP + 15 سنة خبرة + 5 مشاريع حكومية سعودية. مسار التوظيف: قاعدة بيانات المستشارين الداخليين ← شبكة الشركاء. الموعد النهائي: قبل التقديم بـ 10 أيام. خيار بديل: شريك أول في الشركة. الأثر إذا لم يُعيّن: ضعف في إدارة العلاقة مع سدايا واليونسكو.</w:t>
      </w:r>
    </w:p>
    <w:p>
      <w:pPr>
        <w:pStyle w:val="ListBullet"/>
      </w:pPr>
      <w:r>
        <w:t>الدور 2 — خبير أخلاقيات الذكاء الاصطناعي: المؤهلات الإلزامية: 3+ منشورات محكّمة + 10 سنوات خبرة. المؤهلات المرغوبة بشدة: خبرة مباشرة في RAM أو توصية اليونسكو 2021. الحد الأدنى المقبول: أكاديمي في سياسات الذكاء الاصطناعي مع 5+ منشورات. مسار التوظيف: شراكة أكاديمية ← مؤسسة بحثية ← خبير دولي مستقل. الموعد النهائي: قبل التقديم بـ 10 أيام. الأثر إذا لم يُعيّن: فقدان المصداقية الموضوعية أمام المُقيّمين — الخطر التنافسي الأعلى.</w:t>
      </w:r>
    </w:p>
    <w:p>
      <w:pPr>
        <w:pStyle w:val="ListBullet"/>
      </w:pPr>
      <w:r>
        <w:t>الدور 3 — مستشار التقييم المؤسسي: المؤهلات الإلزامية: PgMP/MSP + 12 سنة خبرة + 3 مشاريع تقييم مؤسسي حكومي. مسار التوظيف: قاعدة بيانات المستشارين الداخليين. الموعد النهائي: قبل التقديم بـ 7 أيام. خيار بديل: مستشار أول في تقييم البرامج مع تدريب على أدوات اليونسكو. الأثر إذا لم يُعيّن: ضعف في جودة مخرجات D-1 وD-2.</w:t>
      </w:r>
    </w:p>
    <w:p>
      <w:pPr>
        <w:pStyle w:val="ListBullet"/>
      </w:pPr>
      <w:r>
        <w:t>الدور 4 — خبير نقل المعرفة: المؤهلات الإلزامية: CPTD/ATD + 8 سنوات خبرة + 3 مشاريع نقل معرفة حكومي. مسار التوظيف: قاعدة بيانات المستشارين الداخليين. الموعد النهائي: قبل التقديم بـ 7 أيام. خيار بديل: مستشار تطوير مؤسسي. الأثر إذا لم يُعيّن: ضعف في مخرجات D-3 — لكن الأثر أقل حدة لأن D-3 ليس المُميّز الأساسي.</w:t>
      </w:r>
    </w:p>
    <w:p>
      <w:pPr>
        <w:pStyle w:val="ListBullet"/>
      </w:pPr>
      <w:r>
        <w:t>الدور 5 — محلل الأبحاث: المؤهلات الإلزامية: ماجستير + 5 سنوات خبرة بحثية + إجادة العربية والإنجليزية. مسار التوظيف: قاعدة بيانات المستشارين ← التعاقد الخارجي. الموعد النهائي: قبل التقديم بـ 5 أيام. خيار بديل: باحث مبتدئ تحت إشراف مباشر. الأثر إذا لم يُعيّن: بطء في جمع البيانات — يمكن تعويضه جزئياً بتوزيع المهام على الفريق.</w:t>
      </w:r>
    </w:p>
    <w:p>
      <w:pPr>
        <w:pStyle w:val="ListBullet"/>
      </w:pPr>
      <w:r>
        <w:t>═══ سجل فجوات الأدلة المُوحّد — مُرتب حسب الأولوية ═══</w:t>
      </w:r>
    </w:p>
    <w:p>
      <w:pPr>
        <w:pStyle w:val="ListBullet"/>
      </w:pPr>
      <w:r>
        <w:t>[فجوة #1 — حرجة] خبير أخلاقيات الذكاء الاصطناعي: لا يوجد مرشح داخلي. المسؤول: إدارة الموارد البشرية + شبكة الشراكات الأكاديمية. الموعد: قبل التقديم بـ 10 أيام. الأثر: يؤثر على مصداقية العرض الفني بالكامل (D-1، D-2، D-3). الأقسام المتأثرة: 3.2 الفريق + جميع أقسام المنهجية.</w:t>
      </w:r>
    </w:p>
    <w:p>
      <w:pPr>
        <w:pStyle w:val="ListBullet"/>
      </w:pPr>
      <w:r>
        <w:t>[فجوة #2 — حرجة] تفاصيل PRJ-001 الكمية: المشروع موثق لكن بدون تفاصيل كافية للاستشهاد التنافسي. المسؤول: مدير المشروع السابق + أرشيف المشاريع. الموعد: قبل التقديم بـ 7 أيام. الأثر: يُضعف أقوى دليل متاح على القدرة. الأقسام المتأثرة: 3.1 خريطة القدرات + 3.3 الخبرات.</w:t>
      </w:r>
    </w:p>
    <w:p>
      <w:pPr>
        <w:pStyle w:val="ListBullet"/>
      </w:pPr>
      <w:r>
        <w:t>[فجوة #3 — حرجة] الوثائق القانونية للامتثال (CR-2 إلى CR-8، الضمان البنكي HR-L1-016). المسؤول: الإدارة القانونية والمالية. الموعد: قبل التقديم بـ 5 أيام. الأثر: عدم الامتثال = استبعاد فوري. الأقسام المتأثرة: ملف التقديم بالكامل.</w:t>
      </w:r>
    </w:p>
    <w:p>
      <w:pPr>
        <w:pStyle w:val="ListBullet"/>
      </w:pPr>
      <w:r>
        <w:t>[فجوة #4 — عالية] مشاريع إضافية (3-5 دراسات حالة) تُغطي التقييم المؤسسي، التعاون الدولي، بناء القدرات، والذكاء الاصطناعي. المسؤول: إدارة المشاريع + أرشيف المشاريع. الموعد: قبل التقديم بـ 7 أيام. الأثر: PRJ-001 وحده غير كافٍ لعرض تنافسي. الأقسام المتأثرة: 3.3 الخبرات.</w:t>
      </w:r>
    </w:p>
    <w:p>
      <w:pPr>
        <w:pStyle w:val="ListBullet"/>
      </w:pPr>
      <w:r>
        <w:t>[فجوة #5 — عالية] ملفات المستشارين الخمسة (مدير المشروع، خبير أخلاقيات الذكاء الاصطناعي، مستشار التقييم، خبير نقل المعرفة، محلل الأبحاث). المسؤول: إدارة الموارد البشرية. الموعد: قبل التقديم بـ 7 أيام. الأثر: عرض بدون فريق مُسمى يخسر نقاطاً في التقييم الفني. الأقسام المتأثرة: 3.2 الفريق.</w:t>
      </w:r>
    </w:p>
    <w:p>
      <w:pPr>
        <w:pStyle w:val="ListBullet"/>
      </w:pPr>
      <w:r>
        <w:t>[فجوة #6 — عالية] شهادات ISO والشراكات الأكاديمية والتقنية. المسؤول: الإدارة القانونية + إدارة التسويق. الموعد: قبل التقديم بـ 5 أيام. الأثر: يُضعف المصداقية المؤسسية. الأقسام المتأثرة: 3.4 الشهادات والامتثال.</w:t>
      </w:r>
    </w:p>
    <w:p>
      <w:pPr>
        <w:pStyle w:val="ListBullet"/>
      </w:pPr>
      <w:r>
        <w:t>[فجوة #7 — متوسطة] أدلة محلية وإقليمية عن مبادرات سدايا في أخلاقيات الذكاء الاصطناعي واستراتيجية المملكة للذكاء الاصطناعي. المسؤول: فريق البحث. الموعد: قبل التقديم بـ 5 أيام. الأثر: يُعزز السياق المحلي لكنه ليس حاسماً. ملاحظة: لم يتم العثور على أدلة محلية/إقليمية عامة في حزمة الأدلة الحالية — وهذا قيد معروف في مصادر البحث الدولية وليس فشلاً في التحليل.</w:t>
      </w:r>
    </w:p>
    <w:p>
      <w:pPr>
        <w:pStyle w:val="ListBullet"/>
      </w:pPr>
      <w:r>
        <w:t>[فجوة #8 — متوسطة] نماذج من مخرجات سابقة باللغة العربية لإثبات جودة الإنتاج العربي. المسؤول: أرشيف المشاريع. الموعد: قبل التقديم بـ 5 أيام. الأثر: يُعزز ادعاء الإنتاج العربي الأصيل.</w:t>
      </w:r>
    </w:p>
    <w:p>
      <w:pPr>
        <w:pStyle w:val="ListBullet"/>
      </w:pPr>
      <w:r>
        <w:t>═══ متطلبات المحرك الثاني (Engine 2) — قائمة إثبات مُوحّدة ═══</w:t>
      </w:r>
    </w:p>
    <w:p>
      <w:pPr>
        <w:pStyle w:val="ListBullet"/>
      </w:pPr>
      <w:r>
        <w:t>[ENGINE 2 REQUIRED — أولوية حرجة — الموعد: قبل التقديم بـ 10 أيام] ملفات الفريق: استرجاع 5 ملفات مستشارين تتطابق مع مواصفات الأدوار المفتوحة في قسم 3.2. لكل دور، المواصفات الإلزامية والمرغوبة والحد الأدنى المقبول مُفصلة في ملف الدور. المصدر: قاعدة بيانات الموارد البشرية/التوظيف + شبكة الشراكات الأكاديمية (للدور 2). المخرج المطلوب: سيرة ذاتية مُحدّثة لكل مستشار + موافقة على التخصيص للمشروع.</w:t>
      </w:r>
    </w:p>
    <w:p>
      <w:pPr>
        <w:pStyle w:val="ListBullet"/>
      </w:pPr>
      <w:r>
        <w:t>[ENGINE 2 REQUIRED — أولوية حرجة — الموعد: قبل التقديم بـ 10 أيام] شراكة خبير أخلاقيات الذكاء الاصطناعي: إذا لم يتوفر خبير داخلي، تحديد خيارات الشراكة وفق الترتيب المحدد في ملف الدور 2. المصدر: شبكة الشراكات الأكاديمية + قاعدة بيانات الخبراء. المخرج المطلوب: اتفاقية شراكة أو خطاب نوايا + سيرة ذاتية للخبير.</w:t>
      </w:r>
    </w:p>
    <w:p>
      <w:pPr>
        <w:pStyle w:val="ListBullet"/>
      </w:pPr>
      <w:r>
        <w:t>[ENGINE 2 REQUIRED — أولوية حرجة — الموعد: قبل التقديم بـ 7 أيام] تفاصيل مشروع PRJ-001: استكمال ملف مشروع 'الخدمات الاحترافية في أبحاث الذكاء الاصطناعي وأخلاقياته مع اليونسكو' بالتفاصيل التالية: (أ) مدة المشروع بالأشهر؛ (ب) حجم الفريق المُنفذ وأدوارهم؛ (ج) المنهجيات المحددة المستخدمة؛ (د) عدد الدول المشمولة؛ (هـ) المخرجات الكمية؛ (و) أثر المشروع على سدايا؛ (ز) حالة مرجع العميل. المصدر: سجلات المشروع الداخلية + مدير المشروع السابق.</w:t>
      </w:r>
    </w:p>
    <w:p>
      <w:pPr>
        <w:pStyle w:val="ListBullet"/>
      </w:pPr>
      <w:r>
        <w:t>[ENGINE 2 REQUIRED — أولوية عالية — الموعد: قبل التقديم بـ 7 أيام] أدلة مشاريع إضافية: استرجاع 3-5 دراسات حالة من قاعدة بيانات المشاريع تُغطي: (أ) تقييم مؤسسي لجهات حكومية سعودية — لدعم D-1؛ (ب) تصميم برامج تعاون دولي — لدعم D-2؛ (ج) بناء قدرات ونقل معرفة حكومي — لدعم D-3؛ (د) خبرة في الذكاء الاصطناعي أو التقنية — للمصداقية القطاعية؛ (هـ) عمل مع منظمات دولية — لمصداقية التعاون الدولي. لكل مشروع: الحد الأدنى من الحقائق المطلوبة مُحدد في خانات المشاريع المطلوبة في قسم 3.3. المصدر: قاعدة بيانات المشاريع.</w:t>
      </w:r>
    </w:p>
    <w:p>
      <w:pPr>
        <w:pStyle w:val="ListBullet"/>
      </w:pPr>
      <w:r>
        <w:t>[ENGINE 2 REQUIRED — أولوية حرجة — الموعد: قبل التقديم بـ 5 أيام] الامتثال القانوني للتقديم: التحقق من صلاحية وتجهيز: (أ) السجل التجاري الساري CR-2؛ (ب) شهادة الزكاة السارية CR-3؛ (ج) عضوية الغرفة التجارية السارية CR-4؛ (د) شهادة السعودة السارية CR-5؛ (هـ) الضمان البنكي الابتدائي بنسبة 1% HR-L1-016؛ (و) إقرار تضارب المصالح CR-6؛ (ز) إقرار السلوك المهني CR-7؛ (ح) إقرار السرية CR-8؛ (ط) التسجيل في بوابة EXPRO HR-L1-012. المسؤول: الإدارة القانونية والمالية.</w:t>
      </w:r>
    </w:p>
    <w:p>
      <w:pPr>
        <w:pStyle w:val="ListBullet"/>
      </w:pPr>
      <w:r>
        <w:t>[ENGINE 2 REQUIRED — أولوية عالية — الموعد: قبل التقديم بـ 5 أيام] إثبات الشهادات والمصداقية المؤسسية: استرجاع: (أ) شهادات ISO سارية إن وُجدت؛ (ب) وثائق الشراكات الأكاديمية والتقنية السارية؛ (ج) تصنيفات الصناعة والجوائز؛ (د) أرقام محدثة لحجم الأعمال (عدد المشاريع، العملاء، القطاعات)؛ (هـ) نماذج من مخرجات سابقة باللغة العربية. المصدر: الإدارة القانونية + إدارة التسويق + أرشيف المشاريع.</w:t>
      </w:r>
    </w:p>
    <w:p>
      <w:pPr>
        <w:pStyle w:val="ListBullet"/>
      </w:pPr>
      <w:r>
        <w:t>[ENGINE 2 REQUIRED — أولوية متوسطة — الموعد: قبل التقديم بـ 5 أيام] أدلة محلية وإقليمية: البحث عن: (أ) مبادرات سدايا المعلنة في أخلاقيات الذكاء الاصطناعي والتعاون مع اليونسكو؛ (ب) استراتيجية المملكة للذكاء الاصطناعي وعلاقتها بأخلاقيات الذكاء الاصطناعي؛ (ج) منشورات سعودية أو خليجية في حوكمة الذكاء الاصطناعي. ملاحظة: مصادر البحث الدولية المتاحة لم تُنتج أدلة محلية/إقليمية كافية — وهذا قيد معروف وليس فشلاً تحليلياً. المصدر: المصادر العامة والمنشورات الحكومية.</w:t>
      </w:r>
    </w:p>
    <w:p>
      <w:pPr>
        <w:pStyle w:val="Heading1"/>
      </w:pPr>
      <w:r>
        <w:t>4. External Evidence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Source ID</w:t>
            </w:r>
          </w:p>
        </w:tc>
        <w:tc>
          <w:tcPr>
            <w:tcW w:type="dxa" w:w="1728"/>
          </w:tcPr>
          <w:p>
            <w:r>
              <w:t>Title</w:t>
            </w:r>
          </w:p>
        </w:tc>
        <w:tc>
          <w:tcPr>
            <w:tcW w:type="dxa" w:w="1728"/>
          </w:tcPr>
          <w:p>
            <w:r>
              <w:t>Provider / Type / Year</w:t>
            </w:r>
          </w:p>
        </w:tc>
        <w:tc>
          <w:tcPr>
            <w:tcW w:type="dxa" w:w="1728"/>
          </w:tcPr>
          <w:p>
            <w:r>
              <w:t>Evidence Tier</w:t>
            </w:r>
          </w:p>
        </w:tc>
        <w:tc>
          <w:tcPr>
            <w:tcW w:type="dxa" w:w="1728"/>
          </w:tcPr>
          <w:p>
            <w:r>
              <w:t>mapped_rfp_theme</w:t>
            </w:r>
          </w:p>
        </w:tc>
      </w:tr>
      <w:tr>
        <w:tc>
          <w:tcPr>
            <w:tcW w:type="dxa" w:w="1728"/>
          </w:tcPr>
          <w:p>
            <w:r>
              <w:t>EXT-002</w:t>
            </w:r>
          </w:p>
        </w:tc>
        <w:tc>
          <w:tcPr>
            <w:tcW w:type="dxa" w:w="1728"/>
          </w:tcPr>
          <w:p>
            <w:r>
              <w:t>UNESCO Ethics of Science and Technology Programme: Education, Bioethics Committees, and Global Ethics Observatory</w:t>
            </w:r>
          </w:p>
        </w:tc>
        <w:tc>
          <w:tcPr>
            <w:tcW w:type="dxa" w:w="1728"/>
          </w:tcPr>
          <w:p>
            <w:r>
              <w:t>Framework (2023)</w:t>
              <w:br/>
              <w:t>Provider: Perplexity</w:t>
            </w:r>
          </w:p>
        </w:tc>
        <w:tc>
          <w:tcPr>
            <w:tcW w:type="dxa" w:w="1728"/>
          </w:tcPr>
          <w:p>
            <w:r>
              <w:t>Secondary — methodology reference</w:t>
            </w:r>
          </w:p>
        </w:tc>
        <w:tc>
          <w:tcPr>
            <w:tcW w:type="dxa" w:w="1728"/>
          </w:tcPr>
          <w:p>
            <w:r>
              <w:t>UNESCO program design and knowledge transfer</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https://www.unesco.org/en/ethics-science-technology</w:t>
            </w:r>
          </w:p>
        </w:tc>
        <w:tc>
          <w:tcPr>
            <w:tcW w:type="dxa" w:w="1728"/>
          </w:tcPr>
          <w:p>
            <w:r>
              <w:t>query_used: how do government agencies implement Development UNESCO programs research ethics</w:t>
            </w:r>
          </w:p>
        </w:tc>
        <w:tc>
          <w:tcPr>
            <w:tcW w:type="dxa" w:w="1728"/>
          </w:tcPr>
          <w:p>
            <w:r>
              <w:t>How to use: Use in Section 2 (Program Design) to model the initiative design on UNESCO's proven EEP and ABC programme structures. Use in Section 3 (Training &amp; Knowledge Transfer) to justify the on-the-job training and workshop methodology by referencing UNESCO's ETTC model. Cite GEObs as a benchmarking tool for gap identification in Section 1.</w:t>
              <w:br/>
              <w:t>Key finding: يعتمد برنامج تعليم الأخلاقيات في اليونسكو على دورات تدريب المعلمين (ETTCs) بالشراكة مع مؤسسات أكاديمية وكراسي اليونسكو كآلية رئيسية لنقل المعرفة، بينما يوفر المرصد العالمي للأخلاقيات (GEObs) قواعد بيانات للخبراء والمؤسسات والتشريعات تُمكّن من تحديد الفجوات بشكل مبني على الأدلة. هذا النموذج يدعم منهجية التقييم المقترحة من خلال توفير إطار مرجعي لتصميم برامج نقل المعرفة وتحديد فجوات القدرات المؤسسية، ويُرسي أساساً لتصميم آليات التعاون الدولي المطلوبة في نطاق العمل.</w:t>
            </w:r>
          </w:p>
        </w:tc>
      </w:tr>
      <w:tr>
        <w:tc>
          <w:tcPr>
            <w:tcW w:type="dxa" w:w="1728"/>
          </w:tcPr>
          <w:p>
            <w:r>
              <w:t>EXT-003</w:t>
            </w:r>
          </w:p>
        </w:tc>
        <w:tc>
          <w:tcPr>
            <w:tcW w:type="dxa" w:w="1728"/>
          </w:tcPr>
          <w:p>
            <w:r>
              <w:t>UNESCO Recommendation on Science and Scientific Researchers (RS|SR): Implementation and Periodic Reporting</w:t>
            </w:r>
          </w:p>
        </w:tc>
        <w:tc>
          <w:tcPr>
            <w:tcW w:type="dxa" w:w="1728"/>
          </w:tcPr>
          <w:p>
            <w:r>
              <w:t>Framework (2022)</w:t>
              <w:br/>
              <w:t>Provider: Perplexity</w:t>
            </w:r>
          </w:p>
        </w:tc>
        <w:tc>
          <w:tcPr>
            <w:tcW w:type="dxa" w:w="1728"/>
          </w:tcPr>
          <w:p>
            <w:r>
              <w:t>Secondary — methodology reference</w:t>
            </w:r>
          </w:p>
        </w:tc>
        <w:tc>
          <w:tcPr>
            <w:tcW w:type="dxa" w:w="1728"/>
          </w:tcPr>
          <w:p>
            <w:r>
              <w:t>performance analysis and M&amp;E framework</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https://www.unesco.org/en/recommendation-science</w:t>
            </w:r>
          </w:p>
        </w:tc>
        <w:tc>
          <w:tcPr>
            <w:tcW w:type="dxa" w:w="1728"/>
          </w:tcPr>
          <w:p>
            <w:r>
              <w:t>query_used: how do government agencies implement Development UNESCO programs research ethics</w:t>
            </w:r>
          </w:p>
        </w:tc>
        <w:tc>
          <w:tcPr>
            <w:tcW w:type="dxa" w:w="1728"/>
          </w:tcPr>
          <w:p>
            <w:r>
              <w:t>How to use: Use in Section 1 (Current State Assessment) to frame the performance analysis methodology around UNESCO's own reporting indicators. Cite the GO-SPIN platform as a benchmarking reference. Use in Section 3 (M&amp;E) to align proposed indicators with UNESCO's existing reporting cycles, demonstrating international compliance.</w:t>
              <w:br/>
              <w:t>Key finding: آلية التقارير الوطنية الدورية لليونسكو توفر قالباً هيكلياً جاهزاً لتصميم مؤشرات المتابعة والتقييم، بينما تُشغّل منصة GO-SPIN جمع البيانات حول الحرية العلمية وسلامة الباحثين. هذا يدعم المنهجية المقترحة من خلال توفير مؤشرات مرجعية معتمدة دولياً يمكن استخدامها مباشرة في تقييم نضج برامج أخلاقيات الذكاء الاصطناعي، مع ضمان التوافق مع التزامات التقارير الدولية للجهة.</w:t>
            </w:r>
          </w:p>
        </w:tc>
      </w:tr>
      <w:tr>
        <w:tc>
          <w:tcPr>
            <w:tcW w:type="dxa" w:w="1728"/>
          </w:tcPr>
          <w:p>
            <w:r>
              <w:t>EXT-004</w:t>
            </w:r>
          </w:p>
        </w:tc>
        <w:tc>
          <w:tcPr>
            <w:tcW w:type="dxa" w:w="1728"/>
          </w:tcPr>
          <w:p>
            <w:r>
              <w:t>World Bank Comprehensive Investor Services Framework (CISF): IPA Needs Assessment and Service Prioritization</w:t>
            </w:r>
          </w:p>
        </w:tc>
        <w:tc>
          <w:tcPr>
            <w:tcW w:type="dxa" w:w="1728"/>
          </w:tcPr>
          <w:p>
            <w:r>
              <w:t>Framework (2022)</w:t>
              <w:br/>
              <w:t>Provider: Perplexity</w:t>
            </w:r>
          </w:p>
        </w:tc>
        <w:tc>
          <w:tcPr>
            <w:tcW w:type="dxa" w:w="1728"/>
          </w:tcPr>
          <w:p>
            <w:r>
              <w:t>Secondary — methodology reference</w:t>
            </w:r>
          </w:p>
        </w:tc>
        <w:tc>
          <w:tcPr>
            <w:tcW w:type="dxa" w:w="1728"/>
          </w:tcPr>
          <w:p>
            <w:r>
              <w:t>needs assessment and service portfolio design</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https://openknowledge.worldbank.org/entities/publication/2c541d40-33bc-54b6-99a4-1cccf75cb07f</w:t>
            </w:r>
          </w:p>
        </w:tc>
        <w:tc>
          <w:tcPr>
            <w:tcW w:type="dxa" w:w="1728"/>
          </w:tcPr>
          <w:p>
            <w:r>
              <w:t>query_used: how do investment promotion agencies assess company needs and prioritize service delivery</w:t>
            </w:r>
          </w:p>
        </w:tc>
        <w:tc>
          <w:tcPr>
            <w:tcW w:type="dxa" w:w="1728"/>
          </w:tcPr>
          <w:p>
            <w:r>
              <w:t>How to use: Use in Section 1 (Methodology) to justify the needs assessment approach by analogy with the World Bank CISF model. Use in Section 2 (Framework Design) to support the service portfolio design methodology. Cite in the intervention priorities section to validate the capacity-based prioritization logic.</w:t>
              <w:br/>
              <w:t>Key finding: يُصنّف إطار CISF الخدمات المحددة لتلبية احتياجات أصحاب المصلحة ويُمكّن الجهات من تصميم عروض متوائمة مع تركيزها الاستراتيجي وقدراتها التشغيلية، مع اشتراط تحديد السبب المحدد لضعف الأداء قبل اختيار هياكل المعالجة. هذا المنطق التشخيصي يدعم منهجية تقييم النضج المقترحة من خلال توفير إطار لترتيب أولويات التدخل بناءً على القدرة الفعلية بدلاً من الطموح النظري، مما يضمن أن التوصيات قابلة للتنفيذ ضمن الموارد المتاحة.</w:t>
            </w:r>
          </w:p>
        </w:tc>
      </w:tr>
      <w:tr>
        <w:tc>
          <w:tcPr>
            <w:tcW w:type="dxa" w:w="1728"/>
          </w:tcPr>
          <w:p>
            <w:r>
              <w:t>EXT-005</w:t>
            </w:r>
          </w:p>
        </w:tc>
        <w:tc>
          <w:tcPr>
            <w:tcW w:type="dxa" w:w="1728"/>
          </w:tcPr>
          <w:p>
            <w:r>
              <w:t>UNCTAD Investment Promotion for LDCs: Needs Assessment of IPA Observers</w:t>
            </w:r>
          </w:p>
        </w:tc>
        <w:tc>
          <w:tcPr>
            <w:tcW w:type="dxa" w:w="1728"/>
          </w:tcPr>
          <w:p>
            <w:r>
              <w:t>Industry Report (2022)</w:t>
              <w:br/>
              <w:t>Provider: Perplexity</w:t>
            </w:r>
          </w:p>
        </w:tc>
        <w:tc>
          <w:tcPr>
            <w:tcW w:type="dxa" w:w="1728"/>
          </w:tcPr>
          <w:p>
            <w:r>
              <w:t>Primary — industry source</w:t>
            </w:r>
          </w:p>
        </w:tc>
        <w:tc>
          <w:tcPr>
            <w:tcW w:type="dxa" w:w="1728"/>
          </w:tcPr>
          <w:p>
            <w:r>
              <w:t>needs assessment methodology and intervention prioritization</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https://unctad.org/publication/investment-promotion-ldcs-needs-assessment-ipa-observer-13</w:t>
            </w:r>
          </w:p>
        </w:tc>
        <w:tc>
          <w:tcPr>
            <w:tcW w:type="dxa" w:w="1728"/>
          </w:tcPr>
          <w:p>
            <w:r>
              <w:t>query_used: how do investment promotion agencies assess company needs and prioritize service delivery</w:t>
            </w:r>
          </w:p>
        </w:tc>
        <w:tc>
          <w:tcPr>
            <w:tcW w:type="dxa" w:w="1728"/>
          </w:tcPr>
          <w:p>
            <w:r>
              <w:t>How to use: Use in Section 1 (Methodology) to validate the gap analysis approach by citing UNCTAD's IPA assessment methodology. Use in the intervention priorities section to justify a phased, capacity-based prioritization approach. Reference SDG integration findings to support the program-SDG linkage design.</w:t>
              <w:br/>
              <w:t>Key finding: الجهات ذات الموارد المحدودة يجب أن تُرتب أولوياتها بناءً على الاحتياجات الأكثر إلحاحاً بدلاً من محاولة أداء جميع الوظائف المُكلفة بها بالتساوي، مع دمج مؤشرات أهداف التنمية المستدامة في أُطر الأداء المؤسسي. هذا يدعم المنهجية المقترحة من خلال تبرير النهج المرحلي في تصميم التدخلات وربط البرامج بأهداف التنمية المستدامة كما يتطلب نطاق العمل في التسليم الثاني (D-2).</w:t>
            </w:r>
          </w:p>
        </w:tc>
      </w:tr>
      <w:tr>
        <w:tc>
          <w:tcPr>
            <w:tcW w:type="dxa" w:w="1728"/>
          </w:tcPr>
          <w:p>
            <w:r>
              <w:t>EXT-006</w:t>
            </w:r>
          </w:p>
        </w:tc>
        <w:tc>
          <w:tcPr>
            <w:tcW w:type="dxa" w:w="1728"/>
          </w:tcPr>
          <w:p>
            <w:r>
              <w:t>APQC Certified Knowledge Transfer Specialist: Government Agency Training Implementation Framework</w:t>
            </w:r>
          </w:p>
        </w:tc>
        <w:tc>
          <w:tcPr>
            <w:tcW w:type="dxa" w:w="1728"/>
          </w:tcPr>
          <w:p>
            <w:r>
              <w:t>Framework (2023)</w:t>
              <w:br/>
              <w:t>Provider: Perplexity</w:t>
            </w:r>
          </w:p>
        </w:tc>
        <w:tc>
          <w:tcPr>
            <w:tcW w:type="dxa" w:w="1728"/>
          </w:tcPr>
          <w:p>
            <w:r>
              <w:t>Secondary — methodology reference</w:t>
            </w:r>
          </w:p>
        </w:tc>
        <w:tc>
          <w:tcPr>
            <w:tcW w:type="dxa" w:w="1728"/>
          </w:tcPr>
          <w:p>
            <w:r>
              <w:t>training and knowledge transfer</w:t>
            </w:r>
          </w:p>
        </w:tc>
      </w:tr>
      <w:tr>
        <w:tc>
          <w:tcPr>
            <w:tcW w:type="dxa" w:w="1728"/>
          </w:tcPr>
          <w:p>
            <w:r>
              <w:t>evidence_class: international_benchmark</w:t>
            </w:r>
          </w:p>
        </w:tc>
        <w:tc>
          <w:tcPr>
            <w:tcW w:type="dxa" w:w="1728"/>
          </w:tcPr>
          <w:p>
            <w:r>
              <w:t>authors: —</w:t>
              <w:br/>
              <w:t>selection_method: perplexity_synthesis</w:t>
            </w:r>
          </w:p>
        </w:tc>
        <w:tc>
          <w:tcPr>
            <w:tcW w:type="dxa" w:w="1728"/>
          </w:tcPr>
          <w:p>
            <w:r>
              <w:t>URL: https://www.apqc.org/training/certified-knowledge-transfer-specialist</w:t>
            </w:r>
          </w:p>
        </w:tc>
        <w:tc>
          <w:tcPr>
            <w:tcW w:type="dxa" w:w="1728"/>
          </w:tcPr>
          <w:p>
            <w:r>
              <w:t>query_used: how do government agencies implement Training knowledge transfer government entity's programs</w:t>
            </w:r>
          </w:p>
        </w:tc>
        <w:tc>
          <w:tcPr>
            <w:tcW w:type="dxa" w:w="1728"/>
          </w:tcPr>
          <w:p>
            <w:r>
              <w:t>How to use: Use in Section 3 (Training &amp; Knowledge Transfer) to structure the on-the-job training and workshop methodology. Cite the four-step APQC framework as the basis for the knowledge transfer design. Use the change management component to justify the side-by-side work approach as a behavior change mechanism.</w:t>
              <w:br/>
              <w:t>Key finding: يُحدد إطار APQC أربع خطوات أساسية لنقل المعرفة: تحديد الفرص، تصميم المشروع، الدمج في العمليات التشغيلية، وتطبيق إدارة التغيير. يُركز الإطار على دمج عمليات نقل المعرفة في العمليات التشغيلية المستمرة بدلاً من الفعاليات التدريبية المنفردة. هذا يدعم تصميم مكون التدريب المقترح من خلال توفير هيكل منهجي للعمل جنباً إلى جنب كآلية لتغيير السلوك المؤسسي وليس مجرد نقل معلومات.</w:t>
            </w:r>
          </w:p>
        </w:tc>
      </w:tr>
      <w:tr>
        <w:tc>
          <w:tcPr>
            <w:tcW w:type="dxa" w:w="1728"/>
          </w:tcPr>
          <w:p>
            <w:r>
              <w:t>EXT-007</w:t>
            </w:r>
          </w:p>
        </w:tc>
        <w:tc>
          <w:tcPr>
            <w:tcW w:type="dxa" w:w="1728"/>
          </w:tcPr>
          <w:p>
            <w:r>
              <w:t>Examining Local Governments Readiness and Transformation for AI Adoption: A Qualitative Case Study Approach in Public Administration</w:t>
            </w:r>
          </w:p>
        </w:tc>
        <w:tc>
          <w:tcPr>
            <w:tcW w:type="dxa" w:w="1728"/>
          </w:tcPr>
          <w:p>
            <w:r>
              <w:t>Academic Paper (2026)</w:t>
              <w:br/>
              <w:t>Provider: Semantic Scholar</w:t>
            </w:r>
          </w:p>
        </w:tc>
        <w:tc>
          <w:tcPr>
            <w:tcW w:type="dxa" w:w="1728"/>
          </w:tcPr>
          <w:p>
            <w:r>
              <w:t>Primary — peer-reviewed</w:t>
            </w:r>
          </w:p>
        </w:tc>
        <w:tc>
          <w:tcPr>
            <w:tcW w:type="dxa" w:w="1728"/>
          </w:tcPr>
          <w:p>
            <w:r>
              <w:t>AI readiness and maturity assessment</w:t>
            </w:r>
          </w:p>
        </w:tc>
      </w:tr>
      <w:tr>
        <w:tc>
          <w:tcPr>
            <w:tcW w:type="dxa" w:w="1728"/>
          </w:tcPr>
          <w:p>
            <w:r>
              <w:t>evidence_class: international_benchmark</w:t>
            </w:r>
          </w:p>
        </w:tc>
        <w:tc>
          <w:tcPr>
            <w:tcW w:type="dxa" w:w="1728"/>
          </w:tcPr>
          <w:p>
            <w:r>
              <w:t>authors: Chonnapha Punnanan</w:t>
              <w:br/>
              <w:t>selection_method: search_hit</w:t>
            </w:r>
          </w:p>
        </w:tc>
        <w:tc>
          <w:tcPr>
            <w:tcW w:type="dxa" w:w="1728"/>
          </w:tcPr>
          <w:p>
            <w:r>
              <w:t>URL: https://www.semanticscholar.org/paper/ede7fae15610948445d63f68bc4bdc5ea62d4fbf</w:t>
            </w:r>
          </w:p>
        </w:tc>
        <w:tc>
          <w:tcPr>
            <w:tcW w:type="dxa" w:w="1728"/>
          </w:tcPr>
          <w:p>
            <w:r>
              <w:t>query_used: readiness assessment framework for client segmentation</w:t>
            </w:r>
          </w:p>
        </w:tc>
        <w:tc>
          <w:tcPr>
            <w:tcW w:type="dxa" w:w="1728"/>
          </w:tcPr>
          <w:p>
            <w:r>
              <w:t>How to use: Use in Section 1 (Maturity Assessment) as the primary academic reference for the eight-dimension AI readiness framework. Cite the TOE framework to structure the assessment tool design. Use the McKinsey 7S reference to validate the roadmap development methodology in Section 2.</w:t>
              <w:br/>
              <w:t>Key finding: جاهزية الذكاء الاصطناعي في الحكومة تمتد عبر ثمانية أبعاد مُنظمة وفق إطار TOE: البنية التحتية التقنية، الموارد البشرية، جاهزية إدارة التغيير، الموارد المالية، القيادة والرؤية، الثقافة التنظيمية، السياق البيئي، والسياسات والحوكمة. بُعدان خاصان بالذكاء الاصطناعي وثلاثة جزئياً وثلاثة عامة — مما يُمكّن من نهج تقييم متدرج. هذا يدعم تصميم أداة تقييم النضج من خلال توفير هيكل شامل ومُصنّف يُغطي جميع جوانب الجاهزية المؤسسية مع تمييز واضح بين الأبعاد الخاصة بالذكاء الاصطناعي والأبعاد العامة.</w:t>
            </w:r>
          </w:p>
        </w:tc>
      </w:tr>
      <w:tr>
        <w:tc>
          <w:tcPr>
            <w:tcW w:type="dxa" w:w="1728"/>
          </w:tcPr>
          <w:p>
            <w:r>
              <w:t>EXT-008</w:t>
            </w:r>
          </w:p>
        </w:tc>
        <w:tc>
          <w:tcPr>
            <w:tcW w:type="dxa" w:w="1728"/>
          </w:tcPr>
          <w:p>
            <w:r>
              <w:t>Analysing Public Sector Institutional Capacity for Health Workforce Governance in the South-East Asia Region of WHO</w:t>
            </w:r>
          </w:p>
        </w:tc>
        <w:tc>
          <w:tcPr>
            <w:tcW w:type="dxa" w:w="1728"/>
          </w:tcPr>
          <w:p>
            <w:r>
              <w:t>Academic Paper (2019)</w:t>
              <w:br/>
              <w:t>Provider: Semantic Scholar</w:t>
            </w:r>
          </w:p>
        </w:tc>
        <w:tc>
          <w:tcPr>
            <w:tcW w:type="dxa" w:w="1728"/>
          </w:tcPr>
          <w:p>
            <w:r>
              <w:t>Primary — peer-reviewed</w:t>
            </w:r>
          </w:p>
        </w:tc>
        <w:tc>
          <w:tcPr>
            <w:tcW w:type="dxa" w:w="1728"/>
          </w:tcPr>
          <w:p>
            <w:r>
              <w:t>institutional capacity assessment methodology</w:t>
            </w:r>
          </w:p>
        </w:tc>
      </w:tr>
      <w:tr>
        <w:tc>
          <w:tcPr>
            <w:tcW w:type="dxa" w:w="1728"/>
          </w:tcPr>
          <w:p>
            <w:r>
              <w:t>evidence_class: international_benchmark</w:t>
            </w:r>
          </w:p>
        </w:tc>
        <w:tc>
          <w:tcPr>
            <w:tcW w:type="dxa" w:w="1728"/>
          </w:tcPr>
          <w:p>
            <w:r>
              <w:t>authors: G. Cometto, Esther Nartey, T. Zapata, Mikiko Kanda, Yunus Md, K. Narayan, K. Pritasari, Aishath Irufa, R. Lamichhane, D. de Silva</w:t>
              <w:br/>
              <w:t>selection_method: search_hit</w:t>
            </w:r>
          </w:p>
        </w:tc>
        <w:tc>
          <w:tcPr>
            <w:tcW w:type="dxa" w:w="1728"/>
          </w:tcPr>
          <w:p>
            <w:r>
              <w:t>URL: https://www.semanticscholar.org/paper/c5b3aba4c130052f56235e7694e6da7d58a9ec6f</w:t>
            </w:r>
          </w:p>
        </w:tc>
        <w:tc>
          <w:tcPr>
            <w:tcW w:type="dxa" w:w="1728"/>
          </w:tcPr>
          <w:p>
            <w:r>
              <w:t>query_used: needs assessment methodology for government service agencies</w:t>
            </w:r>
          </w:p>
        </w:tc>
        <w:tc>
          <w:tcPr>
            <w:tcW w:type="dxa" w:w="1728"/>
          </w:tcPr>
          <w:p>
            <w:r>
              <w:t>How to use: Use in Section 1 (Methodology) to validate the hierarchical assessment approach: functions → roles → capacity requirements. Cite the WHO self-assessment survey methodology as a precedent for the maturity assessment tool design. Use the variability finding to justify individualized gap analysis over generic benchmarking.</w:t>
              <w:br/>
              <w:t>Key finding: تعزيز قدرات الحوكمة يجب أن يتبع تسلسلاً منطقياً: تحديد الوظائف الأساسية أولاً، ثم تعريف الأدوار المتوقعة، ثم تحديد العوامل النظامية العليا ومتطلبات القدرات الفرعية. التباين الكبير في القدرات المؤسسية بين الوحدات من نفس النوع يُثبت الحاجة لتحليل فجوات فردي بدلاً من معايير مرجعية عامة. هذا يدعم المنهجية المقترحة من خلال توفير تسلسل تقييم مُثبت يضمن أن تحليل الفجوات مُخصص لسياق الجهة بدلاً من تطبيق قوالب جاهزة.</w:t>
            </w:r>
          </w:p>
        </w:tc>
      </w:tr>
      <w:tr>
        <w:tc>
          <w:tcPr>
            <w:tcW w:type="dxa" w:w="1728"/>
          </w:tcPr>
          <w:p>
            <w:r>
              <w:t>EXT-009</w:t>
            </w:r>
          </w:p>
        </w:tc>
        <w:tc>
          <w:tcPr>
            <w:tcW w:type="dxa" w:w="1728"/>
          </w:tcPr>
          <w:p>
            <w:r>
              <w:t>Fostering Collaboration in City Governments' Sustainability, Emergency Management and Resilience Work Through Competency-Based Capacity Building</w:t>
            </w:r>
          </w:p>
        </w:tc>
        <w:tc>
          <w:tcPr>
            <w:tcW w:type="dxa" w:w="1728"/>
          </w:tcPr>
          <w:p>
            <w:r>
              <w:t>Academic Paper (2021)</w:t>
              <w:br/>
              <w:t>Provider: Semantic Scholar</w:t>
            </w:r>
          </w:p>
        </w:tc>
        <w:tc>
          <w:tcPr>
            <w:tcW w:type="dxa" w:w="1728"/>
          </w:tcPr>
          <w:p>
            <w:r>
              <w:t>Primary — peer-reviewed</w:t>
            </w:r>
          </w:p>
        </w:tc>
        <w:tc>
          <w:tcPr>
            <w:tcW w:type="dxa" w:w="1728"/>
          </w:tcPr>
          <w:p>
            <w:r>
              <w:t>capacity building and training design</w:t>
            </w:r>
          </w:p>
        </w:tc>
      </w:tr>
      <w:tr>
        <w:tc>
          <w:tcPr>
            <w:tcW w:type="dxa" w:w="1728"/>
          </w:tcPr>
          <w:p>
            <w:r>
              <w:t>evidence_class: international_benchmark</w:t>
            </w:r>
          </w:p>
        </w:tc>
        <w:tc>
          <w:tcPr>
            <w:tcW w:type="dxa" w:w="1728"/>
          </w:tcPr>
          <w:p>
            <w:r>
              <w:t>authors: Susila Bhagavathula, Katja Brundiers, M. Stauffacher, B. Kay</w:t>
              <w:br/>
              <w:t>selection_method: search_hit</w:t>
            </w:r>
          </w:p>
        </w:tc>
        <w:tc>
          <w:tcPr>
            <w:tcW w:type="dxa" w:w="1728"/>
          </w:tcPr>
          <w:p>
            <w:r>
              <w:t>URL: https://www.semanticscholar.org/paper/1520542e291fc93f19b46cea20bc2cfeacff907b</w:t>
            </w:r>
          </w:p>
        </w:tc>
        <w:tc>
          <w:tcPr>
            <w:tcW w:type="dxa" w:w="1728"/>
          </w:tcPr>
          <w:p>
            <w:r>
              <w:t>query_used: capacity building frameworks for government institutional development</w:t>
            </w:r>
          </w:p>
        </w:tc>
        <w:tc>
          <w:tcPr>
            <w:tcW w:type="dxa" w:w="1728"/>
          </w:tcPr>
          <w:p>
            <w:r>
              <w:t>How to use: Use in Section 3 (Training &amp; Knowledge Transfer) to validate the competency-based training design approach. Cite the pre-post survey methodology as the basis for training M&amp;E indicators. Use the 'institutional work' concept to justify the side-by-side work component as a structural change mechanism.</w:t>
              <w:br/>
              <w:t>Key finding: برامج بناء القدرات القائمة على الكفاءات تُعزز التعاون بين الإدارات الحكومية، ودمج مجموعات كفاءات متعددة في برنامج تدريبي موحد يُنتج نتائج تعاون أفضل من الجلسات المنعزلة. التعاون طويل المدى يتطلب تضمين بناء القدرات في 'العمل المؤسسي' للتأثير على الهياكل الإدارية. هذا يدعم تصميم مكون التدريب من خلال تبرير نهج العمل جنباً إلى جنب كآلية تغيير هيكلي وليس مجرد نقل معرفة، مع توفير منهجية تقييم قبلي-بعدي لمؤشرات فعالية التدريب.</w:t>
            </w:r>
          </w:p>
        </w:tc>
      </w:tr>
      <w:tr>
        <w:tc>
          <w:tcPr>
            <w:tcW w:type="dxa" w:w="1728"/>
          </w:tcPr>
          <w:p>
            <w:r>
              <w:t>EXT-010</w:t>
            </w:r>
          </w:p>
        </w:tc>
        <w:tc>
          <w:tcPr>
            <w:tcW w:type="dxa" w:w="1728"/>
          </w:tcPr>
          <w:p>
            <w:r>
              <w:t>Digital Government: Business Model Development for Public Value Creation — A Dynamic Capabilities Based Framework</w:t>
            </w:r>
          </w:p>
        </w:tc>
        <w:tc>
          <w:tcPr>
            <w:tcW w:type="dxa" w:w="1728"/>
          </w:tcPr>
          <w:p>
            <w:r>
              <w:t>Academic Paper (2021)</w:t>
              <w:br/>
              <w:t>Provider: Semantic Scholar</w:t>
            </w:r>
          </w:p>
        </w:tc>
        <w:tc>
          <w:tcPr>
            <w:tcW w:type="dxa" w:w="1728"/>
          </w:tcPr>
          <w:p>
            <w:r>
              <w:t>Primary — peer-reviewed</w:t>
            </w:r>
          </w:p>
        </w:tc>
        <w:tc>
          <w:tcPr>
            <w:tcW w:type="dxa" w:w="1728"/>
          </w:tcPr>
          <w:p>
            <w:r>
              <w:t>service portfolio and framework design</w:t>
            </w:r>
          </w:p>
        </w:tc>
      </w:tr>
      <w:tr>
        <w:tc>
          <w:tcPr>
            <w:tcW w:type="dxa" w:w="1728"/>
          </w:tcPr>
          <w:p>
            <w:r>
              <w:t>evidence_class: international_benchmark</w:t>
            </w:r>
          </w:p>
        </w:tc>
        <w:tc>
          <w:tcPr>
            <w:tcW w:type="dxa" w:w="1728"/>
          </w:tcPr>
          <w:p>
            <w:r>
              <w:t>authors: B. Wirtz, P. Langer, Florian W. Schmidt</w:t>
              <w:br/>
              <w:t>selection_method: search_hit</w:t>
            </w:r>
          </w:p>
        </w:tc>
        <w:tc>
          <w:tcPr>
            <w:tcW w:type="dxa" w:w="1728"/>
          </w:tcPr>
          <w:p>
            <w:r>
              <w:t>URL: https://www.semanticscholar.org/paper/f8404eac81987e04f4059c8912e9bb7b048b1960</w:t>
            </w:r>
          </w:p>
        </w:tc>
        <w:tc>
          <w:tcPr>
            <w:tcW w:type="dxa" w:w="1728"/>
          </w:tcPr>
          <w:p>
            <w:r>
              <w:t>query_used: service portfolio design framework for public agencies</w:t>
            </w:r>
          </w:p>
        </w:tc>
        <w:tc>
          <w:tcPr>
            <w:tcW w:type="dxa" w:w="1728"/>
          </w:tcPr>
          <w:p>
            <w:r>
              <w:t>How to use: Use in Section 2 (Framework Design) to validate the service design methodology using dynamic capabilities theory. Cite the operational readiness concept to bridge the assessment (Section 1) and design (Section 2) phases. Use the public value creation metric to frame the outputs definition.</w:t>
              <w:br/>
              <w:t>Key finding: نظرية القدرات الديناميكية المُطبقة على تصميم الخدمات الحكومية تُمكّن الجهات من تكييف محافظ خدماتها مع احتياجات أصحاب المصلحة المتغيرة، وتقييم الجاهزية التشغيلية شرط مسبق لتطوير نماذج الخدمات. هذا يدعم منهجية تصميم الأُطر المقترحة من خلال توفير أساس نظري لتصميم برامج أخلاقيات الذكاء الاصطناعي التكيفية التي تستجيب للتطورات في المشهد الدولي مع الحفاظ على التوافق مع الولاية المؤسسية.</w:t>
            </w:r>
          </w:p>
        </w:tc>
      </w:tr>
      <w:tr>
        <w:tc>
          <w:tcPr>
            <w:tcW w:type="dxa" w:w="1728"/>
          </w:tcPr>
          <w:p>
            <w:r>
              <w:t>EXT-011</w:t>
            </w:r>
          </w:p>
        </w:tc>
        <w:tc>
          <w:tcPr>
            <w:tcW w:type="dxa" w:w="1728"/>
          </w:tcPr>
          <w:p>
            <w:r>
              <w:t>Reducing the Gap Between Rhetoric and Reality: Use of Digital Service Standards for Public Service Innovation Through Digital Transformation in Australia</w:t>
            </w:r>
          </w:p>
        </w:tc>
        <w:tc>
          <w:tcPr>
            <w:tcW w:type="dxa" w:w="1728"/>
          </w:tcPr>
          <w:p>
            <w:r>
              <w:t>Academic Paper (2023)</w:t>
              <w:br/>
              <w:t>Provider: Semantic Scholar</w:t>
            </w:r>
          </w:p>
        </w:tc>
        <w:tc>
          <w:tcPr>
            <w:tcW w:type="dxa" w:w="1728"/>
          </w:tcPr>
          <w:p>
            <w:r>
              <w:t>Primary — peer-reviewed</w:t>
            </w:r>
          </w:p>
        </w:tc>
        <w:tc>
          <w:tcPr>
            <w:tcW w:type="dxa" w:w="1728"/>
          </w:tcPr>
          <w:p>
            <w:r>
              <w:t>framework design and monitoring</w:t>
            </w:r>
          </w:p>
        </w:tc>
      </w:tr>
      <w:tr>
        <w:tc>
          <w:tcPr>
            <w:tcW w:type="dxa" w:w="1728"/>
          </w:tcPr>
          <w:p>
            <w:r>
              <w:t>evidence_class: international_benchmark</w:t>
            </w:r>
          </w:p>
        </w:tc>
        <w:tc>
          <w:tcPr>
            <w:tcW w:type="dxa" w:w="1728"/>
          </w:tcPr>
          <w:p>
            <w:r>
              <w:t>authors: Eric Patterson, Renu Agarwal</w:t>
              <w:br/>
              <w:t>selection_method: search_hit</w:t>
            </w:r>
          </w:p>
        </w:tc>
        <w:tc>
          <w:tcPr>
            <w:tcW w:type="dxa" w:w="1728"/>
          </w:tcPr>
          <w:p>
            <w:r>
              <w:t>URL: https://www.semanticscholar.org/paper/8183ddb62cf943f4abd49dfba9750e429e75fa6c</w:t>
            </w:r>
          </w:p>
        </w:tc>
        <w:tc>
          <w:tcPr>
            <w:tcW w:type="dxa" w:w="1728"/>
          </w:tcPr>
          <w:p>
            <w:r>
              <w:t>query_used: service portfolio design framework for public agencies</w:t>
            </w:r>
          </w:p>
        </w:tc>
        <w:tc>
          <w:tcPr>
            <w:tcW w:type="dxa" w:w="1728"/>
          </w:tcPr>
          <w:p>
            <w:r>
              <w:t>How to use: Use in Section 2 (Framework Design) to validate the stages-and-gates approach for the AI ethics program framework. Cite the Innovation Portfolio Management model to justify differentiated program design for different maturity levels. Use the transparency and reporting findings to strengthen the M&amp;E indicators section.</w:t>
              <w:br/>
              <w:t>Key finding: معايير الخدمات الرقمية التي تستخدم عمليات المراحل والبوابات (stages-and-gates) تُجسد إدارة عمليات الابتكار في الحكومة، لكن محدودية التبني في الجهات الكبيرة بسبب قيود التصميم تُبرز الحاجة للتخصيص المؤسسي. التمييز بين معايير الابتكار التدريجي والتحويلي يُمكّن من تصميم برامج متمايزة حسب مستوى النضج. هذا يدعم تصميم إطار العمل المقترح من خلال تبرير نهج المراحل والبوابات مع التخصيص حسب مستوى نضج كل برنامج وتجنب النهج الموحد الذي أثبت محدوديته.</w:t>
            </w:r>
          </w:p>
        </w:tc>
      </w:tr>
      <w:tr>
        <w:tc>
          <w:tcPr>
            <w:tcW w:type="dxa" w:w="1728"/>
          </w:tcPr>
          <w:p>
            <w:r>
              <w:t>EXT-012</w:t>
            </w:r>
          </w:p>
        </w:tc>
        <w:tc>
          <w:tcPr>
            <w:tcW w:type="dxa" w:w="1728"/>
          </w:tcPr>
          <w:p>
            <w:r>
              <w:t>Evaluating and Improving the Contributions of University Research to Social Innovation</w:t>
            </w:r>
          </w:p>
        </w:tc>
        <w:tc>
          <w:tcPr>
            <w:tcW w:type="dxa" w:w="1728"/>
          </w:tcPr>
          <w:p>
            <w:r>
              <w:t>Academic Paper (2021)</w:t>
              <w:br/>
              <w:t>Provider: Semantic Scholar</w:t>
            </w:r>
          </w:p>
        </w:tc>
        <w:tc>
          <w:tcPr>
            <w:tcW w:type="dxa" w:w="1728"/>
          </w:tcPr>
          <w:p>
            <w:r>
              <w:t>Primary — peer-reviewed</w:t>
            </w:r>
          </w:p>
        </w:tc>
        <w:tc>
          <w:tcPr>
            <w:tcW w:type="dxa" w:w="1728"/>
          </w:tcPr>
          <w:p>
            <w:r>
              <w:t>research program evaluation and M&amp;E framework</w:t>
            </w:r>
          </w:p>
        </w:tc>
      </w:tr>
      <w:tr>
        <w:tc>
          <w:tcPr>
            <w:tcW w:type="dxa" w:w="1728"/>
          </w:tcPr>
          <w:p>
            <w:r>
              <w:t>evidence_class: international_benchmark</w:t>
            </w:r>
          </w:p>
        </w:tc>
        <w:tc>
          <w:tcPr>
            <w:tcW w:type="dxa" w:w="1728"/>
          </w:tcPr>
          <w:p>
            <w:r>
              <w:t>authors: B. Belcher, R. Claus, R. Davel, Stephanie M. Jones</w:t>
              <w:br/>
              <w:t>selection_method: search_hit</w:t>
            </w:r>
          </w:p>
        </w:tc>
        <w:tc>
          <w:tcPr>
            <w:tcW w:type="dxa" w:w="1728"/>
          </w:tcPr>
          <w:p>
            <w:r>
              <w:t>URL: https://www.semanticscholar.org/paper/0067429572cf11207a7ce28bad24e3d91f0fa176</w:t>
            </w:r>
          </w:p>
        </w:tc>
        <w:tc>
          <w:tcPr>
            <w:tcW w:type="dxa" w:w="1728"/>
          </w:tcPr>
          <w:p>
            <w:r>
              <w:t>query_used: how do government agencies implement Development UNESCO programs research ethics</w:t>
            </w:r>
          </w:p>
        </w:tc>
        <w:tc>
          <w:tcPr>
            <w:tcW w:type="dxa" w:w="1728"/>
          </w:tcPr>
          <w:p>
            <w:r>
              <w:t>How to use: Use in Section 3 (M&amp;E) to validate the Theory of Change approach for the monitoring framework. Cite the finding that process contributions equal knowledge contributions to justify the training investment. Use the transdisciplinary research finding to support the multi-stakeholder cooperation mechanisms design.</w:t>
              <w:br/>
              <w:t>Key finding: المساهمات العملية (بناء القدرات، بناء العلاقات، التمكين) تُعادل أو تفوق أهمية المساهمات المعرفية في البرامج البحثية، والمشاريع الأكثر تعددية للتخصصات تُنتج نتائج أكثر وضوحاً. أُطر نظرية التغيير ذات المسارات السببية الصريحة هي النهج الموصى به لتقييم البرامج البحثية. هذا يدعم تصميم إطار المتابعة والتقييم من خلال توفير منطق سببي يربط المدخلات بالمخرجات والنتائج، مع تبرير الاستثمار في مكون التدريب كمساهمة عملية ذات أثر مُعادل للمخرجات المعرفية.</w:t>
            </w:r>
          </w:p>
        </w:tc>
      </w:tr>
      <w:tr>
        <w:tc>
          <w:tcPr>
            <w:tcW w:type="dxa" w:w="1728"/>
          </w:tcPr>
          <w:p>
            <w:r>
              <w:t>EXT-013</w:t>
            </w:r>
          </w:p>
        </w:tc>
        <w:tc>
          <w:tcPr>
            <w:tcW w:type="dxa" w:w="1728"/>
          </w:tcPr>
          <w:p>
            <w:r>
              <w:t>Automatic SDG Budget Tagging: Building Public Financial Management Capacity Through Natural Language Processing</w:t>
            </w:r>
          </w:p>
        </w:tc>
        <w:tc>
          <w:tcPr>
            <w:tcW w:type="dxa" w:w="1728"/>
          </w:tcPr>
          <w:p>
            <w:r>
              <w:t>Academic Paper (2023)</w:t>
              <w:br/>
              <w:t>Provider: Semantic Scholar</w:t>
            </w:r>
          </w:p>
        </w:tc>
        <w:tc>
          <w:tcPr>
            <w:tcW w:type="dxa" w:w="1728"/>
          </w:tcPr>
          <w:p>
            <w:r>
              <w:t>Primary — peer-reviewed</w:t>
            </w:r>
          </w:p>
        </w:tc>
        <w:tc>
          <w:tcPr>
            <w:tcW w:type="dxa" w:w="1728"/>
          </w:tcPr>
          <w:p>
            <w:r>
              <w:t>SDG linkage and AI program alignment</w:t>
            </w:r>
          </w:p>
        </w:tc>
      </w:tr>
      <w:tr>
        <w:tc>
          <w:tcPr>
            <w:tcW w:type="dxa" w:w="1728"/>
          </w:tcPr>
          <w:p>
            <w:r>
              <w:t>evidence_class: international_benchmark</w:t>
            </w:r>
          </w:p>
        </w:tc>
        <w:tc>
          <w:tcPr>
            <w:tcW w:type="dxa" w:w="1728"/>
          </w:tcPr>
          <w:p>
            <w:r>
              <w:t>authors: Daniele Guariso, Omar A. Guerrero, Gonzalo Castañeda</w:t>
              <w:br/>
              <w:t>selection_method: search_hit</w:t>
            </w:r>
          </w:p>
        </w:tc>
        <w:tc>
          <w:tcPr>
            <w:tcW w:type="dxa" w:w="1728"/>
          </w:tcPr>
          <w:p>
            <w:r>
              <w:t>URL: https://www.semanticscholar.org/paper/d0cc0fa35500364203b24f009eb8ab26b9f06adb</w:t>
            </w:r>
          </w:p>
        </w:tc>
        <w:tc>
          <w:tcPr>
            <w:tcW w:type="dxa" w:w="1728"/>
          </w:tcPr>
          <w:p>
            <w:r>
              <w:t>query_used: how do government agencies implement Development UNESCO programs research ethics</w:t>
            </w:r>
          </w:p>
        </w:tc>
        <w:tc>
          <w:tcPr>
            <w:tcW w:type="dxa" w:w="1728"/>
          </w:tcPr>
          <w:p>
            <w:r>
              <w:t>How to use: Use in Section 2 (Framework Design) to validate the SDG linkage methodology and cite the B4SDGs framework as a reference model. Use the institutional capacity finding to justify the training component as essential for sustainable SDG alignment. Reference in the gap identification section to flag data infrastructure as a common gap.</w:t>
              <w:br/>
              <w:t>Key finding: دمج أهداف التنمية المستدامة في أنظمة الإدارة المالية العامة شرط مسبق لمواءمة أولويات التنمية الوطنية مع أجندة 2030، لكن الحكومات لا يمكنها الاعتماد فقط على أدوات الذكاء الاصطناعي ويجب أن تستثمر في القدرات المؤسسية. يوفر إطار B4SDGs نهجاً هيكلياً لدمج أهداف التنمية المستدامة. هذا يدعم تصميم آلية ربط البرامج بأهداف التنمية المستدامة من خلال تبرير الحاجة لبناء قدرات مؤسسية مستدامة وليس مجرد أدوات تقنية، مع توفير نموذج مرجعي لتصميم آلية الربط.</w:t>
            </w:r>
          </w:p>
        </w:tc>
      </w:tr>
      <w:tr>
        <w:tc>
          <w:tcPr>
            <w:tcW w:type="dxa" w:w="1728"/>
          </w:tcPr>
          <w:p>
            <w:r>
              <w:t>EXT-014</w:t>
            </w:r>
          </w:p>
        </w:tc>
        <w:tc>
          <w:tcPr>
            <w:tcW w:type="dxa" w:w="1728"/>
          </w:tcPr>
          <w:p>
            <w:r>
              <w:t>Capacity Building of Government Officials in the Implementation of Electronic-Based Government Systems</w:t>
            </w:r>
          </w:p>
        </w:tc>
        <w:tc>
          <w:tcPr>
            <w:tcW w:type="dxa" w:w="1728"/>
          </w:tcPr>
          <w:p>
            <w:r>
              <w:t>Academic Paper (2026)</w:t>
              <w:br/>
              <w:t>Provider: Semantic Scholar</w:t>
            </w:r>
          </w:p>
        </w:tc>
        <w:tc>
          <w:tcPr>
            <w:tcW w:type="dxa" w:w="1728"/>
          </w:tcPr>
          <w:p>
            <w:r>
              <w:t>Primary — peer-reviewed</w:t>
            </w:r>
          </w:p>
        </w:tc>
        <w:tc>
          <w:tcPr>
            <w:tcW w:type="dxa" w:w="1728"/>
          </w:tcPr>
          <w:p>
            <w:r>
              <w:t>capacity building and institutional strengthening</w:t>
            </w:r>
          </w:p>
        </w:tc>
      </w:tr>
      <w:tr>
        <w:tc>
          <w:tcPr>
            <w:tcW w:type="dxa" w:w="1728"/>
          </w:tcPr>
          <w:p>
            <w:r>
              <w:t>evidence_class: international_benchmark</w:t>
            </w:r>
          </w:p>
        </w:tc>
        <w:tc>
          <w:tcPr>
            <w:tcW w:type="dxa" w:w="1728"/>
          </w:tcPr>
          <w:p>
            <w:r>
              <w:t>authors: Abdi Susanto, Amirul Mustofa, Sedarmayanti, D. Ferriswara</w:t>
              <w:br/>
              <w:t>selection_method: search_hit</w:t>
            </w:r>
          </w:p>
        </w:tc>
        <w:tc>
          <w:tcPr>
            <w:tcW w:type="dxa" w:w="1728"/>
          </w:tcPr>
          <w:p>
            <w:r>
              <w:t>URL: https://www.semanticscholar.org/paper/425da0196fd5463c15cd1d45aebf00cf534f8bf0</w:t>
            </w:r>
          </w:p>
        </w:tc>
        <w:tc>
          <w:tcPr>
            <w:tcW w:type="dxa" w:w="1728"/>
          </w:tcPr>
          <w:p>
            <w:r>
              <w:t>query_used: capacity building frameworks for government institutional development</w:t>
            </w:r>
          </w:p>
        </w:tc>
        <w:tc>
          <w:tcPr>
            <w:tcW w:type="dxa" w:w="1728"/>
          </w:tcPr>
          <w:p>
            <w:r>
              <w:t>How to use: Use in Section 3 (Training &amp; Knowledge Transfer) to validate the two-track capacity building approach. Cite the internal assessor team model as the target end-state for the knowledge transfer component. Use the follow-up failure finding to justify the side-by-side work methodology as a post-workshop reinforcement mechanism.</w:t>
              <w:br/>
              <w:t>Key finding: استراتيجية بناء القدرات ذات المسارين (تطوير الموارد البشرية + التعزيز المؤسسي) تُنتج نتائج أكثر استدامة، وتأسيس فريق مقيّمين داخلي يُمكّن المنظمة من إجراء المتابعة والتقييم وضمان الجودة بشكل مستقل. غياب المتابعة بعد التدريب هو نمط فشل حرج يُضعف أثر الاستثمار التدريبي. هذا يدعم تصميم مكون التدريب من خلال تبرير نهج المسارين المتوازيين وتحديد العمل جنباً إلى جنب كآلية تعزيز ما بعد ورش العمل لمعالجة نمط الفشل المُوثّق.</w:t>
            </w:r>
          </w:p>
        </w:tc>
      </w:tr>
      <w:tr>
        <w:tc>
          <w:tcPr>
            <w:tcW w:type="dxa" w:w="1728"/>
          </w:tcPr>
          <w:p>
            <w:r>
              <w:t>EXT-015</w:t>
            </w:r>
          </w:p>
        </w:tc>
        <w:tc>
          <w:tcPr>
            <w:tcW w:type="dxa" w:w="1728"/>
          </w:tcPr>
          <w:p>
            <w:r>
              <w:t>Assessing the Influence of Knowledge Translation Platforms on Health System Policy Processes</w:t>
            </w:r>
          </w:p>
        </w:tc>
        <w:tc>
          <w:tcPr>
            <w:tcW w:type="dxa" w:w="1728"/>
          </w:tcPr>
          <w:p>
            <w:r>
              <w:t>Academic Paper (2018)</w:t>
              <w:br/>
              <w:t>Provider: Semantic Scholar</w:t>
            </w:r>
          </w:p>
        </w:tc>
        <w:tc>
          <w:tcPr>
            <w:tcW w:type="dxa" w:w="1728"/>
          </w:tcPr>
          <w:p>
            <w:r>
              <w:t>Primary — peer-reviewed</w:t>
            </w:r>
          </w:p>
        </w:tc>
        <w:tc>
          <w:tcPr>
            <w:tcW w:type="dxa" w:w="1728"/>
          </w:tcPr>
          <w:p>
            <w:r>
              <w:t>knowledge transfer and cooperation mechanisms</w:t>
            </w:r>
          </w:p>
        </w:tc>
      </w:tr>
      <w:tr>
        <w:tc>
          <w:tcPr>
            <w:tcW w:type="dxa" w:w="1728"/>
          </w:tcPr>
          <w:p>
            <w:r>
              <w:t>evidence_class: international_benchmark</w:t>
            </w:r>
          </w:p>
        </w:tc>
        <w:tc>
          <w:tcPr>
            <w:tcW w:type="dxa" w:w="1728"/>
          </w:tcPr>
          <w:p>
            <w:r>
              <w:t>authors: P. Ongolo-Zogo, J. Lavis, G. Tomson, N. Sewankambo</w:t>
              <w:br/>
              <w:t>selection_method: search_hit</w:t>
            </w:r>
          </w:p>
        </w:tc>
        <w:tc>
          <w:tcPr>
            <w:tcW w:type="dxa" w:w="1728"/>
          </w:tcPr>
          <w:p>
            <w:r>
              <w:t>URL: https://www.semanticscholar.org/paper/cbfd52703e4c51261747eda14325d5be58332dc8</w:t>
            </w:r>
          </w:p>
        </w:tc>
        <w:tc>
          <w:tcPr>
            <w:tcW w:type="dxa" w:w="1728"/>
          </w:tcPr>
          <w:p>
            <w:r>
              <w:t>query_used: needs assessment methodology for government service agencies</w:t>
            </w:r>
          </w:p>
        </w:tc>
        <w:tc>
          <w:tcPr>
            <w:tcW w:type="dxa" w:w="1728"/>
          </w:tcPr>
          <w:p>
            <w:r>
              <w:t>How to use: Use in Section 2 (Cooperation Mechanisms) to validate the co-production and stakeholder dialogue approach. Cite the three KTP roles (capacity building, evidence synthesis, clearinghouse) as a model for the cooperation mechanism design. Use the embedded institution finding to justify the side-by-side work methodology.</w:t>
              <w:br/>
              <w:t>Key finding: الإنتاج المشترك لملخصات الأدلة مع حوارات أصحاب المصلحة الشاملة أكثر فعالية من نقل المعرفة من أعلى لأسفل في التأثير على قرارات السياسات الحكومية. منصات ترجمة المعرفة المُستضافة في مؤسسات حكومية لها تأثير أكبر من المنصات الخارجية. هذا يدعم تصميم آليات التعاون من خلال تبرير نهج الإنتاج المشترك والحوار الشامل، مع تأكيد أن نهج العمل المُضمّن (جنباً إلى جنب) أكثر فعالية من الاستشارات الخارجية التقليدية.</w:t>
            </w:r>
          </w:p>
        </w:tc>
      </w:tr>
    </w:tbl>
    <w:p/>
    <w:p>
      <w:pPr>
        <w:pStyle w:val="Heading2"/>
      </w:pPr>
      <w:r>
        <w:t>Coverage Assessment &amp; Evidence Gaps</w:t>
      </w:r>
    </w:p>
    <w:p>
      <w:r>
        <w:t>أولاً — تقييم التغطية حسب نطاقات العمل الثلاثة:</w:t>
        <w:br/>
        <w:t xml:space="preserve"> النطاق الأول (تقييم الوضع الراهن — D-1: تحليل الأداء، تقييم النضج، تحديد الفجوات، خارطة الطريق، المؤشرات): يتمتع بأقوى تغطية في حزمة الأدلة الخارجية. ستة مصادر تدعم هذا النطاق بشكل مباشر: إطار التقارير الدورية لليونسكو [EXT-003] يوفر مؤشرات مرجعية معتمدة دولياً لتصميم إطار المتابعة والتقييم؛ إطار الأبعاد الثمانية لجاهزية الذكاء الاصطناعي [EXT-007] يُقدم هيكل تقييم نضج شامل عبر نموذج TOE مُصمم للسياق الحكومي؛ منهجية التقييم الهرمي لمنظمة الصحة العالمية [EXT-008] توفر تسلسلاً تشخيصياً مُثبتاً عبر عشر دول (الوظائف ← الأدوار ← القدرات)؛ إطار البنك الدولي CISF [EXT-004] يُرسي منطق الأولوية المبني على القدرات الفعلية؛ ومنهجية الأونكتاد [EXT-005] تُعزز النهج المرحلي في ترتيب التدخلات. هذه المصادر مجتمعة تُشكّل أساساً منهجياً متعدد الطبقات يُمكّن من تصميم أداة تقييم ذات مصداقية دولية. يُوصى باستخدام [EXT-003] و[EXT-007] و[EXT-008] كمراجع أولية في قسم المنهجية، مع [EXT-004] و[EXT-005] كدعم تكميلي لمنطق الأولويات. النطاق الثاني (تطوير البرامج — D-2: المبادرات، أُطر العمل، نطاق الأعمال، المخرجات، آليات التعاون، ربط أهداف التنمية المستدامة): يتمتع بتغطية جيدة مع فجوات محددة يجب الإفصاح عنها. نماذج برامج اليونسكو التشغيلية [EXT-002] توفر قوالب مُثبتة لتصميم المبادرات (EEP، ABC، GEObs) وهي الأكثر صلة مباشرة بالسياق المؤسسي لليونسكو. إطار القدرات الديناميكية [EXT-010] يدعم تصميم محافظ الخدمات التكيفية. نموذج معايير الخدمات الرقمية الأسترالي [EXT-011] يُقدم نهج المراحل والبوابات لإدارة الابتكار مع دروس حول أنماط الفشل. بحث مواءمة أهداف التنمية المستدامة [EXT-013] يُبرر منهجية الربط مع أجندة 2030 ويُحذر من الاعتماد على الأدوات التقنية وحدها. نموذج منصات ترجمة المعرفة [EXT-015] يدعم تصميم آليات التعاون الدولي عبر نهج الإنتاج المشترك. الفجوة الرئيسية في هذا النطاق: لا توجد دراسات حالة لتصميم برامج أخلاقيات الذكاء الاصطناعي في سياقات حكومية عربية أو خليجية — جميع الأدلة دولية وتُستخدم بالقياس. النطاق الثالث (التدريب ونقل المعرفة — D-3): يتمتع بتغطية قوية ومتنوعة تدعم جميع الأنماط التدريبية المطلوبة في المنافسة (التدريب أثناء العمل، العمل جنباً إلى جنب، ورش العمل). إطار APQC [EXT-006] يوفر منهجية من أربع خطوات مُصممة للقطاع الحكومي مع تركيز على إدارة التغيير. بناء القدرات القائم على الكفاءات [EXT-009] يُقدم دليلاً تجريبياً مع منهجية تقييم قبلي-بعدي. نموذج فريق المقيّمين الداخليين [EXT-014] يُحدد الحالة المستهدفة لاستدامة نقل المعرفة. نظرية التغيير [EXT-012] توفر إطار تقييم لقياس الأثر طويل المدى. ثانياً — فجوات الأدلة الخارجية الحرجة (مُصنّفة حسب الأولوية):</w:t>
        <w:br/>
        <w:t xml:space="preserve"> (1) غياب أدلة محلية سعودية أو خليجية (LOCAL_PUBLIC_EVIDENCE): لا توجد في الحزمة أي أدلة خاصة بالمملكة العربية السعودية أو دول مجلس التعاون الخليجي حول حوكمة أخلاقيات الذكاء الاصطناعي أو تنفيذ برامج اليونسكو. هذا قيد معروف في محركات البحث الدولية (Perplexity وSemantic Scholar) وليس فشلاً في جمع الأدلة — يجب تعويضه بالمعرفة المؤسسية الداخلية من المحرك الثاني. (2) غياب دراسات حالة تطبيقية لمنهجية تقييم جاهزية الذكاء الاصطناعي (RAM) الخاصة باليونسكو: الأداة مُشار إليها في الأدبيات لكن تطبيقها العملي في سياقات حكومية غير مُوثّق في المصادر المتاحة. (3) غياب أدلة حول تصميم آليات تعاون بين جهات حكومية ومنظمات دولية في مجال أخلاقيات التكنولوجيا والذكاء الاصطناعي تحديداً — الأدلة المتاحة [EXT-015] من قطاع الصحة وتُستخدم بالقياس. (4) غياب أدلة حول تصميم اتفاقيات مستوى الخدمة للجهات الحكومية في سياق برامج أخلاقيات الذكاء الاصطناعي. ثالثاً — أولويات استخدام الأدلة في العرض الفني:</w:t>
        <w:br/>
        <w:t xml:space="preserve"> الأدلة الأولية (PRIMARY — قابلة للاستخدام المباشر في تصميم المنهجية): [EXT-002] و[EXT-003] كمراجع مؤسسية لليونسكو تُظهر الإلمام بالبنية المؤسسية؛ [EXT-004] لمنطق الأولويات المبني على القدرات؛ [EXT-006] لتصميم مكون نقل المعرفة؛ [EXT-007] لإطار تقييم النضج متعدد الأبعاد؛ [EXT-008] للتسلسل التشخيصي الهرمي. هذه المصادر الستة تُشكّل العمود الفقري المنهجي للعرض. الأدلة الثانوية (SECONDARY — دعم تكميلي لادعاءات محددة): [EXT-005] لتعزيز النهج المرحلي وربط أهداف التنمية المستدامة؛ [EXT-009] لمنهجية التقييم القبلي-البعدي للتدريب؛ [EXT-010] للأساس النظري لتصميم محافظ الخدمات؛ [EXT-011] لنهج المراحل والبوابات؛ [EXT-012] لإطار نظرية التغيير؛ [EXT-013] لمنهجية ربط أهداف التنمية المستدامة؛ [EXT-014] لنموذج فريق المقيّمين الداخليين؛ [EXT-015] لتصميم آليات التعاون. تُستخدم هذه المصادر لتعزيز ادعاءات محددة مع الالتزام بقاعدة عدم تجاوز ثلاثة استشهادات خارجية لكل ادعاء منهجي. قاعدة التأطير الإلزامية: جميع الأدلة الخارجية تُؤطَّر كنظائر دولية داعمة للمنهجية المقترحة ('السوابق الدولية [EXT-xxx] تدعم هذا النهج') وليس كإثبات لقدرات المتقدم. الأدلة الخارجية تُرسي المصداقية المنهجية؛ إثبات القدرات المؤسسية مسؤولية المحرك الثاني حصراً.</w:t>
      </w:r>
    </w:p>
    <w:p/>
    <w:p>
      <w:pPr>
        <w:pStyle w:val="Heading3"/>
      </w:pPr>
      <w:r>
        <w:t>Evidence Gap Summary</w:t>
      </w:r>
    </w:p>
    <w:p>
      <w:r>
        <w:rPr>
          <w:b/>
        </w:rPr>
        <w:t xml:space="preserve">❌ Jurisdiction-specific benchmarks: </w:t>
      </w:r>
      <w:r>
        <w:t>No local jurisdiction benchmarks found in external evidence. Engine 2 action: source from client's institutional databases.</w:t>
      </w:r>
    </w:p>
    <w:p>
      <w:r>
        <w:rPr>
          <w:b/>
        </w:rPr>
        <w:t xml:space="preserve">❌ SLA/KPI frameworks: </w:t>
      </w:r>
      <w:r>
        <w:t>No specific service level agreement frameworks found. Engine 2 action: source from client's existing SLA framework.</w:t>
      </w:r>
    </w:p>
    <w:p>
      <w:r>
        <w:rPr>
          <w:b/>
        </w:rPr>
        <w:t xml:space="preserve">❌ National program alignment: </w:t>
      </w:r>
      <w:r>
        <w:t>Limited evidence on jurisdiction-specific national programs. Engine 2 action: source from relevant national program documentation.</w:t>
      </w:r>
    </w:p>
    <w:p/>
    <w:p>
      <w:pPr>
        <w:pStyle w:val="Heading2"/>
      </w:pPr>
      <w:r>
        <w:t>Search Strategy Summary</w:t>
      </w:r>
    </w:p>
    <w:p>
      <w:r>
        <w:t>The external evidence search yielded 14 retained source(s) across 3 evidence class(es). Queries were constructed from RFP themes, sector keywords, and compliance requirements to maximise coverage of the proposal's argument structure.</w:t>
      </w:r>
    </w:p>
    <w:p>
      <w:r>
        <w:rPr>
          <w:b/>
        </w:rPr>
        <w:t xml:space="preserve">Evidence class distribution: </w:t>
      </w:r>
      <w:r>
        <w:t>Framework (4), Industry Report (1), Academic Paper (9).</w:t>
      </w:r>
    </w:p>
    <w:p>
      <w:r>
        <w:t>Tier breakdown: 10 primary source(s), 4 secondary source(s). Coverage gaps are tagged in the Evidence Gap Summary above and flagged for Engine 2 retrieval from company backend databases.</w:t>
      </w:r>
    </w:p>
    <w:p/>
    <w:p>
      <w:pPr>
        <w:pStyle w:val="Heading2"/>
      </w:pPr>
      <w:r>
        <w:t>Proposal Theme Coverage</w:t>
      </w:r>
    </w:p>
    <w:p>
      <w:r>
        <w:rPr>
          <w:b/>
        </w:rPr>
        <w:t xml:space="preserve">❌ Analogical Domain: </w:t>
      </w:r>
      <w:r>
        <w:t>0 sources — gap</w:t>
      </w:r>
    </w:p>
    <w:p>
      <w:r>
        <w:rPr>
          <w:b/>
        </w:rPr>
        <w:t xml:space="preserve">⚠️ Evaluation &amp; Measurement: </w:t>
      </w:r>
      <w:r>
        <w:t>1 sources — weak</w:t>
      </w:r>
    </w:p>
    <w:p>
      <w:r>
        <w:rPr>
          <w:b/>
        </w:rPr>
        <w:t xml:space="preserve">❌ Institutional Framework: </w:t>
      </w:r>
      <w:r>
        <w:t>0 sources — gap</w:t>
      </w:r>
    </w:p>
    <w:p>
      <w:r>
        <w:rPr>
          <w:b/>
        </w:rPr>
        <w:t xml:space="preserve">⚠️ Institutional Model: </w:t>
      </w:r>
      <w:r>
        <w:t>2 sources — weak</w:t>
      </w:r>
    </w:p>
    <w:p>
      <w:r>
        <w:rPr>
          <w:b/>
        </w:rPr>
        <w:t xml:space="preserve">❌ Local/GCC Public Evidence: </w:t>
      </w:r>
      <w:r>
        <w:t>0 sources — gap</w:t>
      </w:r>
    </w:p>
    <w:p>
      <w:r>
        <w:rPr>
          <w:b/>
        </w:rPr>
        <w:t xml:space="preserve">✅ Core Methodology: </w:t>
      </w:r>
      <w:r>
        <w:t>9 sources — covered</w:t>
      </w:r>
    </w:p>
    <w:p>
      <w:r>
        <w:rPr>
          <w:b/>
        </w:rPr>
        <w:t xml:space="preserve">⚠️ Needs Assessment: </w:t>
      </w:r>
      <w:r>
        <w:t>2 sources — weak</w:t>
      </w:r>
    </w:p>
    <w:p>
      <w:r>
        <w:rPr>
          <w:b/>
        </w:rPr>
        <w:t xml:space="preserve">❌ Pack-Curated Queries: </w:t>
      </w:r>
      <w:r>
        <w:t>0 sources — gap</w:t>
      </w:r>
    </w:p>
    <w:p>
      <w:r>
        <w:rPr>
          <w:b/>
        </w:rPr>
        <w:t xml:space="preserve">❌ Program Design: </w:t>
      </w:r>
      <w:r>
        <w:t>0 sources — gap</w:t>
      </w:r>
    </w:p>
    <w:p>
      <w:r>
        <w:rPr>
          <w:b/>
        </w:rPr>
        <w:t xml:space="preserve">❌ Service Portfolio Design: </w:t>
      </w:r>
      <w:r>
        <w:t>0 sources — gap</w:t>
      </w:r>
    </w:p>
    <w:p>
      <w:r>
        <w:rPr>
          <w:b/>
        </w:rPr>
        <w:t xml:space="preserve">❌ Strategic Support: </w:t>
      </w:r>
      <w:r>
        <w:t>0 sources — gap</w:t>
      </w:r>
    </w:p>
    <w:p>
      <w:r>
        <w:t>Theme coverage is determined by the number and quality of retained external evidence sources mapped to each proposal theme. Gaps indicate areas where additional evidence from Engine 2 or manual research is needed.</w:t>
      </w:r>
    </w:p>
    <w:p>
      <w:pPr>
        <w:pStyle w:val="Heading1"/>
      </w:pPr>
      <w:r>
        <w:t>5. Proposed Solution</w:t>
      </w:r>
    </w:p>
    <w:p>
      <w:pPr>
        <w:pStyle w:val="Heading2"/>
      </w:pPr>
      <w:r>
        <w:t>5.1 Methodology Overview</w:t>
      </w:r>
    </w:p>
    <w:p>
      <w:r>
        <w:t>تتبنى ستراتيجيك جيرز منهجية رباعية المراحل مع مسار حوكمة مستمر مُوحَّد، مُصمَّمة تحديداً لتلبية متطلبات نطاق العمل الثلاثة المنصوص عليها في كراسة الشروط: تقييم الوضع الراهن لبرامج اليونسكو في أخلاقيات الذكاء الاصطناعي وبرامج الأبحاث الدولية (SI-1/D-1)، وتطوير البرامج وتصميم أُطر التعاون الدولي وآليات العمل المشترك مع مختلف الدول (SI-2/D-2)، والتدريب ونقل المعرفة لفريق عمل الهيئة السعودية للبيانات والذكاء الاصطناعي (SI-3/D-3). الهيكل المنهجي المُختار — أربع مراحل متتابعة (تقييم، تصميم، نقل معرفة، تكامل وتسليم) مع مسار حوكمة مستمر — يتفوق على البدائل المنهجية المتاحة لثلاثة أسباب جوهرية: أولاً، البديل الثلاثي المراحل (تقييم-تصميم-تسليم) يدمج نقل المعرفة ضمن مرحلة التسليم مما يُحوّله إلى نشاط ختامي بدلاً من مسار تراكمي — وهذا يتعارض مع متطلب كراسة الشروط الصريح بالتدريب على رأس العمل والعمل جنباً إلى جنب الذي يستلزم بدء نقل المعرفة من المراحل المبكرة. ثانياً، البديل التكراري (Agile Sprints) يُناسب تطوير المنتجات الرقمية لكنه يُضعف التسلسل المنطقي المطلوب في هذا المشروع حيث يجب أن تبني مخرجات التصميم (D-2) على نتائج التقييم (D-1) بشكل صريح. ثالثاً، البديل الخطي البسيط (Waterfall) يفتقر إلى آليات المراجعة التكرارية والحوكمة المستمرة التي تحمي جودة المخرجات في مشروع يتضمن أطرافاً دولية متعددة. يرتكز الهيكل المنهجي على ثلاثة أُطر دولية مُحكَّمة تعمل بشكل تكاملي عبر المراحل، يُفعَّل كل إطار في المرحلة التي يخدمها مباشرة دون تكرار: نموذج التقييم المؤسسي الهرمي المُستلهم من منهجية منظمة الصحة العالمية لتقييم القدرات المؤسسية [EXT-008] يُشغَّل في المرحلة الأولى لهيكلة التشخيص عبر ثلاث طبقات — الوظائف المؤسسية، الأدوار التشغيلية، متطلبات القدرات — مما يُحدد بدقة موقع كل فجوة في السلسلة المؤسسية. إطار البنك الدولي للاستثمار في القدرات المؤسسية CISF [EXT-004] يُشغَّل في المرحلة الثانية لترتيب المبادرات وآليات التعاون وفق معايير الأثر الاستراتيجي والجاهزية للتنفيذ. إطار نقل المعرفة الرباعي من APQC [EXT-006] يُشغَّل في المرحلة الثالثة لهيكلة بناء القدرات عبر أربع خطوات: تخطيط المعرفة المستهدفة، تصميم آليات النقل، تنفيذ التدريب المُدمج، وقياس الأثر. يُضاف إلى هذه الأُطر طبقة تقييم متخصصة بسياق الذكاء الاصطناعي مبنية على نموذج الأبعاد الثمانية للجاهزية القائم على إطار TOE [EXT-007] الذي يُقيّم جاهزية البرامج عبر محاور البنية التحتية التقنية والحوكمة والتشريعات والكوادر البشرية والبيانات والابتكار والشراكات والأثر المجتمعي، إلى جانب مؤشرات التقارير الدورية لليونسكو [EXT-003] التي تضمن توافق مخرجات التقييم مع لغة اليونسكو المؤسسية ودورات تقاريرها الرسمية. تتكامل المنهجية مع عمليات سدايا القائمة عبر ثلاث آليات تشغيلية: أولاً، تُنتج جميع المخرجات والأدوات والمواد التدريبية باللغة العربية أصالةً مع ملاحق إنجليزية حيث يتطلب التوافق مع اليونسكو ذلك، مما يُلغي طبقة الترجمة ويضمن قابلية الاستخدام الفوري داخل سدايا. ثانياً، يبدأ مسار نقل المعرفة من الأسبوع الأول عبر إشراك فريق سدايا في أنشطة التقييم الميداني (العمل جنباً إلى جنب) بدلاً من تأجيل التدريب إلى مرحلة لاحقة — وهذا يتوافق مباشرة مع الآليات المنصوص عليها في كراسة الشروط (التدريب على رأس العمل، العمل جنباً إلى جنب، ورش العمل التدريبية). ثالثاً، تُصمَّم بوابات الحوكمة (لجنة توجيهية، مراجعات مرحلية، اعتمادات رسمية) لتتوافق مع دورات اتخاذ القرار في سدايا بدلاً من فرض إيقاع خارجي. كل عنصر منهجي مربوط بمعيار تقييم مُستنتج: عمق التقييم يخدم معيار الجودة المنهجية، وتصميم أُطر التعاون يخدم معيار الفهم الاستراتيجي لسياق اليونسكو، ونقل المعرفة المُهيكل يخدم معيار الاستدامة، والحوكمة المستمرة تخدم معيار إدارة المخاطر والالتزام بالجدول الزمني.</w:t>
      </w:r>
    </w:p>
    <w:p>
      <w:pPr>
        <w:pStyle w:val="Heading2"/>
      </w:pPr>
      <w:r>
        <w:t>5.2 Phase Details</w:t>
      </w:r>
    </w:p>
    <w:p>
      <w:pPr>
        <w:pStyle w:val="Heading3"/>
      </w:pPr>
      <w:r>
        <w:t>المرحلة الأولى: التقييم الشامل للوضع الراهن — تشخيص برامج اليونسكو في أخلاقيات الذكاء الاصطناعي والأبحاث الدولية</w:t>
      </w:r>
    </w:p>
    <w:p>
      <w:r>
        <w:rPr>
          <w:b/>
        </w:rPr>
        <w:t>Activities:</w:t>
      </w:r>
    </w:p>
    <w:p>
      <w:pPr>
        <w:pStyle w:val="ListBullet"/>
      </w:pPr>
      <w:r>
        <w:t>المرحلة الفرعية 1.1 — التهيئة والتخطيط التفصيلي: عقد اجتماع انطلاق رسمي مع فريق سدايا المعني خلال الأسبوع الأول من بدء التنفيذ، يتضمن: تأكيد نطاق العمل التفصيلي، والاتفاق على بروتوكول التواصل مع جهات اليونسكو المعنية، وتحديد أسماء المسؤولين في سدايا المُخوَّلين باعتماد المخرجات، وتسليم قائمة الوثائق والبيانات المطلوبة من سدايا (تشمل: التقارير السابقة المقدمة لليونسكو، محاضر اجتماعات التعاون، الاتفاقيات الموقعة، البيانات التشغيلية للبرامج القائمة). يُنتج هذا الاجتماع ميثاق المشروع التفصيلي وخطة العمل الأسبوعية.</w:t>
      </w:r>
    </w:p>
    <w:p>
      <w:pPr>
        <w:pStyle w:val="ListBullet"/>
      </w:pPr>
      <w:r>
        <w:t>المرحلة الفرعية 1.1 — تصميم أدوات التقييم: بناء ثلاث أدوات تقييم مُخصصة قبل بدء جمع البيانات: (أ) مصفوفة التقييم المؤسسي الهرمي المبنية على منهجية WHO [EXT-008] مُكيَّفة لسياق برامج اليونسكو في أخلاقيات الذكاء الاصطناعي — تتضمن ثلاث طبقات: الوظائف المؤسسية الأساسية لبرامج اليونسكو (مثل: إدارة البحث، التنسيق الدولي، بناء القدرات، الرصد والتقييم)، والأدوار التشغيلية المرتبطة بكل وظيفة، ومتطلبات القدرات التفصيلية لكل دور؛ (ب) بطاقة النضج ذات الأبعاد الثمانية المبنية على إطار TOE [EXT-007] مُعايَرة لتشمل: البنية التحتية البحثية، حوكمة الأخلاقيات، الإطار التشريعي والتنظيمي، الكوادر البحثية المتخصصة، البيانات والمنصات، الابتكار في أدوات التقييم الأخلاقي، الشراكات الدولية، والأثر المجتمعي والتنموي؛ (ج) استبيان مُهيكل لأصحاب المصلحة يغطي الأداء الحالي والفجوات المُدركة وأولويات التطوير. تُعرض الأدوات الثلاث على سدايا للمراجعة والاعتماد قبل الاستخدام الميداني.</w:t>
      </w:r>
    </w:p>
    <w:p>
      <w:pPr>
        <w:pStyle w:val="ListBullet"/>
      </w:pPr>
      <w:r>
        <w:t>المرحلة الفرعية 1.2 — المسح المكتبي المُهيكل: إجراء مراجعة منهجية شاملة للوثائق والمصادر ذات الصلة، مُنظَّمة في أربع فئات: (أ) الأدوات المعيارية لليونسكو: توصية اليونسكو بشأن أخلاقيات الذكاء الاصطناعي (2021)، ومنهجية تقييم الجاهزية RAM، وبرامج EEP وABC وGEObs، ودورات التقارير الدورية [EXT-002، EXT-003]؛ (ب) البرامج البحثية الدولية المقارنة: تحديد 5-8 دول مرجعية (تُختار بالتشاور مع سدايا) وتحليل برامجها في أبحاث وأخلاقيات الذكاء الاصطناعي من حيث الهيكل المؤسسي والتمويل والمخرجات البحثية وآليات التعاون الدولي؛ (ج) وثائق سدايا الداخلية: التقارير السابقة والاتفاقيات والخطط الاستراتيجية المتعلقة بالتعاون مع اليونسكو؛ (د) الأدبيات الأكاديمية والمهنية: الأبحاث المُحكَّمة حول حوكمة أخلاقيات الذكاء الاصطناعي وتقييم البرامج البحثية الدولية. يُنتج المسح المكتبي تقرير مراجعة وثائقية مُهيكل مع مصفوفة مصادر مُرمَّزة.</w:t>
      </w:r>
    </w:p>
    <w:p>
      <w:pPr>
        <w:pStyle w:val="ListBullet"/>
      </w:pPr>
      <w:r>
        <w:t>المرحلة الفرعية 1.2 — المقارنة المعيارية الدولية: تنفيذ تحليل مقارن مُهيكل لبرامج أبحاث وأخلاقيات الذكاء الاصطناعي في 5-8 دول مرجعية، باستخدام منهجية التقييم المقارن المُستلهمة من نموذج WHO للتقييم عبر الدول [EXT-008]. يشمل التحليل لكل دولة: الهيكل المؤسسي للبرنامج البحثي، آليات التمويل والاستدامة المالية، المخرجات البحثية الكمية والنوعية، آليات التعاون مع اليونسكو والمنظمات الدولية، مستوى تطبيق توصية اليونسكو 2021، ومؤشرات الأثر المجتمعي. يُنتج هذا النشاط تقرير المقارنة المعيارية الدولية مع مصفوفة تحديد المواقع التنافسية للمملكة العربية السعودية.</w:t>
      </w:r>
    </w:p>
    <w:p>
      <w:pPr>
        <w:pStyle w:val="ListBullet"/>
      </w:pPr>
      <w:r>
        <w:t>المرحلة الفرعية 1.3 — المقابلات المُهيكلة مع أصحاب المصلحة: إجراء 15-20 مقابلة مُعمَّقة مع أصحاب المصلحة الرئيسيين، مُوزَّعة على ثلاث فئات: (أ) فريق سدايا المعني بالتعاون مع اليونسكو (5-7 مقابلات) تغطي: الأداء الحالي للبرامج، التحديات التشغيلية، الطموحات الاستراتيجية، والموارد المتاحة؛ (ب) نقاط الاتصال في اليونسكو (3-5 مقابلات، بالتنسيق مع سدايا) تغطي: تقييم اليونسكو لمستوى التعاون الحالي، التوقعات المستقبلية، والفرص غير المُستغلة؛ (ج) خبراء ومسؤولون في جهات ذات صلة (4-6 مقابلات) تشمل: أكاديميين متخصصين في أخلاقيات الذكاء الاصطناعي، ومسؤولين في برامج بحثية دولية مماثلة. تُستخدم بروتوكولات مقابلة مُعيَّرة مع تسجيل وتحليل موضوعي مُهيكل. يُشارك أعضاء من فريق سدايا في المقابلات كمراقبين (تطبيقاً لمبدأ العمل جنباً إلى جنب المنصوص عليه في SI-3).</w:t>
      </w:r>
    </w:p>
    <w:p>
      <w:pPr>
        <w:pStyle w:val="ListBullet"/>
      </w:pPr>
      <w:r>
        <w:t>المرحلة الفرعية 1.3 — ورشة عمل تشخيصية تفاعلية: تنظيم ورشة عمل تشخيصية مدتها يوم كامل مع فريق سدايا الموسَّع (10-15 مشاركاً)، تتضمن: (أ) عرض النتائج الأولية من المسح المكتبي والمقابلات لاستقطاب ردود الفعل الفورية؛ (ب) تمرين تحديد الفجوات التشاركي باستخدام مصفوفة الأبعاد الثمانية [EXT-007] حيث يُقيّم المشاركون كل بُعد على مقياس نضج من خمس درجات؛ (ج) تمرين تحديد الأولويات باستخدام مصفوفة الأثر-الجهد لترتيب فرص التطوير. تخدم الورشة غرضاً مزدوجاً: التحقق من صحة النتائج الأولية وبناء الملكية المؤسسية لنتائج التقييم لدى فريق سدايا.</w:t>
      </w:r>
    </w:p>
    <w:p>
      <w:pPr>
        <w:pStyle w:val="ListBullet"/>
      </w:pPr>
      <w:r>
        <w:t>المرحلة الفرعية 1.4 — تحليل الأداء الكمي والنوعي: تطبيق مصفوفة التقييم المؤسسي الهرمي [EXT-008] على البيانات المُجمَّعة لإنتاج تحليل أداء مُهيكل يشمل: (أ) تقييم كل وظيفة مؤسسية أساسية (إدارة البحث، التنسيق الدولي، بناء القدرات، الرصد والتقييم، إدارة المعرفة) من حيث: وجود الوظيفة، مستوى الأداء الحالي، الموارد المُخصصة، والمخرجات المُحققة؛ (ب) تحليل الأدوار التشغيلية المرتبطة بكل وظيفة وتحديد الفجوات في التوظيف والكفاءات والصلاحيات؛ (ج) تقييم متطلبات القدرات التفصيلية لكل دور وتحديد الفجوات بين الوضع الحالي والمستوى المطلوب. يُنتج هذا التحليل خريطة فجوات مُفصَّلة مع تصنيف كل فجوة حسب الخطورة (حرجة، عالية، متوسطة، منخفضة) والطبقة المؤسسية التي تقع فيها.</w:t>
      </w:r>
    </w:p>
    <w:p>
      <w:pPr>
        <w:pStyle w:val="ListBullet"/>
      </w:pPr>
      <w:r>
        <w:t>المرحلة الفرعية 1.4 — قياس مستوى النضج: تطبيق بطاقة النضج ذات الأبعاد الثمانية [EXT-007] لإنتاج تقييم نضج شامل لبرامج اليونسكو في أخلاقيات الذكاء الاصطناعي، حيث يُقيَّم كل بُعد من الأبعاد الثمانية على مقياس نضج من خمس درجات (أولي، قابل للتكرار، مُعرَّف، مُدار، مُحسَّن) مع مؤشرات قياس محددة لكل درجة. يشمل التقييم: مقارنة مستوى نضج كل بُعد مع المتوسط الدولي المُستخلص من المقارنة المعيارية، وتحديد الأبعاد ذات الفجوة الأكبر بين الوضع الحالي والمستوى المستهدف، وتحليل الترابطات بين الأبعاد (مثل: كيف يؤثر ضعف بُعد الكوادر البشرية على بُعد المخرجات البحثية). يُنتج هذا النشاط بطاقة أداء بصرية (Radar Chart) مع تقرير تفسيري مُفصَّل.</w:t>
      </w:r>
    </w:p>
    <w:p>
      <w:pPr>
        <w:pStyle w:val="ListBullet"/>
      </w:pPr>
      <w:r>
        <w:t>المرحلة الفرعية 1.5 — تحديد فرص التطوير وأولويات التدخل: تحويل نتائج تحليل الأداء وقياس النضج إلى خريطة فرص تطوير مُرتَّبة حسب الأولوية، باستخدام ثلاثة معايير ترتيب: (أ) الأثر الاستراتيجي على موقع المملكة العربية السعودية في منظومة اليونسكو لأخلاقيات الذكاء الاصطناعي؛ (ب) الجاهزية للتنفيذ بناءً على الموارد المتاحة والقيود المؤسسية؛ (ج) التوافق مع أهداف التنمية المستدامة ذات الصلة. تُصنَّف فرص التطوير إلى ثلاث فئات زمنية: مكاسب سريعة (0-6 أشهر)، مبادرات متوسطة المدى (6-18 شهراً)، وتحولات هيكلية (18-36 شهراً). يُنتج هذا النشاط مصفوفة أولويات التدخل مع بطاقة وصف لكل فرصة تتضمن: الوصف، الأثر المتوقع، الموارد المطلوبة، والمخاطر.</w:t>
      </w:r>
    </w:p>
    <w:p>
      <w:pPr>
        <w:pStyle w:val="ListBullet"/>
      </w:pPr>
      <w:r>
        <w:t>المرحلة الفرعية 1.5 — تصميم خارطة الطريق ومؤشرات المتابعة والتقييم: بناء خارطة طريق تنفيذية مُفصَّلة تترجم أولويات التدخل إلى خطة عمل زمنية، مع تصميم إطار متابعة وتقييم مبني على منهج نظرية التغيير [EXT-012] يتضمن: (أ) مؤشرات المدخلات (الموارد المُخصصة لكل مبادرة)؛ (ب) مؤشرات العمليات (مساهمات بناء القدرات وبناء العلاقات — وهي المساهمات العملية التي يصعب قياسها بالمؤشرات التقليدية كما يُوثقه [EXT-012])؛ (ج) مؤشرات المخرجات (المنتجات الملموسة: تقارير، أُطر عمل، اتفاقيات)؛ (د) مؤشرات النتائج (التغييرات في السلوك المؤسسي والقدرات)؛ (هـ) مؤشرات الأثر (التحسن في موقع المملكة ضمن منظومة اليونسكو). تُصمَّم المؤشرات لتتوافق مع مؤشرات التقارير الدورية لليونسكو [EXT-003] مما يُمكّن سدايا من استخدامها في دورات التقارير الرسمية.</w:t>
      </w:r>
    </w:p>
    <w:p>
      <w:pPr>
        <w:pStyle w:val="ListBullet"/>
      </w:pPr>
      <w:r>
        <w:t>المرحلة الفرعية 1.5 — صياغة التوصيات والمقترحات العملية: تحويل نتائج التقييم إلى توصيات عملية مُهيكلة، كل توصية تتضمن: المشكلة المُحددة التي تُعالجها (مربوطة بفجوة محددة في خريطة الفجوات)، الإجراء المطلوب بالتفصيل، الجهة المسؤولة عن التنفيذ، الموارد المطلوبة، الإطار الزمني، ومؤشر النجاح. تُصنَّف التوصيات حسب: المستوى المؤسسي (استراتيجي، تشغيلي، تقني)، والأولوية (حرجة، عالية، متوسطة)، والجهة المُنفِّذة (سدايا منفردة، سدايا مع اليونسكو، سدايا مع شركاء دوليين).</w:t>
      </w:r>
    </w:p>
    <w:p>
      <w:pPr>
        <w:pStyle w:val="ListBullet"/>
      </w:pPr>
      <w:r>
        <w:t>المرحلة الفرعية 1.5 — مراجعة الجودة الداخلية وتقديم المسودة: إجراء مراجعة جودة داخلية شاملة لجميع مخرجات المرحلة الأولى قبل تقديمها لسدايا، تشمل: التحقق من اتساق النتائج عبر أدوات التقييم المختلفة، ومراجعة دقة البيانات والمصادر، والتأكد من أن كل توصية مدعومة بأدلة من التقييم، ومراجعة لغوية للنص العربي. تُقدَّم المسودة الأولى لسدايا مع عرض تقديمي مُفصَّل يشرح المنهجية والنتائج والتوصيات، ويُتاح لسدايا أسبوع عمل كامل لتقديم الملاحظات قبل إصدار النسخة النهائية.</w:t>
      </w:r>
    </w:p>
    <w:p>
      <w:pPr>
        <w:pStyle w:val="ListBullet"/>
      </w:pPr>
      <w:r>
        <w:t>نشاط نقل المعرفة المُدمج في المرحلة الأولى: تنفيذ ورشة عمل تدريبية (يوم كامل) لفريق سدايا حول منهجيات التقييم المؤسسي المُستخدمة، تشمل: شرح نظري لنموذج WHO الهرمي [EXT-008] وإطار TOE [EXT-007]، وتطبيق عملي على حالة دراسية مُبسَّطة، وتسليم دليل استخدام أدوات التقييم باللغة العربية. يُشارك 2-3 أعضاء من فريق سدايا في أنشطة جمع البيانات والتحليل كمتدربين على رأس العمل (تطبيقاً لمتطلب SI-3).</w:t>
      </w:r>
    </w:p>
    <w:p>
      <w:r>
        <w:rPr>
          <w:b/>
        </w:rPr>
        <w:t>Deliverables:</w:t>
      </w:r>
    </w:p>
    <w:p>
      <w:pPr>
        <w:pStyle w:val="ListBullet"/>
      </w:pPr>
      <w:r>
        <w:t>D-1.1: ميثاق المشروع وخطة العمل التفصيلية — وثيقة رسمية تتضمن: نطاق العمل المُفصَّل، الهيكل التنظيمي للمشروع، مصفوفة المسؤوليات RACI، خطة التواصل، جدول المخرجات والمراجعات، وقائمة المدخلات المطلوبة من سدايا مع مواعيدها. [مخرج إداري داخلي]</w:t>
      </w:r>
    </w:p>
    <w:p>
      <w:pPr>
        <w:pStyle w:val="ListBullet"/>
      </w:pPr>
      <w:r>
        <w:t>D-1.2: حزمة أدوات التقييم المُعتمدة — تتضمن: مصفوفة التقييم المؤسسي الهرمي (3 طبقات × عدد الوظائف)، بطاقة النضج ذات الأبعاد الثمانية مع مقاييس التقييم، واستبيانات المقابلات المُهيكلة لكل فئة من أصحاب المصلحة. جميع الأدوات باللغة العربية مع مسرد مصطلحات إنجليزي-عربي لمصطلحات اليونسكو. [مخرج عميل]</w:t>
      </w:r>
    </w:p>
    <w:p>
      <w:pPr>
        <w:pStyle w:val="ListBullet"/>
      </w:pPr>
      <w:r>
        <w:t>D-1.3: تقرير المراجعة الوثائقية والمقارنة المعيارية الدولية — يتضمن: ملخص تنفيذي، تحليل مُهيكل للوثائق المُراجَعة مُصنَّفة حسب الفئات الأربع، ملفات تعريف 5-8 دول مرجعية مع تحليل مقارن عبر الأبعاد الثمانية، ومصفوفة تحديد المواقع التنافسية للمملكة. [مخرج عميل]</w:t>
      </w:r>
    </w:p>
    <w:p>
      <w:pPr>
        <w:pStyle w:val="ListBullet"/>
      </w:pPr>
      <w:r>
        <w:t>D-1.4: تقرير تحليل الأداء وقياس النضج — يتضمن: نتائج التقييم المؤسسي الهرمي لكل وظيفة ودور ومتطلب قدرة، بطاقة أداء النضج البصرية (Radar Chart) مع التقرير التفسيري، خريطة الفجوات المُصنَّفة حسب الخطورة والطبقة المؤسسية، وتحليل الترابطات بين الأبعاد. [مخرج عميل — جزء أساسي من D-1]</w:t>
      </w:r>
    </w:p>
    <w:p>
      <w:pPr>
        <w:pStyle w:val="ListBullet"/>
      </w:pPr>
      <w:r>
        <w:t>D-1.5: مصفوفة أولويات التدخل وخارطة الطريق — تتضمن: قائمة فرص التطوير المُرتَّبة حسب الأثر والجاهزية والتوافق مع أهداف التنمية المستدامة، بطاقات وصف تفصيلية لكل فرصة، خارطة طريق زمنية بثلاث فئات (مكاسب سريعة، متوسطة المدى، تحولات هيكلية)، ومصفوفة الموارد المطلوبة. [مخرج عميل — جزء أساسي من D-1]</w:t>
      </w:r>
    </w:p>
    <w:p>
      <w:pPr>
        <w:pStyle w:val="ListBullet"/>
      </w:pPr>
      <w:r>
        <w:t>D-1.6: إطار المتابعة والتقييم المبني على نظرية التغيير — يتضمن: نموذج نظرية التغيير البصري للبرنامج، قائمة المؤشرات المُهيكلة عبر خمس طبقات (مدخلات، عمليات، مخرجات، نتائج، أثر)، بطاقة تعريف لكل مؤشر (التعريف، مصدر البيانات، تكرار القياس، المسؤول، القيمة المستهدفة)، وجدول مواءمة المؤشرات مع مؤشرات التقارير الدورية لليونسكو [EXT-003]. [مخرج عميل — جزء أساسي من D-1]</w:t>
      </w:r>
    </w:p>
    <w:p>
      <w:pPr>
        <w:pStyle w:val="ListBullet"/>
      </w:pPr>
      <w:r>
        <w:t>D-1.7: تقرير التقييم الشامل النهائي (المُخرج الرئيسي D-1) — وثيقة متكاملة تجمع جميع مخرجات المرحلة الأولى في تقرير واحد مُهيكل يتضمن: ملخص تنفيذي (5 صفحات)، المنهجية المُستخدمة، نتائج التقييم التفصيلية، المقارنة المعيارية، خريطة الفجوات، التوصيات العملية، خارطة الطريق، وإطار المتابعة والتقييم. يُقدَّم بنسختين: نسخة تفصيلية كاملة ونسخة تنفيذية مختصرة (20 صفحة). [مخرج عميل — المُسلَّم الرسمي D-1]</w:t>
      </w:r>
    </w:p>
    <w:p>
      <w:pPr>
        <w:pStyle w:val="ListBullet"/>
      </w:pPr>
      <w:r>
        <w:t>D-1.8: دليل استخدام أدوات التقييم ومواد ورشة العمل التدريبية — يتضمن: دليل مُصوَّر لاستخدام مصفوفة التقييم الهرمي وبطاقة النضج، مواد ورشة العمل التدريبية (عروض تقديمية، حالات دراسية، تمارين تطبيقية)، ونموذج تقرير تقييم فارغ يُمكن لفريق سدايا استخدامه مستقبلاً. [مخرج عميل — جزء من D-3]</w:t>
      </w:r>
    </w:p>
    <w:p>
      <w:r>
        <w:rPr>
          <w:b/>
        </w:rPr>
        <w:t xml:space="preserve">Governance: </w:t>
      </w:r>
      <w:r>
        <w:t>بوابة اعتماد المرحلة الأولى: تُعقد جلسة مراجعة رسمية مع لجنة التوجيه في سدايا عند اكتمال مسودة تقرير التقييم الشامل. معايير العبور: (1) اعتماد سدايا لأدوات التقييم المُستخدمة قبل بدء جمع البيانات؛ (2) اكتمال 80% على الأقل من المقابلات المُخطط لها؛ (3) موافقة سدايا على قائمة الدول المرجعية للمقارنة المعيارية؛ (4) اعتماد سدايا للتقرير النهائي بعد استيعاب الملاحظات. آلية التصعيد: أي تأخر في تسليم المدخلات المطلوبة من سدايا (وثائق، ترتيب مقابلات مع اليونسكو) يُرفع إلى مدير المشروع خلال يومي عمل، وإلى لجنة التوجيه خلال خمسة أيام عمل إذا لم يُحل. تقارير التقدم: تقرير أسبوعي مُوجز (صفحة واحدة) يُرسل لمدير المشروع في سدايا يتضمن: الأنشطة المُنجزة، الأنشطة المُخطط لها، المخاطر والقضايا المفتوحة، والمدخلات المطلوبة من سدايا.</w:t>
      </w:r>
    </w:p>
    <w:p>
      <w:pPr>
        <w:pStyle w:val="Heading3"/>
      </w:pPr>
      <w:r>
        <w:t>المرحلة الثانية: تصميم البرامج وأُطر التعاون — تطوير مبادرات اليونسكو في أبحاث وأخلاقيات الذكاء الاصطناعي</w:t>
      </w:r>
    </w:p>
    <w:p>
      <w:r>
        <w:rPr>
          <w:b/>
        </w:rPr>
        <w:t>Activities:</w:t>
      </w:r>
    </w:p>
    <w:p>
      <w:pPr>
        <w:pStyle w:val="ListBullet"/>
      </w:pPr>
      <w:r>
        <w:t>المرحلة الفرعية 2.1 — ترجمة نتائج التقييم إلى مواصفات تصميم: عقد ورشة عمل انتقالية (نصف يوم) مع فريق سدايا لتحويل نتائج المرحلة الأولى إلى مواصفات تصميم قابلة للتنفيذ، تتضمن: مراجعة خريطة الفجوات وأولويات التدخل المُعتمدة، وتحديد المبادرات ذات الأولوية القصوى للتصميم التفصيلي في هذه المرحلة، والاتفاق على معايير التصميم (الجدوى، التوافق مع أهداف التنمية المستدامة، قابلية التنفيذ ضمن الموارد المتاحة، التوافق مع أدوات اليونسكو المعيارية). يُنتج هذا النشاط وثيقة مواصفات التصميم المُعتمدة التي تُوجّه جميع أنشطة المرحلة الثانية.</w:t>
      </w:r>
    </w:p>
    <w:p>
      <w:pPr>
        <w:pStyle w:val="ListBullet"/>
      </w:pPr>
      <w:r>
        <w:t>المرحلة الفرعية 2.1 — تصميم المبادرات البحثية: تصميم 3-5 مبادرات بحثية مُفصَّلة في أبحاث وأخلاقيات الذكاء الاصطناعي، كل مبادرة تتضمن بطاقة تعريف شاملة: (أ) الهدف الاستراتيجي المربوط بفجوة محددة من المرحلة الأولى؛ (ب) نطاق العمل التفصيلي مع المخرجات المتوقعة؛ (ج) نموذج نظرية التغيير الخاص بالمبادرة [EXT-012] يُوضح السلسلة السببية من المدخلات إلى الأثر؛ (د) الهيكل التنظيمي والأدوار المطلوبة؛ (هـ) الميزانية التقديرية ومصادر التمويل المحتملة؛ (و) الجدول الزمني التنفيذي؛ (ز) مؤشرات الأداء الرئيسية. يُستخدم منطق أولوية CISF [EXT-004] لترتيب المبادرات حسب الأثر الاستراتيجي والجاهزية المؤسسية.</w:t>
      </w:r>
    </w:p>
    <w:p>
      <w:pPr>
        <w:pStyle w:val="ListBullet"/>
      </w:pPr>
      <w:r>
        <w:t>المرحلة الفرعية 2.2 — تصميم أُطر العمل التشغيلية: بناء أُطر عمل تشغيلية مُفصَّلة لكل مبادرة، تتضمن: (أ) نموذج التشغيل (Operating Model) الذي يُحدد: الهيكل التنظيمي، تدفقات العمل، آليات اتخاذ القرار، ومتطلبات الموارد البشرية والتقنية؛ (ب) إجراءات التشغيل المعيارية (SOPs) للأنشطة الرئيسية: إدارة المشاريع البحثية، مراجعة الأخلاقيات، نشر النتائج، والتنسيق مع الشركاء الدوليين؛ (ج) نماذج ووثائق العمل المعيارية: نماذج مقترحات بحثية، نماذج تقارير تقدم، نماذج اتفاقيات تعاون. تُصمَّم الأُطر لتكون متوافقة مع برامج اليونسكو القائمة (EEP، ABC، GEObs) [EXT-002] مما يُسهّل التكامل المؤسسي.</w:t>
      </w:r>
    </w:p>
    <w:p>
      <w:pPr>
        <w:pStyle w:val="ListBullet"/>
      </w:pPr>
      <w:r>
        <w:t>المرحلة الفرعية 2.2 — تصميم آليات التعاون الدولي: تطوير إطار تعاون دولي شامل يُحدد آليات العمل المشترك مع مختلف الدول، يتضمن: (أ) تصنيف الدول الشريكة حسب مستوى التعاون المطلوب (شراكة استراتيجية، تعاون بحثي، تبادل معرفي)؛ (ب) نماذج اتفاقيات التعاون المُعيَّرة لكل مستوى مع البنود الأساسية: نطاق التعاون، المخرجات المشتركة، آليات التمويل، حقوق الملكية الفكرية، وآليات حل النزاعات؛ (ج) آليات التنسيق التشغيلي: لجان مشتركة، اجتماعات دورية، منصات تبادل المعرفة؛ (د) مؤشرات أداء التعاون: عدد المشاريع المشتركة، المنشورات المشتركة، الباحثين المُتبادلين، والمخرجات المُشتركة المقدمة لليونسكو. يُستلهم التصميم من نموذج منصات ترجمة المعرفة [EXT-015] الذي يُهيكل التعاون عبر آليات الوساطة المعرفية والشبكات المؤسسية.</w:t>
      </w:r>
    </w:p>
    <w:p>
      <w:pPr>
        <w:pStyle w:val="ListBullet"/>
      </w:pPr>
      <w:r>
        <w:t>المرحلة الفرعية 2.3 — ربط البرامج بأهداف التنمية المستدامة: تطبيق منهجية مواءمة الميزانيات مع أهداف التنمية المستدامة B4SDGs [EXT-013] لربط كل مبادرة وإطار تعاون بأهداف التنمية المستدامة ذات الصلة، يتضمن: (أ) تحديد أهداف التنمية المستدامة المرتبطة مباشرة بكل مبادرة (الهدف 4: التعليم الجيد، الهدف 9: الصناعة والابتكار والبنية التحتية، الهدف 17: عقد الشراكات لتحقيق الأهداف)؛ (ب) تصميم مؤشرات أداء مزدوجة تقيس التقدم في المبادرة والمساهمة في أهداف التنمية المستدامة في آن واحد؛ (ج) بناء مصفوفة مواءمة بصرية تُظهر كيف يُساهم كل عنصر من البرنامج في تحقيق أهداف التنمية المستدامة؛ (د) تصميم آلية تقارير دورية تُمكّن سدايا من الإبلاغ عن مساهماتها في أهداف التنمية المستدامة ضمن تقاريرها لليونسكو والمنتديات الدولية.</w:t>
      </w:r>
    </w:p>
    <w:p>
      <w:pPr>
        <w:pStyle w:val="ListBullet"/>
      </w:pPr>
      <w:r>
        <w:t>المرحلة الفرعية 2.3 — تصميم نموذج الحوكمة والاستدامة للبرامج: بناء نموذج حوكمة شامل للبرامج المُصمَّمة يضمن استدامتها بعد انتهاء المشروع الاستشاري، يتضمن: (أ) هيكل الحوكمة: لجنة توجيهية عليا، لجان فنية متخصصة، وحدة إدارة البرنامج؛ (ب) آليات اتخاذ القرار: مصفوفة صلاحيات، بوابات اعتماد، آليات تصعيد؛ (ج) نموذج الاستدامة المالية: مصادر التمويل المتنوعة، آليات استرداد التكاليف، شراكات التمويل المشترك مع اليونسكو والدول الشريكة؛ (د) آليات المراجعة والتحسين المستمر: مراجعات سنوية، تقييمات منتصف المدة، آليات التعلم المؤسسي. يُصمَّم النموذج ليتكامل مع هياكل الحوكمة القائمة في سدايا بدلاً من إنشاء هياكل موازية.</w:t>
      </w:r>
    </w:p>
    <w:p>
      <w:pPr>
        <w:pStyle w:val="ListBullet"/>
      </w:pPr>
      <w:r>
        <w:t>المرحلة الفرعية 2.4 — تصميم إطار التقييم المعياري لأداء البرامج البحثية: بناء إطار تقييم معياري (Benchmark Assessment Framework) يُمكّن سدايا من تقييم أداء البرامج البحثية في أبحاث وأخلاقيات الذكاء الاصطناعي بشكل دوري ومستقل، يتضمن: (أ) مؤشرات الأداء الرئيسية مُصنَّفة حسب: المدخلات البحثية (تمويل، باحثون، بنية تحتية)، العمليات البحثية (مشاريع نشطة، مراجعات أخلاقية، تعاونات دولية)، المخرجات البحثية (منشورات، أدوات، أُطر عمل)، والأثر (تأثير على السياسات، اعتماد دولي، بناء قدرات)؛ (ب) منهجية جمع البيانات وتكرار القياس لكل مؤشر؛ (ج) آلية المقارنة المعيارية مع البرامج الدولية المماثلة؛ (د) نماذج تقارير الأداء الدورية. يُستلهم الإطار من نموذج تقييم معايير الخدمات الرقمية [EXT-011] في هيكلة مؤشرات الأداء متعددة الأبعاد.</w:t>
      </w:r>
    </w:p>
    <w:p>
      <w:pPr>
        <w:pStyle w:val="ListBullet"/>
      </w:pPr>
      <w:r>
        <w:t>المرحلة الفرعية 2.4 — تطوير خارطة طريق التنفيذ المُفصَّلة: بناء خارطة طريق تنفيذية شاملة تُترجم جميع المبادرات وأُطر التعاون إلى خطة عمل زمنية مُفصَّلة، تتضمن: (أ) تسلسل التنفيذ المنطقي مع تحديد التبعيات بين المبادرات؛ (ب) المعالم الرئيسية (Milestones) لكل مبادرة مع تواريخ مستهدفة؛ (ج) متطلبات الموارد لكل مرحلة تنفيذية (بشرية، مالية، تقنية)؛ (د) المخاطر الرئيسية لكل مبادرة مع خطط التخفيف؛ (هـ) نقاط القرار الحرجة التي تتطلب اعتماد سدايا أو تنسيق مع اليونسكو. تُقدَّم خارطة الطريق بتنسيق بصري (Gantt Chart مُبسَّط) مع وثيقة تفسيرية مُفصَّلة.</w:t>
      </w:r>
    </w:p>
    <w:p>
      <w:pPr>
        <w:pStyle w:val="ListBullet"/>
      </w:pPr>
      <w:r>
        <w:t>المرحلة الفرعية 2.5 — التحقق والاعتماد: تنفيذ دورة تحقق من مخرجات المرحلة الثانية عبر ثلاث آليات: (أ) مراجعة فنية داخلية من فريق المشروع للتأكد من اتساق التصميمات مع نتائج التقييم وتوافقها مع أدوات اليونسكو المعيارية؛ (ب) ورشة عمل تحقق مع فريق سدايا (يوم كامل) لعرض المبادرات وأُطر التعاون وخارطة الطريق واستقطاب الملاحظات التفصيلية؛ (ج) استيعاب الملاحظات وإصدار النسخ النهائية المُعتمدة. تُقدَّم المخرجات النهائية في عرض تقديمي رسمي للجنة التوجيه مع طلب اعتماد رسمي.</w:t>
      </w:r>
    </w:p>
    <w:p>
      <w:pPr>
        <w:pStyle w:val="ListBullet"/>
      </w:pPr>
      <w:r>
        <w:t>المرحلة الفرعية 2.5 — تصميم آليات الرصد المبكر والتكيف: بناء آليات رصد مبكر مُدمجة في تصميم كل مبادرة تُمكّن سدايا من اكتشاف الانحرافات عن المسار المُخطط واتخاذ إجراءات تصحيحية مبكرة، تتضمن: (أ) مؤشرات إنذار مبكر لكل مبادرة (مثل: تأخر التمويل، انسحاب شريك، عدم تحقيق مخرجات مرحلية)؛ (ب) بروتوكولات استجابة مُعرَّفة مسبقاً لكل سيناريو انحراف؛ (ج) آلية مراجعة ربع سنوية لتحديث خارطة الطريق بناءً على المستجدات. يُستلهم هذا التصميم من مبادئ الإدارة التكيفية في البرامج البحثية الدولية.</w:t>
      </w:r>
    </w:p>
    <w:p>
      <w:pPr>
        <w:pStyle w:val="ListBullet"/>
      </w:pPr>
      <w:r>
        <w:t>نشاط نقل المعرفة المُدمج في المرحلة الثانية: تنفيذ ورشتي عمل تدريبيتين لفريق سدايا: (أ) ورشة تصميم المبادرات البحثية (يوم كامل) تتضمن تطبيق عملي لمنهجية CISF [EXT-004] ونظرية التغيير [EXT-012] على حالة دراسية حقيقية من المبادرات المُصمَّمة؛ (ب) ورشة تصميم آليات التعاون الدولي (نصف يوم) تتضمن محاكاة لعملية التفاوض على اتفاقية تعاون بحثي مع دولة شريكة. يُشارك 2-3 أعضاء من فريق سدايا في أنشطة التصميم كمتدربين على رأس العمل.</w:t>
      </w:r>
    </w:p>
    <w:p>
      <w:r>
        <w:rPr>
          <w:b/>
        </w:rPr>
        <w:t>Deliverables:</w:t>
      </w:r>
    </w:p>
    <w:p>
      <w:pPr>
        <w:pStyle w:val="ListBullet"/>
      </w:pPr>
      <w:r>
        <w:t>D-2.1: وثيقة مواصفات التصميم المُعتمدة — تتضمن: ملخص نتائج التقييم ذات الصلة بالتصميم، قائمة المبادرات المُختارة للتصميم التفصيلي مع مبررات الاختيار، معايير التصميم المُعتمدة، والقيود والافتراضات. [مخرج إداري داخلي]</w:t>
      </w:r>
    </w:p>
    <w:p>
      <w:pPr>
        <w:pStyle w:val="ListBullet"/>
      </w:pPr>
      <w:r>
        <w:t>D-2.2: بطاقات تعريف المبادرات البحثية (3-5 مبادرات) — كل بطاقة تتضمن: الهدف الاستراتيجي، نطاق العمل، نموذج نظرية التغيير، الهيكل التنظيمي، الميزانية التقديرية، الجدول الزمني، مؤشرات الأداء، والربط بأهداف التنمية المستدامة. [مخرج عميل — جزء أساسي من D-2]</w:t>
      </w:r>
    </w:p>
    <w:p>
      <w:pPr>
        <w:pStyle w:val="ListBullet"/>
      </w:pPr>
      <w:r>
        <w:t>D-2.3: أُطر العمل التشغيلية — تتضمن: نماذج التشغيل لكل مبادرة، إجراءات التشغيل المعيارية (SOPs)، ونماذج ووثائق العمل المعيارية (مقترحات بحثية، تقارير تقدم، اتفاقيات تعاون). [مخرج عميل — جزء أساسي من D-2]</w:t>
      </w:r>
    </w:p>
    <w:p>
      <w:pPr>
        <w:pStyle w:val="ListBullet"/>
      </w:pPr>
      <w:r>
        <w:t>D-2.4: إطار التعاون الدولي — يتضمن: تصنيف الدول الشريكة، نماذج اتفاقيات التعاون المُعيَّرة لكل مستوى، آليات التنسيق التشغيلي، ومؤشرات أداء التعاون. [مخرج عميل — جزء أساسي من D-2]</w:t>
      </w:r>
    </w:p>
    <w:p>
      <w:pPr>
        <w:pStyle w:val="ListBullet"/>
      </w:pPr>
      <w:r>
        <w:t>D-2.5: مصفوفة مواءمة أهداف التنمية المستدامة — تتضمن: ربط كل مبادرة بأهداف التنمية المستدامة ذات الصلة، مؤشرات أداء مزدوجة، مصفوفة مواءمة بصرية، وآلية تقارير المساهمة في أهداف التنمية المستدامة. [مخرج عميل — جزء أساسي من D-2]</w:t>
      </w:r>
    </w:p>
    <w:p>
      <w:pPr>
        <w:pStyle w:val="ListBullet"/>
      </w:pPr>
      <w:r>
        <w:t>D-2.6: إطار التقييم المعياري لأداء البرامج البحثية — يتضمن: مؤشرات الأداء الرئيسية مُصنَّفة بأربع طبقات، منهجية جمع البيانات، آلية المقارنة المعيارية الدولية، ونماذج تقارير الأداء الدورية. [مخرج عميل — جزء أساسي من D-2]</w:t>
      </w:r>
    </w:p>
    <w:p>
      <w:pPr>
        <w:pStyle w:val="ListBullet"/>
      </w:pPr>
      <w:r>
        <w:t>D-2.7: خارطة طريق التنفيذ المُفصَّلة — تتضمن: تسلسل التنفيذ مع التبعيات، المعالم الرئيسية، متطلبات الموارد، المخاطر وخطط التخفيف، ونقاط القرار الحرجة. بتنسيق بصري مع وثيقة تفسيرية. [مخرج عميل — جزء أساسي من D-2]</w:t>
      </w:r>
    </w:p>
    <w:p>
      <w:pPr>
        <w:pStyle w:val="ListBullet"/>
      </w:pPr>
      <w:r>
        <w:t>D-2.8: التقرير المتكامل لتطوير البرامج (المُخرج الرئيسي D-2) — وثيقة شاملة تجمع جميع مخرجات المرحلة الثانية: المبادرات البحثية، أُطر العمل التشغيلية، إطار التعاون الدولي، مواءمة أهداف التنمية المستدامة، إطار التقييم المعياري، وخارطة طريق التنفيذ. بنسختين: تفصيلية كاملة وتنفيذية مختصرة. [مخرج عميل — المُسلَّم الرسمي D-2]</w:t>
      </w:r>
    </w:p>
    <w:p>
      <w:r>
        <w:rPr>
          <w:b/>
        </w:rPr>
        <w:t xml:space="preserve">Governance: </w:t>
      </w:r>
      <w:r>
        <w:t>بوابة اعتماد المرحلة الثانية: تُعقد جلستا مراجعة رسميتان: (1) مراجعة منتصف المرحلة عند اكتمال تصميم المبادرات البحثية (D-2.2) للتحقق من التوافق مع توقعات سدايا قبل الانتقال إلى تصميم أُطر التعاون؛ (2) مراجعة نهاية المرحلة عند اكتمال جميع المخرجات. معايير العبور: (1) اعتماد سدايا لمواصفات التصميم قبل بدء التصميم التفصيلي؛ (2) اعتماد سدايا لبطاقات تعريف المبادرات في مراجعة منتصف المرحلة؛ (3) اعتماد سدايا للتقرير المتكامل النهائي. آلية التصعيد: أي خلاف حول أولويات التصميم أو نطاق المبادرات يُحال إلى لجنة التوجيه خلال ثلاثة أيام عمل مع وثيقة خيارات مُهيكلة تتضمن المزايا والمخاطر لكل خيار. تقارير التقدم: تقرير أسبوعي مُوجز لمدير المشروع في سدايا.</w:t>
      </w:r>
    </w:p>
    <w:p>
      <w:pPr>
        <w:pStyle w:val="Heading3"/>
      </w:pPr>
      <w:r>
        <w:t>المرحلة الثالثة: التدريب ونقل المعرفة — بناء القدرات المستدامة لفريق سدايا</w:t>
      </w:r>
    </w:p>
    <w:p>
      <w:r>
        <w:rPr>
          <w:b/>
        </w:rPr>
        <w:t>Activities:</w:t>
      </w:r>
    </w:p>
    <w:p>
      <w:pPr>
        <w:pStyle w:val="ListBullet"/>
      </w:pPr>
      <w:r>
        <w:t>المرحلة الفرعية 3.1 — تقييم الاحتياجات التدريبية وتصميم البرنامج: إجراء تقييم احتياجات تدريبية مُهيكل لفريق سدايا المعني باستخدام منهجية التقييم القائم على الكفاءات [EXT-009]، يتضمن: (أ) تحديد الكفاءات المطلوبة لإدارة برامج أبحاث وأخلاقيات الذكاء الاصطناعي مع اليونسكو بشكل مستقل — مُستخلصة من أُطر العمل المُصمَّمة في المرحلة الثانية؛ (ب) تقييم مستوى الكفاءات الحالي لكل عضو في الفريق عبر مقابلات فردية واستبيان تقييم ذاتي؛ (ج) تحديد فجوات الكفاءات لكل فرد وللفريق ككل؛ (د) تصميم خطة تدريب فردية لكل عضو وخطة تدريب جماعية للفريق. يُنتج هذا النشاط وثيقة خطة التدريب ونقل المعرفة المُعتمدة التي تُحدد: المحتوى التدريبي، الأساليب، الجدول الزمني، ومعايير النجاح.</w:t>
      </w:r>
    </w:p>
    <w:p>
      <w:pPr>
        <w:pStyle w:val="ListBullet"/>
      </w:pPr>
      <w:r>
        <w:t>المرحلة الفرعية 3.1 — تطوير المواد التدريبية: إعداد حزمة مواد تدريبية شاملة باللغة العربية تغطي أربعة محاور: (أ) محور المعرفة الأساسية: أخلاقيات الذكاء الاصطناعي — المفاهيم والأُطر الدولية، توصية اليونسكو 2021، منهجية تقييم الجاهزية RAM؛ (ب) محور المهارات التحليلية: استخدام أدوات التقييم المؤسسي (مصفوفة WHO الهرمية [EXT-008]، بطاقة النضج TOE [EXT-007])، تحليل البيانات البحثية، المقارنة المعيارية الدولية؛ (ج) محور المهارات التصميمية: تصميم المبادرات البحثية باستخدام نظرية التغيير [EXT-012]، تصميم آليات التعاون الدولي، ربط البرامج بأهداف التنمية المستدامة [EXT-013]؛ (د) محور المهارات الإدارية: إدارة البرامج البحثية، التنسيق مع المنظمات الدولية، إعداد التقارير الدورية لليونسكو [EXT-003]. تتضمن المواد: عروض تقديمية، أدلة مرجعية، حالات دراسية، تمارين تطبيقية، ونماذج عمل.</w:t>
      </w:r>
    </w:p>
    <w:p>
      <w:pPr>
        <w:pStyle w:val="ListBullet"/>
      </w:pPr>
      <w:r>
        <w:t>المرحلة الفرعية 3.2 — تنفيذ ورش العمل التدريبية: تنفيذ سلسلة من 4-6 ورش عمل تدريبية مُهيكلة، كل ورشة مدتها يوم كامل، مُوزَّعة على المحاور الأربعة. تتبع كل ورشة هيكلاً تعليمياً مُعيَّراً: (أ) جلسة نظرية (30% من الوقت): عرض المفاهيم والأُطر والأدوات مع أمثلة دولية؛ (ب) تطبيق عملي مُوجَّه (40% من الوقت): تمارين تطبيقية على حالات دراسية حقيقية من مخرجات المرحلتين الأولى والثانية — مما يُعزز فهم المخرجات ويبني مهارات استخدامها في آن واحد؛ (ج) مناقشة وتغذية راجعة (20% من الوقت): مراجعة جماعية للتمارين مع تغذية راجعة فردية؛ (د) تقييم ما بعد الورشة (10% من الوقت): اختبار قصير لقياس استيعاب المحتوى. يُقيَّم كل مشارك قبل وبعد كل ورشة باستخدام نموذج تقييم الكفاءات [EXT-009] لقياس التحسن.</w:t>
      </w:r>
    </w:p>
    <w:p>
      <w:pPr>
        <w:pStyle w:val="ListBullet"/>
      </w:pPr>
      <w:r>
        <w:t>المرحلة الفرعية 3.2 — التدريب على رأس العمل (On-the-Job Training): تنفيذ برنامج تدريب على رأس العمل مُهيكل يمتد عبر المراحل الثلاث الأولى (وليس المرحلة الثالثة فقط)، يتضمن: (أ) إشراك 2-3 أعضاء من فريق سدايا في أنشطة التقييم الميداني خلال المرحلة الأولى (حضور المقابلات، المشاركة في تحليل البيانات، المساهمة في صياغة التوصيات)؛ (ب) إشراك 2-3 أعضاء في أنشطة التصميم خلال المرحلة الثانية (المشاركة في تصميم المبادرات، مراجعة أُطر التعاون، المساهمة في بناء خارطة الطريق)؛ (ج) توثيق الدروس المستفادة من كل نشاط تدريبي في سجل تعلم فردي لكل متدرب. يُعيَّن مُرشد (Mentor) من فريق المشروع لكل متدرب يُقدم تغذية راجعة أسبوعية مُهيكلة.</w:t>
      </w:r>
    </w:p>
    <w:p>
      <w:pPr>
        <w:pStyle w:val="ListBullet"/>
      </w:pPr>
      <w:r>
        <w:t>المرحلة الفرعية 3.3 — تأسيس فريق المُقيِّمين الداخليين: تطبيق نموذج فريق المُقيِّمين الداخليين [EXT-014] لبناء قدرة تقييم مستدامة داخل سدايا، يتضمن: (أ) اختيار 3-5 أعضاء من فريق سدايا لتشكيل نواة فريق المُقيِّمين الداخليين بناءً على نتائج تقييم الكفاءات ومستوى الأداء في التدريب على رأس العمل؛ (ب) تدريب مُكثَّف إضافي لهذا الفريق على: إجراء التقييمات المؤسسية بشكل مستقل، استخدام أدوات التقييم المُطوَّرة، إعداد تقارير التقييم، وتقديم التوصيات؛ (ج) تنفيذ تقييم تجريبي مُشرَف عليه حيث يقود فريق المُقيِّمين الداخليين تقييماً مُصغَّراً لأحد جوانب البرنامج تحت إشراف فريق المشروع؛ (د) تقييم جاهزية الفريق للعمل المستقل وتقديم توصيات للتطوير المستمر.</w:t>
      </w:r>
    </w:p>
    <w:p>
      <w:pPr>
        <w:pStyle w:val="ListBullet"/>
      </w:pPr>
      <w:r>
        <w:t>المرحلة الفرعية 3.3 — العمل جنباً إلى جنب (Side-by-Side): تنفيذ برنامج عمل مشترك مُهيكل حيث يعمل أعضاء فريق المشروع جنباً إلى جنب مع فريق سدايا على مهام حقيقية مرتبطة بمخرجات المشروع، يتضمن: (أ) جلسات عمل مشتركة أسبوعية (نصف يوم) يتعاون فيها الفريقان على إنجاز مهمة محددة من مهام المشروع؛ (ب) تدرج في مستوى الاستقلالية: في الأسابيع الأولى يقود فريق المشروع ويُراقب فريق سدايا، ثم يتحول تدريجياً إلى قيادة فريق سدايا مع إشراف فريق المشروع؛ (ج) توثيق كل جلسة عمل مشتركة في سجل يتضمن: المهمة المُنجزة، المهارات المُمارسة، الملاحظات، والخطوات التالية. هذا النشاط يُطبق مباشرة متطلب كراسة الشروط بالعمل جنباً إلى جنب المنصوص عليه في SI-3.</w:t>
      </w:r>
    </w:p>
    <w:p>
      <w:pPr>
        <w:pStyle w:val="ListBullet"/>
      </w:pPr>
      <w:r>
        <w:t>المرحلة الفرعية 3.4 — تطوير أدلة العمل المرجعية: إعداد حزمة أدلة عمل مرجعية باللغة العربية تُمكّن فريق سدايا من تنفيذ المهام الرئيسية بشكل مستقل بعد انتهاء المشروع، تتضمن: (أ) دليل إجراء التقييم المؤسسي: خطوات التقييم من التخطيط إلى التقرير مع نماذج وأمثلة؛ (ب) دليل تصميم المبادرات البحثية: منهجية التصميم من تحديد الفرصة إلى بطاقة التعريف الكاملة؛ (ج) دليل إدارة التعاون الدولي: إجراءات التنسيق مع الدول الشريكة واليونسكو؛ (د) دليل إعداد التقارير الدورية لليونسكو: هيكل التقرير، مصادر البيانات، والجدول الزمني. تُصمَّم الأدلة بتنسيق عملي (خطوة بخطوة) مع قوائم مراجعة ونماذج جاهزة للاستخدام.</w:t>
      </w:r>
    </w:p>
    <w:p>
      <w:pPr>
        <w:pStyle w:val="ListBullet"/>
      </w:pPr>
      <w:r>
        <w:t>المرحلة الفرعية 3.4 — تقييم أثر التدريب ونقل المعرفة: إجراء تقييم شامل لأثر برنامج التدريب ونقل المعرفة باستخدام إطار APQC [EXT-006] ومنهجية التقييم القائم على الكفاءات [EXT-009]، يتضمن: (أ) مقارنة مستوى الكفاءات قبل وبعد البرنامج لكل عضو في الفريق؛ (ب) تقييم جاهزية فريق المُقيِّمين الداخليين للعمل المستقل؛ (ج) استبيان رضا المشاركين عن البرنامج التدريبي؛ (د) تحديد فجوات الكفاءات المتبقية مع توصيات للتطوير المستمر بعد انتهاء المشروع. يُنتج هذا النشاط تقرير أثر التدريب ونقل المعرفة الذي يُشكّل جزءاً أساسياً من المُسلَّم D-3.</w:t>
      </w:r>
    </w:p>
    <w:p>
      <w:pPr>
        <w:pStyle w:val="ListBullet"/>
      </w:pPr>
      <w:r>
        <w:t>نشاط تكميلي — تصميم خطة التطوير المستمر: إعداد خطة تطوير مستمر لفريق سدايا تمتد لـ 12 شهراً بعد انتهاء المشروع، تتضمن: (أ) أنشطة التعلم الذاتي المُوصى بها (دورات، مؤتمرات، منشورات)؛ (ب) جدول تقييمات دورية ذاتية باستخدام أدوات التقييم المُطوَّرة؛ (ج) فرص المشاركة في شبكات اليونسكو الدولية لأخلاقيات الذكاء الاصطناعي؛ (د) معايير قياس التقدم في بناء القدرات على المدى المتوسط. تُسلَّم الخطة كجزء من حزمة التسليم النهائية.</w:t>
      </w:r>
    </w:p>
    <w:p>
      <w:r>
        <w:rPr>
          <w:b/>
        </w:rPr>
        <w:t>Deliverables:</w:t>
      </w:r>
    </w:p>
    <w:p>
      <w:pPr>
        <w:pStyle w:val="ListBullet"/>
      </w:pPr>
      <w:r>
        <w:t>D-3.1: وثيقة تقييم الاحتياجات التدريبية وخطة التدريب — تتضمن: قائمة الكفاءات المطلوبة، نتائج تقييم الكفاءات الحالية، خريطة فجوات الكفاءات، خطة التدريب الفردية والجماعية مع الجدول الزمني والأساليب ومعايير النجاح. [مخرج عميل — جزء من D-3]</w:t>
      </w:r>
    </w:p>
    <w:p>
      <w:pPr>
        <w:pStyle w:val="ListBullet"/>
      </w:pPr>
      <w:r>
        <w:t>D-3.2: حزمة المواد التدريبية الشاملة — تتضمن: عروض تقديمية لـ 4-6 ورش عمل، أدلة مرجعية للمحاور الأربعة، حالات دراسية وتمارين تطبيقية، نماذج تقييم قبلي وبعدي، ونماذج عمل جاهزة للاستخدام. جميع المواد باللغة العربية. [مخرج عميل — جزء من D-3]</w:t>
      </w:r>
    </w:p>
    <w:p>
      <w:pPr>
        <w:pStyle w:val="ListBullet"/>
      </w:pPr>
      <w:r>
        <w:t>D-3.3: سجلات التدريب على رأس العمل والعمل جنباً إلى جنب — تتضمن: سجل تعلم فردي لكل متدرب يُوثق الأنشطة المُشارك فيها والمهارات المُمارسة والملاحظات، وسجل جلسات العمل المشتركة مع تقييم تدرج الاستقلالية. [مخرج إداري]</w:t>
      </w:r>
    </w:p>
    <w:p>
      <w:pPr>
        <w:pStyle w:val="ListBullet"/>
      </w:pPr>
      <w:r>
        <w:t>D-3.4: وثيقة تأسيس فريق المُقيِّمين الداخليين — تتضمن: قائمة أعضاء الفريق مع ملفات كفاءاتهم، نتائج التقييم التجريبي المُشرَف عليه، تقييم جاهزية الفريق للعمل المستقل، وتوصيات التطوير المستمر. [مخرج عميل — جزء من D-3]</w:t>
      </w:r>
    </w:p>
    <w:p>
      <w:pPr>
        <w:pStyle w:val="ListBullet"/>
      </w:pPr>
      <w:r>
        <w:t>D-3.5: حزمة أدلة العمل المرجعية — تتضمن: دليل إجراء التقييم المؤسسي، دليل تصميم المبادرات البحثية، دليل إدارة التعاون الدولي، ودليل إعداد التقارير الدورية لليونسكو. جميع الأدلة بتنسيق عملي مع قوائم مراجعة ونماذج جاهزة. [مخرج عميل — جزء من D-3]</w:t>
      </w:r>
    </w:p>
    <w:p>
      <w:pPr>
        <w:pStyle w:val="ListBullet"/>
      </w:pPr>
      <w:r>
        <w:t>D-3.6: تقرير أثر التدريب ونقل المعرفة — يتضمن: مقارنة الكفاءات قبل/بعد، تقييم جاهزية فريق المُقيِّمين الداخليين، نتائج استبيان رضا المشاركين، فجوات الكفاءات المتبقية، وتوصيات التطوير المستمر. [مخرج عميل — جزء أساسي من D-3]</w:t>
      </w:r>
    </w:p>
    <w:p>
      <w:pPr>
        <w:pStyle w:val="ListBullet"/>
      </w:pPr>
      <w:r>
        <w:t>D-3.7: خطة التطوير المستمر (12 شهراً) — تتضمن: أنشطة التعلم الذاتي، جدول التقييمات الدورية، فرص المشاركة الدولية، ومعايير قياس التقدم. [مخرج عميل — جزء من D-3]</w:t>
      </w:r>
    </w:p>
    <w:p>
      <w:pPr>
        <w:pStyle w:val="ListBullet"/>
      </w:pPr>
      <w:r>
        <w:t>D-3.8: التقرير المتكامل للتدريب ونقل المعرفة (المُخرج الرئيسي D-3) — وثيقة شاملة تجمع جميع مخرجات المرحلة الثالثة وتُوثق عملية نقل المعرفة من التخطيط إلى التقييم، مع ملاحق تتضمن جميع المواد التدريبية وأدلة العمل. [مخرج عميل — المُسلَّم الرسمي D-3]</w:t>
      </w:r>
    </w:p>
    <w:p>
      <w:r>
        <w:rPr>
          <w:b/>
        </w:rPr>
        <w:t xml:space="preserve">Governance: </w:t>
      </w:r>
      <w:r>
        <w:t>بوابة اعتماد المرحلة الثالثة: تُعقد جلسة مراجعة رسمية مع لجنة التوجيه عند اكتمال برنامج التدريب وتقرير الأثر. معايير العبور: (1) اعتماد سدايا لخطة التدريب قبل بدء التنفيذ؛ (2) حضور 80% على الأقل من المشاركين المُستهدفين لورش العمل؛ (3) تحقيق تحسن قابل للقياس في مستوى الكفاءات (يُحدد الحد الأدنى بالاتفاق مع سدايا في خطة التدريب)؛ (4) اجتياز فريق المُقيِّمين الداخليين للتقييم التجريبي المُشرَف عليه بنجاح. آلية التصعيد: أي تحديات في توفر المتدربين أو تعارض الجداول تُرفع إلى مدير المشروع في سدايا خلال يومي عمل لإعادة جدولة الأنشطة. تقارير التقدم: تقرير أسبوعي يتضمن حالة تنفيذ خطة التدريب ونتائج التقييمات المرحلية.</w:t>
      </w:r>
    </w:p>
    <w:p>
      <w:pPr>
        <w:pStyle w:val="Heading3"/>
      </w:pPr>
      <w:r>
        <w:t>المرحلة الرابعة: التكامل والتسليم النهائي — ضمان الجودة والاستدامة المؤسسية</w:t>
      </w:r>
    </w:p>
    <w:p>
      <w:r>
        <w:rPr>
          <w:b/>
        </w:rPr>
        <w:t>Activities:</w:t>
      </w:r>
    </w:p>
    <w:p>
      <w:pPr>
        <w:pStyle w:val="ListBullet"/>
      </w:pPr>
      <w:r>
        <w:t>المرحلة الفرعية 4.1 — مراجعة التكامل الشاملة: إجراء مراجعة تكامل شاملة لجميع مخرجات المراحل الثلاث السابقة للتأكد من: (أ) الاتساق المنهجي: أن توصيات التقييم (D-1) تنعكس في تصميم المبادرات (D-2) وأن برنامج التدريب (D-3) يُغطي الكفاءات المطلوبة لتنفيذ المبادرات المُصمَّمة؛ (ب) الاتساق اللغوي والمصطلحي: توحيد المصطلحات عبر جميع الوثائق مع مسرد مصطلحات مُوحَّد عربي-إنجليزي؛ (ج) الاكتمال: التحقق من أن كل متطلب في نطاق العمل (SI-1، SI-2، SI-3) مُغطى بمخرج محدد مع مصفوفة تتبع المتطلبات-المخرجات؛ (د) القابلية للتنفيذ: التحقق من أن كل مخرج يتضمن معلومات كافية لبدء التنفيذ دون الحاجة لتوضيحات إضافية.</w:t>
      </w:r>
    </w:p>
    <w:p>
      <w:pPr>
        <w:pStyle w:val="ListBullet"/>
      </w:pPr>
      <w:r>
        <w:t>المرحلة الفرعية 4.1 — ضمان الجودة النهائي: تنفيذ دورة ضمان جودة نهائية لجميع المخرجات تتضمن: (أ) مراجعة فنية من خبير مستقل (عضو في فريق المشروع لم يُشارك في إعداد المخرج المُحدد) للتحقق من الدقة الفنية والمنهجية؛ (ب) مراجعة لغوية وتحريرية شاملة للنص العربي؛ (ج) التحقق من صحة جميع المراجع والمصادر المُستشهد بها؛ (د) مراجعة التنسيق والعرض البصري لضمان الاحترافية والاتساق عبر جميع الوثائق. يُنتج هذا النشاط سجل ضمان الجودة الذي يُوثق جميع المراجعات والتعديلات.</w:t>
      </w:r>
    </w:p>
    <w:p>
      <w:pPr>
        <w:pStyle w:val="ListBullet"/>
      </w:pPr>
      <w:r>
        <w:t>المرحلة الفرعية 4.2 — إعداد حزمة التسليم النهائية: تجميع جميع المخرجات في حزمة تسليم نهائية مُنظَّمة تتضمن: (أ) المُسلَّمات الرسمية الثلاثة (D-1، D-2، D-3) بنسخها التفصيلية والتنفيذية؛ (ب) الملاحق الفنية: أدوات التقييم، نماذج العمل، أدلة الإجراءات؛ (ج) الملاحق الإدارية: سجلات الاجتماعات، تقارير التقدم، سجل المخاطر والقضايا؛ (د) فهرس شامل للحزمة مع وصف موجز لكل وثيقة وتصنيفها (مخرج رسمي / ملحق فني / ملحق إداري). تُسلَّم الحزمة بنسخ إلكترونية ومطبوعة حسب متطلبات سدايا.</w:t>
      </w:r>
    </w:p>
    <w:p>
      <w:pPr>
        <w:pStyle w:val="ListBullet"/>
      </w:pPr>
      <w:r>
        <w:t>المرحلة الفرعية 4.2 — إعداد خارطة طريق ما بعد المشروع: تطوير وثيقة خارطة طريق ما بعد المشروع تُحدد الخطوات التالية التي يجب على سدايا اتخاذها لتفعيل مخرجات المشروع، تتضمن: (أ) الإجراءات الفورية (0-3 أشهر): تفعيل أُطر التعاون مع الدول الشريكة ذات الأولوية، بدء تنفيذ المبادرات ذات المكاسب السريعة، تفعيل فريق المُقيِّمين الداخليين؛ (ب) الإجراءات متوسطة المدى (3-12 شهراً): إطلاق المبادرات البحثية الرئيسية، تقديم التقرير الدوري الأول لليونسكو باستخدام الإطار المُطوَّر، توسيع شبكة الدول الشريكة؛ (ج) الإجراءات طويلة المدى (12-36 شهراً): تنفيذ التحولات الهيكلية، إجراء التقييم المعياري الدوري الأول، مراجعة وتحديث الاستراتيجية.</w:t>
      </w:r>
    </w:p>
    <w:p>
      <w:pPr>
        <w:pStyle w:val="ListBullet"/>
      </w:pPr>
      <w:r>
        <w:t>المرحلة الفرعية 4.3 — العرض التقديمي النهائي: إعداد وتقديم عرض تقديمي نهائي شامل للجنة التوجيه في سدايا يتضمن: (أ) ملخص المنهجية المُتبعة والأنشطة المُنفذة؛ (ب) أبرز نتائج التقييم والتوصيات الاستراتيجية؛ (ج) ملخص المبادرات وأُطر التعاون المُصمَّمة؛ (د) نتائج برنامج التدريب ونقل المعرفة؛ (هـ) خارطة طريق ما بعد المشروع؛ (و) الدروس المستفادة والتوصيات الختامية. يُتاح وقت كافٍ للأسئلة والمناقشة مع أعضاء لجنة التوجيه.</w:t>
      </w:r>
    </w:p>
    <w:p>
      <w:pPr>
        <w:pStyle w:val="ListBullet"/>
      </w:pPr>
      <w:r>
        <w:t>المرحلة الفرعية 4.3 — جلسة تسليم المعرفة الختامية: عقد جلسة تسليم معرفة ختامية مع فريق سدايا التشغيلي (منفصلة عن العرض التقديمي للجنة التوجيه) تتضمن: (أ) استعراض تفصيلي لجميع الأدوات والنماذج المُسلَّمة مع شرح عملي لكيفية استخدامها؛ (ب) الإجابة على جميع الأسئلة الفنية والتشغيلية؛ (ج) تسليم جميع ملفات العمل الإلكترونية بتنسيقات قابلة للتعديل؛ (د) الاتفاق على آلية الدعم الفني خلال فترة الضمان (إن وُجدت في شروط العقد).</w:t>
      </w:r>
    </w:p>
    <w:p>
      <w:pPr>
        <w:pStyle w:val="ListBullet"/>
      </w:pPr>
      <w:r>
        <w:t>المرحلة الفرعية 4.4 — استيعاب الملاحظات النهائية والإغلاق الرسمي: معالجة جميع ملاحظات سدايا على حزمة التسليم النهائية وإصدار النسخ المُعدَّلة النهائية، تتضمن: (أ) تجميع ملاحظات سدايا من العرض التقديمي وجلسة تسليم المعرفة؛ (ب) تصنيف الملاحظات (تعديلات مطلوبة، توضيحات، اقتراحات للمستقبل)؛ (ج) تنفيذ التعديلات المطلوبة وإصدار النسخ النهائية المُعتمدة؛ (د) إعداد محضر الإغلاق الرسمي الذي يُوثق: المخرجات المُسلَّمة والمُعتمدة، الملاحظات المُعالجة، والتوصيات المُؤجلة لما بعد المشروع.</w:t>
      </w:r>
    </w:p>
    <w:p>
      <w:pPr>
        <w:pStyle w:val="ListBullet"/>
      </w:pPr>
      <w:r>
        <w:t>المرحلة الفرعية 4.4 — توثيق الدروس المستفادة: إعداد وثيقة الدروس المستفادة من المشروع تتضمن: (أ) ما نجح بشكل جيد ولماذا؛ (ب) التحديات التي واجهت التنفيذ وكيف تمت معالجتها؛ (ج) التوصيات لتحسين المشاريع المماثلة مستقبلاً؛ (د) ملاحظات حول فعالية المنهجية المُستخدمة وأدوات التقييم. تُسلَّم الوثيقة لسدايا كمرجع مؤسسي وتُستخدم داخلياً لتحسين منهجيات العمل.</w:t>
      </w:r>
    </w:p>
    <w:p>
      <w:pPr>
        <w:pStyle w:val="ListBullet"/>
      </w:pPr>
      <w:r>
        <w:t>المرحلة الفرعية 4.4 — إعداد مصفوفة تتبع المتطلبات النهائية: إنتاج مصفوفة تتبع نهائية تربط كل متطلب في نطاق العمل (SI-1، SI-2، SI-3) وكل مُخرج مطلوب (D-1، D-2، D-3) بالوثيقة المُحددة في حزمة التسليم التي تُلبيه، مع إشارة إلى رقم الصفحة والقسم. تُمكّن هذه المصفوفة سدايا من التحقق بسرعة من اكتمال التسليم وتُسهّل عملية الاعتماد الرسمي.</w:t>
      </w:r>
    </w:p>
    <w:p>
      <w:pPr>
        <w:pStyle w:val="ListBullet"/>
      </w:pPr>
      <w:r>
        <w:t>المرحلة الفرعية 4.4 — بناء خريطة التبعيات لمدخلات سدايا: إنتاج خريطة تبعيات نهائية تُوضح جميع المدخلات المطلوبة من سدايا عبر مراحل التنفيذ المستقبلية للمبادرات المُصمَّمة، تتضمن: حزمة الوثائق الأولية، قائمة أصحاب المصلحة، ترتيب التواصل مع اليونسكو، ترشيح المتدربين، ومدة المراجعة والاعتماد لكل مخرج. تُسلَّم كملحق لخارطة طريق ما بعد المشروع.</w:t>
      </w:r>
    </w:p>
    <w:p>
      <w:r>
        <w:rPr>
          <w:b/>
        </w:rPr>
        <w:t>Deliverables:</w:t>
      </w:r>
    </w:p>
    <w:p>
      <w:pPr>
        <w:pStyle w:val="ListBullet"/>
      </w:pPr>
      <w:r>
        <w:t>D-4.1: تقرير مراجعة التكامل وضمان الجودة — يتضمن: نتائج مراجعة الاتساق المنهجي واللغوي والاكتمال، سجل ضمان الجودة مع جميع المراجعات والتعديلات، ومصفوفة تتبع المتطلبات-المخرجات. [مخرج إداري]</w:t>
      </w:r>
    </w:p>
    <w:p>
      <w:pPr>
        <w:pStyle w:val="ListBullet"/>
      </w:pPr>
      <w:r>
        <w:t>D-4.2: حزمة التسليم النهائية المتكاملة — تتضمن: المُسلَّمات الرسمية الثلاثة (D-1، D-2، D-3) بنسخها التفصيلية والتنفيذية، الملاحق الفنية والإدارية، المسرد المُوحَّد، والفهرس الشامل. بنسخ إلكترونية ومطبوعة. [مخرج عميل — الحزمة الرسمية النهائية]</w:t>
      </w:r>
    </w:p>
    <w:p>
      <w:pPr>
        <w:pStyle w:val="ListBullet"/>
      </w:pPr>
      <w:r>
        <w:t>D-4.3: خارطة طريق ما بعد المشروع — تتضمن: الإجراءات الفورية والمتوسطة والطويلة المدى لتفعيل مخرجات المشروع، مع تحديد المسؤوليات والموارد المطلوبة والمعالم الرئيسية. [مخرج عميل]</w:t>
      </w:r>
    </w:p>
    <w:p>
      <w:pPr>
        <w:pStyle w:val="ListBullet"/>
      </w:pPr>
      <w:r>
        <w:t>D-4.4: العرض التقديمي النهائي — عرض تقديمي شامل للجنة التوجيه يُلخص المنهجية والنتائج والمخرجات والتوصيات. [مخرج عميل]</w:t>
      </w:r>
    </w:p>
    <w:p>
      <w:pPr>
        <w:pStyle w:val="ListBullet"/>
      </w:pPr>
      <w:r>
        <w:t>D-4.5: مصفوفة تتبع المتطلبات النهائية — تربط كل متطلب في نطاق العمل بالوثيقة المُحددة في حزمة التسليم مع إشارات مرجعية دقيقة. [مخرج عميل]</w:t>
      </w:r>
    </w:p>
    <w:p>
      <w:pPr>
        <w:pStyle w:val="ListBullet"/>
      </w:pPr>
      <w:r>
        <w:t>D-4.6: خريطة تبعيات مدخلات سدايا — تُوضح جميع المدخلات المطلوبة من سدايا لتنفيذ المبادرات المُصمَّمة مع المواعيد والمسؤوليات. [مخرج عميل]</w:t>
      </w:r>
    </w:p>
    <w:p>
      <w:pPr>
        <w:pStyle w:val="ListBullet"/>
      </w:pPr>
      <w:r>
        <w:t>D-4.7: وثيقة الدروس المستفادة ومحضر الإغلاق الرسمي — تتضمن: الدروس المستفادة، المخرجات المُسلَّمة والمُعتمدة، الملاحظات المُعالجة، والتوصيات المُؤجلة. [مخرج إداري]</w:t>
      </w:r>
    </w:p>
    <w:p>
      <w:r>
        <w:rPr>
          <w:b/>
        </w:rPr>
        <w:t xml:space="preserve">Governance: </w:t>
      </w:r>
      <w:r>
        <w:t>بوابة الاعتماد النهائية: تُعقد جلسة اعتماد رسمية مع لجنة التوجيه في سدايا بعد العرض التقديمي النهائي واستيعاب الملاحظات. معايير الإغلاق: (1) اعتماد سدايا لجميع المُسلَّمات الرسمية الثلاثة (D-1، D-2، D-3)؛ (2) اكتمال مصفوفة تتبع المتطلبات بتغطية 100% لنطاق العمل؛ (3) معالجة جميع ملاحظات سدايا على حزمة التسليم؛ (4) توقيع محضر الإغلاق الرسمي من الطرفين. آلية التصعيد: أي خلاف حول اكتمال المخرجات أو جودتها يُحال إلى لجنة التوجيه مع وثيقة تفصيلية تُوضح موقف كل طرف والحلول المقترحة. الإغلاق الإداري: يشمل تسليم جميع الملفات الإلكترونية، إلغاء صلاحيات الوصول، وتأكيد الالتزام بالسرية بعد انتهاء المشروع وفقاً لمتطلب CR-8.</w:t>
      </w:r>
    </w:p>
    <w:p>
      <w:pPr>
        <w:pStyle w:val="Heading3"/>
      </w:pPr>
      <w:r>
        <w:t>المسار المستمر: الحوكمة الموحَّدة وإدارة الجودة عبر جميع المراحل</w:t>
      </w:r>
    </w:p>
    <w:p>
      <w:r>
        <w:rPr>
          <w:b/>
        </w:rPr>
        <w:t>Activities:</w:t>
      </w:r>
    </w:p>
    <w:p>
      <w:pPr>
        <w:pStyle w:val="ListBullet"/>
      </w:pPr>
      <w:r>
        <w:t>نموذج الحوكمة الموحَّد — هيكل الحوكمة: يعمل المشروع وفق هيكل حوكمة ثلاثي المستويات يُطبَّق بشكل موحَّد عبر جميع المراحل: (أ) لجنة التوجيه (Steering Committee): تضم ممثلين من الإدارة العليا في سدايا ومدير المشروع من ستراتيجيك جيرز، تجتمع مرة كل أسبوعين أو عند بوابات الاعتماد المرحلية، مسؤولة عن: اعتماد المخرجات الرئيسية، حل القضايا المُصعَّدة، اتخاذ القرارات الاستراتيجية، ومراقبة التقدم العام؛ (ب) فريق إدارة المشروع (PMO): يضم مدير المشروع من كل طرف، يجتمع أسبوعياً، مسؤول عن: تنسيق الأنشطة اليومية، إدارة المخاطر والقضايا، متابعة الجدول الزمني والميزانية، وإعداد تقارير التقدم؛ (ج) فرق العمل الفنية: تضم الاستشاريين المتخصصين وأعضاء فريق سدايا المُشاركين، تعمل يومياً على تنفيذ الأنشطة وإنتاج المخرجات.</w:t>
      </w:r>
    </w:p>
    <w:p>
      <w:pPr>
        <w:pStyle w:val="ListBullet"/>
      </w:pPr>
      <w:r>
        <w:t>نموذج الحوكمة الموحَّد — آلية التقارير والتواصل: (أ) تقرير أسبوعي مُوجز (صفحة واحدة): يُرسل كل أحد لمدير المشروع في سدايا، يتضمن: الأنشطة المُنجزة خلال الأسبوع، الأنشطة المُخطط لها للأسبوع القادم، المخاطر والقضايا المفتوحة (مُصنَّفة بالألوان: أحمر/أصفر/أخضر)، والمدخلات المطلوبة من سدايا مع مواعيدها؛ (ب) تقرير مرحلي تفصيلي: يُقدَّم عند كل بوابة اعتماد، يتضمن: ملخص تنفيذي، حالة المخرجات، تحليل المخاطر، الدروس المستفادة، والتوصيات للمرحلة التالية؛ (ج) اجتماعات التنسيق الأسبوعية: اجتماع مدته 30 دقيقة بين مديري المشروع من الطرفين لمراجعة التقدم وحل القضايا التشغيلية.</w:t>
      </w:r>
    </w:p>
    <w:p>
      <w:pPr>
        <w:pStyle w:val="ListBullet"/>
      </w:pPr>
      <w:r>
        <w:t>نموذج الحوكمة الموحَّد — إدارة المخاطر: تطبيق نظام إدارة مخاطر استباقي يتضمن: (أ) سجل مخاطر مُحدَّث أسبوعياً يتضمن لكل خطر: الوصف، الاحتمالية، الأثر، التصنيف (أحمر/أصفر/أخضر)، إجراء التخفيف، المسؤول، والحالة؛ (ب) المخاطر المُحددة مسبقاً تشمل: تأخر تسليم المدخلات من سدايا، صعوبة ترتيب المقابلات مع جهات اليونسكو، عدم توفر المتدربين في المواعيد المُحددة، تغيير في أولويات سدايا خلال المشروع، وعدم كفاية البيانات المتاحة للمقارنة المعيارية؛ (ج) بروتوكول التصعيد: القضايا التشغيلية تُحل على مستوى فريق إدارة المشروع خلال يومي عمل، القضايا الاستراتيجية تُصعَّد إلى لجنة التوجيه خلال خمسة أيام عمل مع وثيقة خيارات مُهيكلة.</w:t>
      </w:r>
    </w:p>
    <w:p>
      <w:pPr>
        <w:pStyle w:val="ListBullet"/>
      </w:pPr>
      <w:r>
        <w:t>نموذج الحوكمة الموحَّد — ضمان الجودة المستمر: تطبيق نظام ضمان جودة مستمر عبر جميع المراحل يتضمن: (أ) معايير جودة مُعرَّفة مسبقاً لكل نوع من المخرجات (تقارير تقييم، تصميمات مبادرات، مواد تدريبية) تشمل: الدقة الفنية، الاتساق المنهجي، جودة اللغة العربية، اكتمال المحتوى، وقابلية الاستخدام؛ (ب) مراجعة نظير (Peer Review) لكل مخرج رئيسي قبل تقديمه لسدايا — يُراجع المخرج استشاري لم يُشارك في إعداده؛ (ج) قائمة مراجعة جودة مُعيَّرة تُستخدم قبل كل تسليم؛ (د) آلية تتبع ملاحظات سدايا لضمان معالجة كل ملاحظة وتوثيق الاستجابة.</w:t>
      </w:r>
    </w:p>
    <w:p>
      <w:pPr>
        <w:pStyle w:val="ListBullet"/>
      </w:pPr>
      <w:r>
        <w:t>نموذج الحوكمة الموحَّد — إدارة التغيير: تطبيق إجراء رسمي لإدارة التغيير يتضمن: (أ) أي تغيير في نطاق العمل أو الجدول الزمني أو المخرجات يتطلب طلب تغيير رسمي يتضمن: وصف التغيير، المبرر، الأثر على الجدول الزمني والميزانية والجودة، والتوصية؛ (ب) طلبات التغيير الصغيرة (لا تؤثر على المخرجات الرئيسية أو الجدول الزمني) يعتمدها مديرا المشروع؛ (ج) طلبات التغيير الكبيرة (تؤثر على المخرجات أو الجدول) تُحال إلى لجنة التوجيه للاعتماد؛ (د) سجل تغييرات مُحدَّث يُوثق جميع التغييرات المُعتمدة وأثرها.</w:t>
      </w:r>
    </w:p>
    <w:p>
      <w:pPr>
        <w:pStyle w:val="ListBullet"/>
      </w:pPr>
      <w:r>
        <w:t>نموذج الحوكمة الموحَّد — إدارة أصحاب المصلحة: تطبيق خطة إدارة أصحاب مصلحة مُهيكلة تتضمن: (أ) خريطة أصحاب المصلحة مُصنَّفة حسب مستوى التأثير والاهتمام (سدايا — إدارة عليا، سدايا — فريق تشغيلي، اليونسكو — مقر رئيسي، اليونسكو — مكاتب إقليمية، دول شريكة، خبراء دوليون)؛ (ب) استراتيجية تواصل مُخصصة لكل فئة تُحدد: الرسائل الرئيسية، قنوات التواصل، التكرار، والمسؤول؛ (ج) آلية رصد رضا أصحاب المصلحة عبر استبيانات مُوجزة عند كل بوابة اعتماد.</w:t>
      </w:r>
    </w:p>
    <w:p>
      <w:pPr>
        <w:pStyle w:val="ListBullet"/>
      </w:pPr>
      <w:r>
        <w:t>نموذج الحوكمة الموحَّد — الالتزام بمتطلبات كراسة الشروط: ضمان الالتزام المستمر بالمتطلبات التنظيمية المنصوص عليها في كراسة الشروط عبر: (أ) الالتزام بالسرية وعدم إفشاء معلومات المنافسة (CR-8) من خلال توقيع جميع أعضاء فريق المشروع على اتفاقية سرية فردية وتطبيق ضوابط أمن المعلومات على جميع الوثائق؛ (ب) الالتزام بقواعد السلوك المهني وأخلاقيات المهنة (CR-7) من خلال تطبيق ميثاق أخلاقيات مهنية مُعتمد على جميع أنشطة المشروع؛ (ج) الالتزام بلائحة تنظيم تعارض المصالح (CR-6) من خلال الإفصاح الكتابي عن أي حالة تعارض محتملة فور اكتشافها؛ (د) إنتاج جميع المخرجات باللغة العربية أصالةً مع ملاحق إنجليزية حيث يتطلب التوافق مع اليونسكو (CR-1).</w:t>
      </w:r>
    </w:p>
    <w:p>
      <w:pPr>
        <w:pStyle w:val="ListBullet"/>
      </w:pPr>
      <w:r>
        <w:t>نموذج الحوكمة الموحَّد — مصفوفة المسؤوليات RACI: تطبيق مصفوفة RACI مُوحَّدة عبر جميع المراحل تُحدد لكل نشاط ومخرج: المسؤول عن التنفيذ (R)، المسؤول عن الاعتماد (A)، المُستشار (C)، والمُطَّلع (I). الأدوار الرئيسية: مدير المشروع (SG) — مسؤول عن تنفيذ جميع الأنشطة وإنتاج المخرجات؛ مدير المشروع (سدايا) — مسؤول عن تسهيل الوصول للمعلومات وترتيب المقابلات وتوفير المتدربين؛ لجنة التوجيه — مسؤولة عن اعتماد المخرجات الرئيسية والقرارات الاستراتيجية؛ فريق سدايا التشغيلي — مُشارك في أنشطة نقل المعرفة ومُطَّلع على التقدم.</w:t>
      </w:r>
    </w:p>
    <w:p>
      <w:pPr>
        <w:pStyle w:val="ListBullet"/>
      </w:pPr>
      <w:r>
        <w:t>نموذج الحوكمة الموحَّد — بوابات الاعتماد المرحلية: أربع بوابات اعتماد رسمية مُوزَّعة على المراحل: بوابة 1 (نهاية المرحلة الأولى): اعتماد تقرير التقييم الشامل D-1 — شرط مسبق للانتقال إلى المرحلة الثانية؛ بوابة 2 (نهاية المرحلة الثانية): اعتماد التقرير المتكامل لتطوير البرامج D-2 — شرط مسبق للانتقال إلى المرحلة الثالثة (مع ملاحظة أن أنشطة نقل المعرفة المُدمجة تبدأ من المرحلة الأولى)؛ بوابة 3 (نهاية المرحلة الثالثة): اعتماد تقرير التدريب ونقل المعرفة D-3؛ بوابة 4 (نهاية المرحلة الرابعة): الاعتماد النهائي لحزمة التسليم المتكاملة وتوقيع محضر الإغلاق. كل بوابة تتطلب: عرض تقديمي رسمي، وثيقة المخرج المُكتمل، ومحضر اعتماد مُوقَّع.</w:t>
      </w:r>
    </w:p>
    <w:p>
      <w:r>
        <w:rPr>
          <w:b/>
        </w:rPr>
        <w:t>Deliverables:</w:t>
      </w:r>
    </w:p>
    <w:p>
      <w:pPr>
        <w:pStyle w:val="ListBullet"/>
      </w:pPr>
      <w:r>
        <w:t>DG-1: ميثاق الحوكمة — وثيقة مرجعية تُحدد: هيكل الحوكمة الثلاثي، مصفوفة RACI، بروتوكول التقارير والتواصل، إجراء إدارة التغيير، وبروتوكول التصعيد. تُعتمد في الأسبوع الأول وتُحدَّث عند الحاجة. [مخرج إداري]</w:t>
      </w:r>
    </w:p>
    <w:p>
      <w:pPr>
        <w:pStyle w:val="ListBullet"/>
      </w:pPr>
      <w:r>
        <w:t>DG-2: سجل المخاطر والقضايا — سجل مُحدَّث أسبوعياً يتضمن جميع المخاطر والقضايا مع تصنيفها وإجراءات التخفيف والحالة. [مخرج إداري]</w:t>
      </w:r>
    </w:p>
    <w:p>
      <w:pPr>
        <w:pStyle w:val="ListBullet"/>
      </w:pPr>
      <w:r>
        <w:t>DG-3: تقارير التقدم الأسبوعية — تقرير مُوجز أسبوعي (صفحة واحدة) يُغطي: الإنجازات، الخطط، المخاطر، والمدخلات المطلوبة. [مخرج إداري]</w:t>
      </w:r>
    </w:p>
    <w:p>
      <w:pPr>
        <w:pStyle w:val="ListBullet"/>
      </w:pPr>
      <w:r>
        <w:t>DG-4: تقارير بوابات الاعتماد المرحلية (4 تقارير) — تقرير تفصيلي عند كل بوابة اعتماد يتضمن: حالة المخرجات، تحليل المخاطر، الدروس المستفادة، والتوصيات. [مخرج إداري]</w:t>
      </w:r>
    </w:p>
    <w:p>
      <w:pPr>
        <w:pStyle w:val="ListBullet"/>
      </w:pPr>
      <w:r>
        <w:t>DG-5: سجل التغييرات — يُوثق جميع طلبات التغيير المُقدمة والمُعتمدة وأثرها على النطاق والجدول والميزانية. [مخرج إداري]</w:t>
      </w:r>
    </w:p>
    <w:p>
      <w:pPr>
        <w:pStyle w:val="ListBullet"/>
      </w:pPr>
      <w:r>
        <w:t>DG-6: سجل ضمان الجودة — يُوثق جميع مراجعات الجودة المُنفذة ونتائجها والتعديلات المُطبقة. [مخرج إداري]</w:t>
      </w:r>
    </w:p>
    <w:p>
      <w:r>
        <w:rPr>
          <w:b/>
        </w:rPr>
        <w:t xml:space="preserve">Governance: </w:t>
      </w:r>
      <w:r>
        <w:t>هذا المسار هو نموذج الحوكمة الموحَّد ذاته — يُطبَّق بشكل مستمر عبر جميع المراحل الأربع ولا يخضع لبوابة اعتماد منفصلة. يُراجَع ميثاق الحوكمة عند كل بوابة اعتماد مرحلية ويُحدَّث إذا اقتضت المستجدات ذلك. المسؤولية النهائية عن تطبيق نموذج الحوكمة تقع على مدير المشروع من ستراتيجيك جيرز، مع إشراف لجنة التوجيه على الالتزام بالمعايير المُعتمدة. يُقيَّم أداء نظام الحوكمة ذاته عند كل بوابة اعتماد عبر ثلاثة مؤشرات: نسبة المخاطر المُعالجة في الوقت المحدد، نسبة المخرجات التي اجتازت مراجعة الجودة من المحاولة الأولى، ومستوى رضا سدايا عن التواصل والتقارير (يُقاس عبر استبيان مُوجز).</w:t>
      </w:r>
    </w:p>
    <w:p>
      <w:pPr>
        <w:pStyle w:val="Heading2"/>
      </w:pPr>
      <w:r>
        <w:t>5.3 Governance Framework</w:t>
      </w:r>
    </w:p>
    <w:p>
      <w:r>
        <w:t>## إطار الحوكمة الشامل للمشروع — النسخة النهائية المُحسَّنة</w:t>
        <w:br/>
        <w:t xml:space="preserve"> ---</w:t>
        <w:br/>
        <w:t xml:space="preserve"> ### ١. المبادئ التأسيسية للحوكمة</w:t>
        <w:br/>
        <w:t xml:space="preserve"> مشروع الخدمات الاحترافية في أبحاث الذكاء الاصطناعي وأخلاقياته مع اليونسكو — الصادر عن الهيئة السعودية للبيانات والذكاء الاصطناعي (سدايا) — يستوجب إطار حوكمة يعكس معايير الشفافية والمساءلة ذاتها التي يسعى المشروع لتعزيزها دولياً. يرتكز هذا الإطار على ثلاثة مبادئ حاكمة:</w:t>
        <w:br/>
        <w:t xml:space="preserve"> **(أ) المساءلة المتبادلة:** أدوار ومسؤوليات محددة بدقة لكل مخرج من المخرجات الإلزامية الثلاثة (D-1 التقييم، D-2 تطوير البرامج، D-3 التدريب ونقل المعرفة)، مع توثيق رسمي لكل قرار وكل انحراف عن الخطة المعتمدة. **(ب) الشفافية في اتخاذ القرار:** آليات توثيق وتصعيد واضحة بمحفزات كمية واتفاقيات مستوى خدمة محددة بالساعات وأيام العمل — لا مجال للغموض في من يقرر ماذا ومتى. **(ج) الاستدامة المؤسسية:** دمج نقل المعرفة في كل آلية حوكمة — من حضور فريق سدايا في اجتماعات المراجعة إلى مشاركتهم في تصميم المبادرات — وليس كنشاط منفصل في نهاية المشروع. يستند التصميم إلى أفضل الممارسات الدولية في حوكمة البرامج البحثية المؤسسية [EXT-003] ومنهجيات التقييم الهرمي للقدرات [EXT-008]، مع تكييفها لتتوافق مع السياق التشغيلي لسدايا ومتطلبات التعاون مع اليونسكو. يتكون الإطار من أحد عشر محوراً متكاملاً. كل آلية تُذكر مرة واحدة في موقعها الأصلي مع إحالات مرجعية عند الحاجة — دون تكرار بين حوكمة المراحل وحوكمة الإطار المستقل. **تسمية موحدة مُلزمة عبر جميع أقسام العرض:**</w:t>
        <w:br/>
        <w:t xml:space="preserve"> - اللجنة التوجيهية (Steering Committee) — الجهة الاستراتيجية العليا</w:t>
        <w:br/>
        <w:t xml:space="preserve"> - مكتب إدارة المشروع (PMO) — الجهة التشغيلية</w:t>
        <w:br/>
        <w:t xml:space="preserve"> - مدير المشروع من SG (SG Project Manager) — المسؤول التشغيلي اليومي</w:t>
        <w:br/>
        <w:t xml:space="preserve"> - مدير المشاركة من SG (SG Engagement Director) — المسؤول الاستراتيجي وضمان الجودة</w:t>
        <w:br/>
        <w:t xml:space="preserve"> - مدير مشروع سدايا (SDAIA PMO Lead) — نقطة الاتصال التشغيلية من العميل</w:t>
        <w:br/>
        <w:t xml:space="preserve"> هذه التسميات ثابتة ولا تتغير في أي قسم من أقسام العرض أو الشرائح أو التقارير. ---</w:t>
        <w:br/>
        <w:t xml:space="preserve"> ### ٢. اللجنة التوجيهية (Steering Committee)</w:t>
        <w:br/>
        <w:t xml:space="preserve"> #### ٢.١ التشكيل والعضوية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الدور</w:t>
            </w:r>
          </w:p>
        </w:tc>
        <w:tc>
          <w:tcPr>
            <w:tcW w:type="dxa" w:w="2880"/>
          </w:tcPr>
          <w:p>
            <w:r>
              <w:rPr>
                <w:b/>
                <w:sz w:val="18"/>
              </w:rPr>
              <w:t>الجهة</w:t>
            </w:r>
          </w:p>
        </w:tc>
        <w:tc>
          <w:tcPr>
            <w:tcW w:type="dxa" w:w="2880"/>
          </w:tcPr>
          <w:p>
            <w:r>
              <w:rPr>
                <w:b/>
                <w:sz w:val="18"/>
              </w:rPr>
              <w:t>المسؤولية الرئيسية</w:t>
            </w:r>
          </w:p>
        </w:tc>
      </w:tr>
      <w:tr>
        <w:tc>
          <w:tcPr>
            <w:tcW w:type="dxa" w:w="2880"/>
          </w:tcPr>
          <w:p>
            <w:r>
              <w:rPr>
                <w:sz w:val="18"/>
              </w:rPr>
              <w:t>رئيس اللجنة التوجيهية</w:t>
            </w:r>
          </w:p>
        </w:tc>
        <w:tc>
          <w:tcPr>
            <w:tcW w:type="dxa" w:w="2880"/>
          </w:tcPr>
          <w:p>
            <w:r>
              <w:rPr>
                <w:sz w:val="18"/>
              </w:rPr>
              <w:t>سدايا — مستوى مدير عام أو نائب</w:t>
            </w:r>
          </w:p>
        </w:tc>
        <w:tc>
          <w:tcPr>
            <w:tcW w:type="dxa" w:w="2880"/>
          </w:tcPr>
          <w:p>
            <w:r>
              <w:rPr>
                <w:sz w:val="18"/>
              </w:rPr>
              <w:t>القرارات الاستراتيجية، الموافقة النهائية على المخرجات الرئيسية، حل النزاعات</w:t>
            </w:r>
          </w:p>
        </w:tc>
      </w:tr>
      <w:tr>
        <w:tc>
          <w:tcPr>
            <w:tcW w:type="dxa" w:w="2880"/>
          </w:tcPr>
          <w:p>
            <w:r>
              <w:rPr>
                <w:sz w:val="18"/>
              </w:rPr>
              <w:t>عضو — ممثل البرامج الدولية</w:t>
            </w:r>
          </w:p>
        </w:tc>
        <w:tc>
          <w:tcPr>
            <w:tcW w:type="dxa" w:w="2880"/>
          </w:tcPr>
          <w:p>
            <w:r>
              <w:rPr>
                <w:sz w:val="18"/>
              </w:rPr>
              <w:t>سدايا — إدارة التعاون الدولي</w:t>
            </w:r>
          </w:p>
        </w:tc>
        <w:tc>
          <w:tcPr>
            <w:tcW w:type="dxa" w:w="2880"/>
          </w:tcPr>
          <w:p>
            <w:r>
              <w:rPr>
                <w:sz w:val="18"/>
              </w:rPr>
              <w:t>ضمان التوافق مع أهداف التعاون مع اليونسكو والدول الشريكة</w:t>
            </w:r>
          </w:p>
        </w:tc>
      </w:tr>
      <w:tr>
        <w:tc>
          <w:tcPr>
            <w:tcW w:type="dxa" w:w="2880"/>
          </w:tcPr>
          <w:p>
            <w:r>
              <w:rPr>
                <w:sz w:val="18"/>
              </w:rPr>
              <w:t>عضو — ممثل الأبحاث والأخلاقيات</w:t>
            </w:r>
          </w:p>
        </w:tc>
        <w:tc>
          <w:tcPr>
            <w:tcW w:type="dxa" w:w="2880"/>
          </w:tcPr>
          <w:p>
            <w:r>
              <w:rPr>
                <w:sz w:val="18"/>
              </w:rPr>
              <w:t>سدايا — إدارة أخلاقيات الذكاء الاصطناعي</w:t>
            </w:r>
          </w:p>
        </w:tc>
        <w:tc>
          <w:tcPr>
            <w:tcW w:type="dxa" w:w="2880"/>
          </w:tcPr>
          <w:p>
            <w:r>
              <w:rPr>
                <w:sz w:val="18"/>
              </w:rPr>
              <w:t>المراجعة الفنية والتوجيه الموضوعي لمخرجات التقييم والبرامج</w:t>
            </w:r>
          </w:p>
        </w:tc>
      </w:tr>
      <w:tr>
        <w:tc>
          <w:tcPr>
            <w:tcW w:type="dxa" w:w="2880"/>
          </w:tcPr>
          <w:p>
            <w:r>
              <w:rPr>
                <w:sz w:val="18"/>
              </w:rPr>
              <w:t>عضو — مدير مشروع سدايا (PMO Lead)</w:t>
            </w:r>
          </w:p>
        </w:tc>
        <w:tc>
          <w:tcPr>
            <w:tcW w:type="dxa" w:w="2880"/>
          </w:tcPr>
          <w:p>
            <w:r>
              <w:rPr>
                <w:sz w:val="18"/>
              </w:rPr>
              <w:t>سدايا — مكتب إدارة المشاريع</w:t>
            </w:r>
          </w:p>
        </w:tc>
        <w:tc>
          <w:tcPr>
            <w:tcW w:type="dxa" w:w="2880"/>
          </w:tcPr>
          <w:p>
            <w:r>
              <w:rPr>
                <w:sz w:val="18"/>
              </w:rPr>
              <w:t>التنسيق التشغيلي، متابعة الجداول الزمنية، تيسير الوصول للبيانات</w:t>
            </w:r>
          </w:p>
        </w:tc>
      </w:tr>
      <w:tr>
        <w:tc>
          <w:tcPr>
            <w:tcW w:type="dxa" w:w="2880"/>
          </w:tcPr>
          <w:p>
            <w:r>
              <w:rPr>
                <w:sz w:val="18"/>
              </w:rPr>
              <w:t>عضو — مدير المشروع من SG</w:t>
            </w:r>
          </w:p>
        </w:tc>
        <w:tc>
          <w:tcPr>
            <w:tcW w:type="dxa" w:w="2880"/>
          </w:tcPr>
          <w:p>
            <w:r>
              <w:rPr>
                <w:sz w:val="18"/>
              </w:rPr>
              <w:t>Strategic Gears — مدير المشروع</w:t>
            </w:r>
          </w:p>
        </w:tc>
        <w:tc>
          <w:tcPr>
            <w:tcW w:type="dxa" w:w="2880"/>
          </w:tcPr>
          <w:p>
            <w:r>
              <w:rPr>
                <w:sz w:val="18"/>
              </w:rPr>
              <w:t>تقديم التقارير التشغيلية، إدارة فريق العمل، تنسيق المخرجات</w:t>
            </w:r>
          </w:p>
        </w:tc>
      </w:tr>
      <w:tr>
        <w:tc>
          <w:tcPr>
            <w:tcW w:type="dxa" w:w="2880"/>
          </w:tcPr>
          <w:p>
            <w:r>
              <w:rPr>
                <w:sz w:val="18"/>
              </w:rPr>
              <w:t>عضو — مدير المشاركة من SG</w:t>
            </w:r>
          </w:p>
        </w:tc>
        <w:tc>
          <w:tcPr>
            <w:tcW w:type="dxa" w:w="2880"/>
          </w:tcPr>
          <w:p>
            <w:r>
              <w:rPr>
                <w:sz w:val="18"/>
              </w:rPr>
              <w:t>Strategic Gears — شريك أو مدير أول</w:t>
            </w:r>
          </w:p>
        </w:tc>
        <w:tc>
          <w:tcPr>
            <w:tcW w:type="dxa" w:w="2880"/>
          </w:tcPr>
          <w:p>
            <w:r>
              <w:rPr>
                <w:sz w:val="18"/>
              </w:rPr>
              <w:t>الإشراف الاستراتيجي، ضمان الجودة، التصعيد الداخلي</w:t>
            </w:r>
          </w:p>
        </w:tc>
      </w:tr>
      <w:tr>
        <w:tc>
          <w:tcPr>
            <w:tcW w:type="dxa" w:w="2880"/>
          </w:tcPr>
          <w:p>
            <w:r>
              <w:rPr>
                <w:sz w:val="18"/>
              </w:rPr>
              <w:t>مقرر اللجنة</w:t>
            </w:r>
          </w:p>
        </w:tc>
        <w:tc>
          <w:tcPr>
            <w:tcW w:type="dxa" w:w="2880"/>
          </w:tcPr>
          <w:p>
            <w:r>
              <w:rPr>
                <w:sz w:val="18"/>
              </w:rPr>
              <w:t>يُحدد بالتوافق بين الطرفين في اجتماع الانطلاق</w:t>
            </w:r>
          </w:p>
        </w:tc>
        <w:tc>
          <w:tcPr>
            <w:tcW w:type="dxa" w:w="2880"/>
          </w:tcPr>
          <w:p>
            <w:r>
              <w:rPr>
                <w:sz w:val="18"/>
              </w:rPr>
              <w:t>توثيق القرارات، متابعة تنفيذ البنود، إعداد محاضر الاجتماعات</w:t>
            </w:r>
          </w:p>
        </w:tc>
      </w:tr>
    </w:tbl>
    <w:p/>
    <w:p>
      <w:r>
        <w:t>#### ٢.٢ جدول الاجتماعات والصلاحيات</w:t>
        <w:br/>
        <w:t xml:space="preserve"> **الاجتماعات الاستراتيجية — شهرية:**</w:t>
        <w:br/>
        <w:t xml:space="preserve"> - الموعد: الأسبوع الأول من كل شهر ميلادي</w:t>
        <w:br/>
        <w:t xml:space="preserve"> - المدة: ساعتان كحد أقصى</w:t>
        <w:br/>
        <w:t xml:space="preserve"> - جدول الأعمال الثابت: (١) مراجعة التقدم الاستراتيجي مقابل المعالم المعتمدة؛ (٢) الموافقة على المخرجات الرئيسية المكتملة؛ (٣) مراجعة أعلى ٥ مخاطر من سجل المخاطر؛ (٤) مراجعة طلبات التغيير المعلقة؛ (٥) اتخاذ القرارات المتعلقة بالنطاق أو الموارد</w:t>
        <w:br/>
        <w:t xml:space="preserve"> - النصاب القانوني: حضور رئيس اللجنة (أو من ينوب عنه بتفويض كتابي) + ثلاثة أعضاء على الأقل بما يشمل ممثلاً واحداً من كل جهة (سدايا وSG)</w:t>
        <w:br/>
        <w:t xml:space="preserve"> - آلية التصويت: الإجماع أولاً. في حال عدم التوافق بعد جولتي نقاش، يكون القرار النهائي لرئيس اللجنة من سدايا باعتبارها الجهة المالكة للمشروع</w:t>
        <w:br/>
        <w:t xml:space="preserve"> - التوثيق: محضر رسمي يُوزع خلال ٤٨ ساعة عمل من الاجتماع، يتضمن القرارات والبنود التنفيذية والمسؤولين والمواعيد</w:t>
        <w:br/>
        <w:t xml:space="preserve"> **الاجتماعات التشغيلية — كل أسبوعين:**</w:t>
        <w:br/>
        <w:t xml:space="preserve"> - الموعد: كل أحد من الأسبوع الثاني والرابع</w:t>
        <w:br/>
        <w:t xml:space="preserve"> - المدة: ساعة واحدة</w:t>
        <w:br/>
        <w:t xml:space="preserve"> - جدول الأعمال: (١) مراجعة تقدم المهام مقابل الخطة الأسبوعية؛ (٢) مناقشة العوائق التشغيلية وخطط الحل؛ (٣) تحديث سجل المخاطر بالمخاطر الجديدة؛ (٤) مراجعة طلبات التغيير الصغيرة والمتوسطة؛ (٥) تنسيق متطلبات المرحلة القادمة</w:t>
        <w:br/>
        <w:t xml:space="preserve"> - النصاب: مدير مشروع سدايا + مدير المشروع من SG + عضو واحد إضافي على الأقل</w:t>
        <w:br/>
        <w:t xml:space="preserve"> - الصلاحية: قرارات تشغيلية ضمن النطاق والميزانية المعتمدين فقط</w:t>
        <w:br/>
        <w:t xml:space="preserve"> **اجتماعات بوابات المراحل (Milestone Gates) — عند اكتمال كل مرحلة:**</w:t>
        <w:br/>
        <w:t xml:space="preserve"> - اجتماع مراجعة وموافقة رسمي عند اكتمال كل مرحلة رئيسية (بوابة D-1، بوابة D-2، بوابة D-3)</w:t>
        <w:br/>
        <w:t xml:space="preserve"> - يتطلب حضور كامل أعضاء اللجنة التوجيهية</w:t>
        <w:br/>
        <w:t xml:space="preserve"> - لا يُنتقل إلى المرحلة التالية إلا بموافقة رسمية موثقة على نموذج قبول المخرج</w:t>
        <w:br/>
        <w:t xml:space="preserve"> - يُقدم عرض تقديمي شامل يتضمن: ملخص المخرجات، نتائج مراجعة الجودة الداخلية، الانحرافات عن الخطة (إن وجدت)، خطة المرحلة التالية</w:t>
        <w:br/>
        <w:t xml:space="preserve"> #### ٢.٣ مصفوفة صلاحيات اتخاذ القرار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نوع القرار</w:t>
            </w:r>
          </w:p>
        </w:tc>
        <w:tc>
          <w:tcPr>
            <w:tcW w:type="dxa" w:w="2160"/>
          </w:tcPr>
          <w:p>
            <w:r>
              <w:rPr>
                <w:b/>
                <w:sz w:val="18"/>
              </w:rPr>
              <w:t>أمثلة</w:t>
            </w:r>
          </w:p>
        </w:tc>
        <w:tc>
          <w:tcPr>
            <w:tcW w:type="dxa" w:w="2160"/>
          </w:tcPr>
          <w:p>
            <w:r>
              <w:rPr>
                <w:b/>
                <w:sz w:val="18"/>
              </w:rPr>
              <w:t>صاحب الصلاحية</w:t>
            </w:r>
          </w:p>
        </w:tc>
        <w:tc>
          <w:tcPr>
            <w:tcW w:type="dxa" w:w="2160"/>
          </w:tcPr>
          <w:p>
            <w:r>
              <w:rPr>
                <w:b/>
                <w:sz w:val="18"/>
              </w:rPr>
              <w:t>آلية التوثيق</w:t>
            </w:r>
          </w:p>
        </w:tc>
      </w:tr>
      <w:tr>
        <w:tc>
          <w:tcPr>
            <w:tcW w:type="dxa" w:w="2160"/>
          </w:tcPr>
          <w:p>
            <w:r>
              <w:rPr>
                <w:sz w:val="18"/>
              </w:rPr>
              <w:t>استراتيجي</w:t>
            </w:r>
          </w:p>
        </w:tc>
        <w:tc>
          <w:tcPr>
            <w:tcW w:type="dxa" w:w="2160"/>
          </w:tcPr>
          <w:p>
            <w:r>
              <w:rPr>
                <w:sz w:val="18"/>
              </w:rPr>
              <w:t>تغيير النطاق، تعديل الجدول الزمني الكلي، إعادة تخصيص الموارد الرئيسية</w:t>
            </w:r>
          </w:p>
        </w:tc>
        <w:tc>
          <w:tcPr>
            <w:tcW w:type="dxa" w:w="2160"/>
          </w:tcPr>
          <w:p>
            <w:r>
              <w:rPr>
                <w:sz w:val="18"/>
              </w:rPr>
              <w:t>اللجنة التوجيهية في اجتماع رسمي</w:t>
            </w:r>
          </w:p>
        </w:tc>
        <w:tc>
          <w:tcPr>
            <w:tcW w:type="dxa" w:w="2160"/>
          </w:tcPr>
          <w:p>
            <w:r>
              <w:rPr>
                <w:sz w:val="18"/>
              </w:rPr>
              <w:t>محضر اللجنة التوجيهية</w:t>
            </w:r>
          </w:p>
        </w:tc>
      </w:tr>
      <w:tr>
        <w:tc>
          <w:tcPr>
            <w:tcW w:type="dxa" w:w="2160"/>
          </w:tcPr>
          <w:p>
            <w:r>
              <w:rPr>
                <w:sz w:val="18"/>
              </w:rPr>
              <w:t>تشغيلي</w:t>
            </w:r>
          </w:p>
        </w:tc>
        <w:tc>
          <w:tcPr>
            <w:tcW w:type="dxa" w:w="2160"/>
          </w:tcPr>
          <w:p>
            <w:r>
              <w:rPr>
                <w:sz w:val="18"/>
              </w:rPr>
              <w:t>تعديل خطة العمل الأسبوعية، إعادة توزيع المهام بين أعضاء الفريق</w:t>
            </w:r>
          </w:p>
        </w:tc>
        <w:tc>
          <w:tcPr>
            <w:tcW w:type="dxa" w:w="2160"/>
          </w:tcPr>
          <w:p>
            <w:r>
              <w:rPr>
                <w:sz w:val="18"/>
              </w:rPr>
              <w:t>مدير المشروع من SG بالتنسيق مع مدير مشروع سدايا</w:t>
            </w:r>
          </w:p>
        </w:tc>
        <w:tc>
          <w:tcPr>
            <w:tcW w:type="dxa" w:w="2160"/>
          </w:tcPr>
          <w:p>
            <w:r>
              <w:rPr>
                <w:sz w:val="18"/>
              </w:rPr>
              <w:t>التقرير الأسبوعي</w:t>
            </w:r>
          </w:p>
        </w:tc>
      </w:tr>
      <w:tr>
        <w:tc>
          <w:tcPr>
            <w:tcW w:type="dxa" w:w="2160"/>
          </w:tcPr>
          <w:p>
            <w:r>
              <w:rPr>
                <w:sz w:val="18"/>
              </w:rPr>
              <w:t>فني</w:t>
            </w:r>
          </w:p>
        </w:tc>
        <w:tc>
          <w:tcPr>
            <w:tcW w:type="dxa" w:w="2160"/>
          </w:tcPr>
          <w:p>
            <w:r>
              <w:rPr>
                <w:sz w:val="18"/>
              </w:rPr>
              <w:t>اختيار أدوات التقييم، تصميم نماذج المقابلات، اختيار الدول المقارنة</w:t>
            </w:r>
          </w:p>
        </w:tc>
        <w:tc>
          <w:tcPr>
            <w:tcW w:type="dxa" w:w="2160"/>
          </w:tcPr>
          <w:p>
            <w:r>
              <w:rPr>
                <w:sz w:val="18"/>
              </w:rPr>
              <w:t>فريق SG الفني مع مراجعة من خبراء سدايا الموضوعيين</w:t>
            </w:r>
          </w:p>
        </w:tc>
        <w:tc>
          <w:tcPr>
            <w:tcW w:type="dxa" w:w="2160"/>
          </w:tcPr>
          <w:p>
            <w:r>
              <w:rPr>
                <w:sz w:val="18"/>
              </w:rPr>
              <w:t>وثيقة المنهجية المعتمدة</w:t>
            </w:r>
          </w:p>
        </w:tc>
      </w:tr>
      <w:tr>
        <w:tc>
          <w:tcPr>
            <w:tcW w:type="dxa" w:w="2160"/>
          </w:tcPr>
          <w:p>
            <w:r>
              <w:rPr>
                <w:sz w:val="18"/>
              </w:rPr>
              <w:t>تعاقدي</w:t>
            </w:r>
          </w:p>
        </w:tc>
        <w:tc>
          <w:tcPr>
            <w:tcW w:type="dxa" w:w="2160"/>
          </w:tcPr>
          <w:p>
            <w:r>
              <w:rPr>
                <w:sz w:val="18"/>
              </w:rPr>
              <w:t>تعديل قيمة العقد، التمديد، الإنهاء المبكر</w:t>
            </w:r>
          </w:p>
        </w:tc>
        <w:tc>
          <w:tcPr>
            <w:tcW w:type="dxa" w:w="2160"/>
          </w:tcPr>
          <w:p>
            <w:r>
              <w:rPr>
                <w:sz w:val="18"/>
              </w:rPr>
              <w:t>الراعي التنفيذي من سدايا + الشريك الإداري من SG</w:t>
            </w:r>
          </w:p>
        </w:tc>
        <w:tc>
          <w:tcPr>
            <w:tcW w:type="dxa" w:w="2160"/>
          </w:tcPr>
          <w:p>
            <w:r>
              <w:rPr>
                <w:sz w:val="18"/>
              </w:rPr>
              <w:t>مراسلة رسمية بين الجهتين</w:t>
            </w:r>
          </w:p>
        </w:tc>
      </w:tr>
    </w:tbl>
    <w:p/>
    <w:p>
      <w:r>
        <w:t>---</w:t>
        <w:br/>
        <w:t xml:space="preserve"> ### ٣. مصفوفة المسؤوليات (RACI Matrix) — ١٢ فئة مخرجات</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w:t>
            </w:r>
          </w:p>
        </w:tc>
        <w:tc>
          <w:tcPr>
            <w:tcW w:type="dxa" w:w="1080"/>
          </w:tcPr>
          <w:p>
            <w:r>
              <w:rPr>
                <w:b/>
                <w:sz w:val="18"/>
              </w:rPr>
              <w:t>فئة المخرج / النشاط</w:t>
            </w:r>
          </w:p>
        </w:tc>
        <w:tc>
          <w:tcPr>
            <w:tcW w:type="dxa" w:w="1080"/>
          </w:tcPr>
          <w:p>
            <w:r>
              <w:rPr>
                <w:b/>
                <w:sz w:val="18"/>
              </w:rPr>
              <w:t>مدير المشروع SG</w:t>
            </w:r>
          </w:p>
        </w:tc>
        <w:tc>
          <w:tcPr>
            <w:tcW w:type="dxa" w:w="1080"/>
          </w:tcPr>
          <w:p>
            <w:r>
              <w:rPr>
                <w:b/>
                <w:sz w:val="18"/>
              </w:rPr>
              <w:t>مدير المشاركة SG</w:t>
            </w:r>
          </w:p>
        </w:tc>
        <w:tc>
          <w:tcPr>
            <w:tcW w:type="dxa" w:w="1080"/>
          </w:tcPr>
          <w:p>
            <w:r>
              <w:rPr>
                <w:b/>
                <w:sz w:val="18"/>
              </w:rPr>
              <w:t>خبراء SG الموضوعيون</w:t>
            </w:r>
          </w:p>
        </w:tc>
        <w:tc>
          <w:tcPr>
            <w:tcW w:type="dxa" w:w="1080"/>
          </w:tcPr>
          <w:p>
            <w:r>
              <w:rPr>
                <w:b/>
                <w:sz w:val="18"/>
              </w:rPr>
              <w:t>مدير مشروع سدايا (PMO Lead)</w:t>
            </w:r>
          </w:p>
        </w:tc>
        <w:tc>
          <w:tcPr>
            <w:tcW w:type="dxa" w:w="1080"/>
          </w:tcPr>
          <w:p>
            <w:r>
              <w:rPr>
                <w:b/>
                <w:sz w:val="18"/>
              </w:rPr>
              <w:t>خبراء سدايا الموضوعيون (SMEs)</w:t>
            </w:r>
          </w:p>
        </w:tc>
        <w:tc>
          <w:tcPr>
            <w:tcW w:type="dxa" w:w="1080"/>
          </w:tcPr>
          <w:p>
            <w:r>
              <w:rPr>
                <w:b/>
                <w:sz w:val="18"/>
              </w:rPr>
              <w:t>اللجنة التوجيهية</w:t>
            </w:r>
          </w:p>
        </w:tc>
      </w:tr>
      <w:tr>
        <w:tc>
          <w:tcPr>
            <w:tcW w:type="dxa" w:w="1080"/>
          </w:tcPr>
          <w:p>
            <w:r>
              <w:rPr>
                <w:sz w:val="18"/>
              </w:rPr>
              <w:t>١</w:t>
            </w:r>
          </w:p>
        </w:tc>
        <w:tc>
          <w:tcPr>
            <w:tcW w:type="dxa" w:w="1080"/>
          </w:tcPr>
          <w:p>
            <w:r>
              <w:rPr>
                <w:sz w:val="18"/>
              </w:rPr>
              <w:t>تحليل الأداء وقياس النضج (D-1)</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C</w:t>
            </w:r>
          </w:p>
        </w:tc>
        <w:tc>
          <w:tcPr>
            <w:tcW w:type="dxa" w:w="1080"/>
          </w:tcPr>
          <w:p>
            <w:r>
              <w:rPr>
                <w:sz w:val="18"/>
              </w:rPr>
              <w:t>C</w:t>
            </w:r>
          </w:p>
        </w:tc>
        <w:tc>
          <w:tcPr>
            <w:tcW w:type="dxa" w:w="1080"/>
          </w:tcPr>
          <w:p>
            <w:r>
              <w:rPr>
                <w:sz w:val="18"/>
              </w:rPr>
              <w:t>I</w:t>
            </w:r>
          </w:p>
        </w:tc>
      </w:tr>
      <w:tr>
        <w:tc>
          <w:tcPr>
            <w:tcW w:type="dxa" w:w="1080"/>
          </w:tcPr>
          <w:p>
            <w:r>
              <w:rPr>
                <w:sz w:val="18"/>
              </w:rPr>
              <w:t>٢</w:t>
            </w:r>
          </w:p>
        </w:tc>
        <w:tc>
          <w:tcPr>
            <w:tcW w:type="dxa" w:w="1080"/>
          </w:tcPr>
          <w:p>
            <w:r>
              <w:rPr>
                <w:sz w:val="18"/>
              </w:rPr>
              <w:t>تحديد الفجوات وفرص التطوير (D-1)</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C</w:t>
            </w:r>
          </w:p>
        </w:tc>
        <w:tc>
          <w:tcPr>
            <w:tcW w:type="dxa" w:w="1080"/>
          </w:tcPr>
          <w:p>
            <w:r>
              <w:rPr>
                <w:sz w:val="18"/>
              </w:rPr>
              <w:t>C</w:t>
            </w:r>
          </w:p>
        </w:tc>
        <w:tc>
          <w:tcPr>
            <w:tcW w:type="dxa" w:w="1080"/>
          </w:tcPr>
          <w:p>
            <w:r>
              <w:rPr>
                <w:sz w:val="18"/>
              </w:rPr>
              <w:t>I</w:t>
            </w:r>
          </w:p>
        </w:tc>
      </w:tr>
      <w:tr>
        <w:tc>
          <w:tcPr>
            <w:tcW w:type="dxa" w:w="1080"/>
          </w:tcPr>
          <w:p>
            <w:r>
              <w:rPr>
                <w:sz w:val="18"/>
              </w:rPr>
              <w:t>٣</w:t>
            </w:r>
          </w:p>
        </w:tc>
        <w:tc>
          <w:tcPr>
            <w:tcW w:type="dxa" w:w="1080"/>
          </w:tcPr>
          <w:p>
            <w:r>
              <w:rPr>
                <w:sz w:val="18"/>
              </w:rPr>
              <w:t>المقارنة المعيارية الدولية (D-1)</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I</w:t>
            </w:r>
          </w:p>
        </w:tc>
        <w:tc>
          <w:tcPr>
            <w:tcW w:type="dxa" w:w="1080"/>
          </w:tcPr>
          <w:p>
            <w:r>
              <w:rPr>
                <w:sz w:val="18"/>
              </w:rPr>
              <w:t>C</w:t>
            </w:r>
          </w:p>
        </w:tc>
        <w:tc>
          <w:tcPr>
            <w:tcW w:type="dxa" w:w="1080"/>
          </w:tcPr>
          <w:p>
            <w:r>
              <w:rPr>
                <w:sz w:val="18"/>
              </w:rPr>
              <w:t>I</w:t>
            </w:r>
          </w:p>
        </w:tc>
      </w:tr>
      <w:tr>
        <w:tc>
          <w:tcPr>
            <w:tcW w:type="dxa" w:w="1080"/>
          </w:tcPr>
          <w:p>
            <w:r>
              <w:rPr>
                <w:sz w:val="18"/>
              </w:rPr>
              <w:t>٤</w:t>
            </w:r>
          </w:p>
        </w:tc>
        <w:tc>
          <w:tcPr>
            <w:tcW w:type="dxa" w:w="1080"/>
          </w:tcPr>
          <w:p>
            <w:r>
              <w:rPr>
                <w:sz w:val="18"/>
              </w:rPr>
              <w:t>التوصيات وأولويات التدخل وخارطة الطريق (D-1)</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C</w:t>
            </w:r>
          </w:p>
        </w:tc>
        <w:tc>
          <w:tcPr>
            <w:tcW w:type="dxa" w:w="1080"/>
          </w:tcPr>
          <w:p>
            <w:r>
              <w:rPr>
                <w:sz w:val="18"/>
              </w:rPr>
              <w:t>C</w:t>
            </w:r>
          </w:p>
        </w:tc>
        <w:tc>
          <w:tcPr>
            <w:tcW w:type="dxa" w:w="1080"/>
          </w:tcPr>
          <w:p>
            <w:r>
              <w:rPr>
                <w:sz w:val="18"/>
              </w:rPr>
              <w:t>A — موافقة نهائية</w:t>
            </w:r>
          </w:p>
        </w:tc>
      </w:tr>
      <w:tr>
        <w:tc>
          <w:tcPr>
            <w:tcW w:type="dxa" w:w="1080"/>
          </w:tcPr>
          <w:p>
            <w:r>
              <w:rPr>
                <w:sz w:val="18"/>
              </w:rPr>
              <w:t>٥</w:t>
            </w:r>
          </w:p>
        </w:tc>
        <w:tc>
          <w:tcPr>
            <w:tcW w:type="dxa" w:w="1080"/>
          </w:tcPr>
          <w:p>
            <w:r>
              <w:rPr>
                <w:sz w:val="18"/>
              </w:rPr>
              <w:t>مؤشرات المتابعة والتقييم (D-1)</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C</w:t>
            </w:r>
          </w:p>
        </w:tc>
        <w:tc>
          <w:tcPr>
            <w:tcW w:type="dxa" w:w="1080"/>
          </w:tcPr>
          <w:p>
            <w:r>
              <w:rPr>
                <w:sz w:val="18"/>
              </w:rPr>
              <w:t>C</w:t>
            </w:r>
          </w:p>
        </w:tc>
        <w:tc>
          <w:tcPr>
            <w:tcW w:type="dxa" w:w="1080"/>
          </w:tcPr>
          <w:p>
            <w:r>
              <w:rPr>
                <w:sz w:val="18"/>
              </w:rPr>
              <w:t>A — موافقة نهائية</w:t>
            </w:r>
          </w:p>
        </w:tc>
      </w:tr>
      <w:tr>
        <w:tc>
          <w:tcPr>
            <w:tcW w:type="dxa" w:w="1080"/>
          </w:tcPr>
          <w:p>
            <w:r>
              <w:rPr>
                <w:sz w:val="18"/>
              </w:rPr>
              <w:t>٦</w:t>
            </w:r>
          </w:p>
        </w:tc>
        <w:tc>
          <w:tcPr>
            <w:tcW w:type="dxa" w:w="1080"/>
          </w:tcPr>
          <w:p>
            <w:r>
              <w:rPr>
                <w:sz w:val="18"/>
              </w:rPr>
              <w:t>تصميم المبادرات وأطر العمل التنفيذية (D-2)</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C</w:t>
            </w:r>
          </w:p>
        </w:tc>
        <w:tc>
          <w:tcPr>
            <w:tcW w:type="dxa" w:w="1080"/>
          </w:tcPr>
          <w:p>
            <w:r>
              <w:rPr>
                <w:sz w:val="18"/>
              </w:rPr>
              <w:t>R — مشارك في التصميم</w:t>
            </w:r>
          </w:p>
        </w:tc>
        <w:tc>
          <w:tcPr>
            <w:tcW w:type="dxa" w:w="1080"/>
          </w:tcPr>
          <w:p>
            <w:r>
              <w:rPr>
                <w:sz w:val="18"/>
              </w:rPr>
              <w:t>A — موافقة نهائية</w:t>
            </w:r>
          </w:p>
        </w:tc>
      </w:tr>
      <w:tr>
        <w:tc>
          <w:tcPr>
            <w:tcW w:type="dxa" w:w="1080"/>
          </w:tcPr>
          <w:p>
            <w:r>
              <w:rPr>
                <w:sz w:val="18"/>
              </w:rPr>
              <w:t>٧</w:t>
            </w:r>
          </w:p>
        </w:tc>
        <w:tc>
          <w:tcPr>
            <w:tcW w:type="dxa" w:w="1080"/>
          </w:tcPr>
          <w:p>
            <w:r>
              <w:rPr>
                <w:sz w:val="18"/>
              </w:rPr>
              <w:t>آليات التعاون الدولي مع الدول الشريكة (D-2)</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C</w:t>
            </w:r>
          </w:p>
        </w:tc>
        <w:tc>
          <w:tcPr>
            <w:tcW w:type="dxa" w:w="1080"/>
          </w:tcPr>
          <w:p>
            <w:r>
              <w:rPr>
                <w:sz w:val="18"/>
              </w:rPr>
              <w:t>C</w:t>
            </w:r>
          </w:p>
        </w:tc>
        <w:tc>
          <w:tcPr>
            <w:tcW w:type="dxa" w:w="1080"/>
          </w:tcPr>
          <w:p>
            <w:r>
              <w:rPr>
                <w:sz w:val="18"/>
              </w:rPr>
              <w:t>A — موافقة نهائية</w:t>
            </w:r>
          </w:p>
        </w:tc>
      </w:tr>
      <w:tr>
        <w:tc>
          <w:tcPr>
            <w:tcW w:type="dxa" w:w="1080"/>
          </w:tcPr>
          <w:p>
            <w:r>
              <w:rPr>
                <w:sz w:val="18"/>
              </w:rPr>
              <w:t>٨</w:t>
            </w:r>
          </w:p>
        </w:tc>
        <w:tc>
          <w:tcPr>
            <w:tcW w:type="dxa" w:w="1080"/>
          </w:tcPr>
          <w:p>
            <w:r>
              <w:rPr>
                <w:sz w:val="18"/>
              </w:rPr>
              <w:t>ربط البرامج بأهداف التنمية المستدامة (D-2)</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I</w:t>
            </w:r>
          </w:p>
        </w:tc>
        <w:tc>
          <w:tcPr>
            <w:tcW w:type="dxa" w:w="1080"/>
          </w:tcPr>
          <w:p>
            <w:r>
              <w:rPr>
                <w:sz w:val="18"/>
              </w:rPr>
              <w:t>C</w:t>
            </w:r>
          </w:p>
        </w:tc>
        <w:tc>
          <w:tcPr>
            <w:tcW w:type="dxa" w:w="1080"/>
          </w:tcPr>
          <w:p>
            <w:r>
              <w:rPr>
                <w:sz w:val="18"/>
              </w:rPr>
              <w:t>I</w:t>
            </w:r>
          </w:p>
        </w:tc>
      </w:tr>
      <w:tr>
        <w:tc>
          <w:tcPr>
            <w:tcW w:type="dxa" w:w="1080"/>
          </w:tcPr>
          <w:p>
            <w:r>
              <w:rPr>
                <w:sz w:val="18"/>
              </w:rPr>
              <w:t>٩</w:t>
            </w:r>
          </w:p>
        </w:tc>
        <w:tc>
          <w:tcPr>
            <w:tcW w:type="dxa" w:w="1080"/>
          </w:tcPr>
          <w:p>
            <w:r>
              <w:rPr>
                <w:sz w:val="18"/>
              </w:rPr>
              <w:t>التدريب ونقل المعرفة — ورش العمل والتدريب على رأس العمل (D-3)</w:t>
            </w:r>
          </w:p>
        </w:tc>
        <w:tc>
          <w:tcPr>
            <w:tcW w:type="dxa" w:w="1080"/>
          </w:tcPr>
          <w:p>
            <w:r>
              <w:rPr>
                <w:sz w:val="18"/>
              </w:rPr>
              <w:t>R</w:t>
            </w:r>
          </w:p>
        </w:tc>
        <w:tc>
          <w:tcPr>
            <w:tcW w:type="dxa" w:w="1080"/>
          </w:tcPr>
          <w:p>
            <w:r>
              <w:rPr>
                <w:sz w:val="18"/>
              </w:rPr>
              <w:t>A</w:t>
            </w:r>
          </w:p>
        </w:tc>
        <w:tc>
          <w:tcPr>
            <w:tcW w:type="dxa" w:w="1080"/>
          </w:tcPr>
          <w:p>
            <w:r>
              <w:rPr>
                <w:sz w:val="18"/>
              </w:rPr>
              <w:t>R</w:t>
            </w:r>
          </w:p>
        </w:tc>
        <w:tc>
          <w:tcPr>
            <w:tcW w:type="dxa" w:w="1080"/>
          </w:tcPr>
          <w:p>
            <w:r>
              <w:rPr>
                <w:sz w:val="18"/>
              </w:rPr>
              <w:t>R — تنسيق لوجستي</w:t>
            </w:r>
          </w:p>
        </w:tc>
        <w:tc>
          <w:tcPr>
            <w:tcW w:type="dxa" w:w="1080"/>
          </w:tcPr>
          <w:p>
            <w:r>
              <w:rPr>
                <w:sz w:val="18"/>
              </w:rPr>
              <w:t>R — متدربون ومشاركون</w:t>
            </w:r>
          </w:p>
        </w:tc>
        <w:tc>
          <w:tcPr>
            <w:tcW w:type="dxa" w:w="1080"/>
          </w:tcPr>
          <w:p>
            <w:r>
              <w:rPr>
                <w:sz w:val="18"/>
              </w:rPr>
              <w:t>I</w:t>
            </w:r>
          </w:p>
        </w:tc>
      </w:tr>
      <w:tr>
        <w:tc>
          <w:tcPr>
            <w:tcW w:type="dxa" w:w="1080"/>
          </w:tcPr>
          <w:p>
            <w:r>
              <w:rPr>
                <w:sz w:val="18"/>
              </w:rPr>
              <w:t>١٠</w:t>
            </w:r>
          </w:p>
        </w:tc>
        <w:tc>
          <w:tcPr>
            <w:tcW w:type="dxa" w:w="1080"/>
          </w:tcPr>
          <w:p>
            <w:r>
              <w:rPr>
                <w:sz w:val="18"/>
              </w:rPr>
              <w:t>تقارير التقدم الأسبوعية والشهرية</w:t>
            </w:r>
          </w:p>
        </w:tc>
        <w:tc>
          <w:tcPr>
            <w:tcW w:type="dxa" w:w="1080"/>
          </w:tcPr>
          <w:p>
            <w:r>
              <w:rPr>
                <w:sz w:val="18"/>
              </w:rPr>
              <w:t>R</w:t>
            </w:r>
          </w:p>
        </w:tc>
        <w:tc>
          <w:tcPr>
            <w:tcW w:type="dxa" w:w="1080"/>
          </w:tcPr>
          <w:p>
            <w:r>
              <w:rPr>
                <w:sz w:val="18"/>
              </w:rPr>
              <w:t>A</w:t>
            </w:r>
          </w:p>
        </w:tc>
        <w:tc>
          <w:tcPr>
            <w:tcW w:type="dxa" w:w="1080"/>
          </w:tcPr>
          <w:p>
            <w:r>
              <w:rPr>
                <w:sz w:val="18"/>
              </w:rPr>
              <w:t>C</w:t>
            </w:r>
          </w:p>
        </w:tc>
        <w:tc>
          <w:tcPr>
            <w:tcW w:type="dxa" w:w="1080"/>
          </w:tcPr>
          <w:p>
            <w:r>
              <w:rPr>
                <w:sz w:val="18"/>
              </w:rPr>
              <w:t>C</w:t>
            </w:r>
          </w:p>
        </w:tc>
        <w:tc>
          <w:tcPr>
            <w:tcW w:type="dxa" w:w="1080"/>
          </w:tcPr>
          <w:p>
            <w:r>
              <w:rPr>
                <w:sz w:val="18"/>
              </w:rPr>
              <w:t>I</w:t>
            </w:r>
          </w:p>
        </w:tc>
        <w:tc>
          <w:tcPr>
            <w:tcW w:type="dxa" w:w="1080"/>
          </w:tcPr>
          <w:p>
            <w:r>
              <w:rPr>
                <w:sz w:val="18"/>
              </w:rPr>
              <w:t>I — شهرياً</w:t>
            </w:r>
          </w:p>
        </w:tc>
      </w:tr>
      <w:tr>
        <w:tc>
          <w:tcPr>
            <w:tcW w:type="dxa" w:w="1080"/>
          </w:tcPr>
          <w:p>
            <w:r>
              <w:rPr>
                <w:sz w:val="18"/>
              </w:rPr>
              <w:t>١١</w:t>
            </w:r>
          </w:p>
        </w:tc>
        <w:tc>
          <w:tcPr>
            <w:tcW w:type="dxa" w:w="1080"/>
          </w:tcPr>
          <w:p>
            <w:r>
              <w:rPr>
                <w:sz w:val="18"/>
              </w:rPr>
              <w:t>إدارة سجل المخاطر وخطط التخفيف</w:t>
            </w:r>
          </w:p>
        </w:tc>
        <w:tc>
          <w:tcPr>
            <w:tcW w:type="dxa" w:w="1080"/>
          </w:tcPr>
          <w:p>
            <w:r>
              <w:rPr>
                <w:sz w:val="18"/>
              </w:rPr>
              <w:t>R</w:t>
            </w:r>
          </w:p>
        </w:tc>
        <w:tc>
          <w:tcPr>
            <w:tcW w:type="dxa" w:w="1080"/>
          </w:tcPr>
          <w:p>
            <w:r>
              <w:rPr>
                <w:sz w:val="18"/>
              </w:rPr>
              <w:t>A</w:t>
            </w:r>
          </w:p>
        </w:tc>
        <w:tc>
          <w:tcPr>
            <w:tcW w:type="dxa" w:w="1080"/>
          </w:tcPr>
          <w:p>
            <w:r>
              <w:rPr>
                <w:sz w:val="18"/>
              </w:rPr>
              <w:t>C</w:t>
            </w:r>
          </w:p>
        </w:tc>
        <w:tc>
          <w:tcPr>
            <w:tcW w:type="dxa" w:w="1080"/>
          </w:tcPr>
          <w:p>
            <w:r>
              <w:rPr>
                <w:sz w:val="18"/>
              </w:rPr>
              <w:t>R — مشارك</w:t>
            </w:r>
          </w:p>
        </w:tc>
        <w:tc>
          <w:tcPr>
            <w:tcW w:type="dxa" w:w="1080"/>
          </w:tcPr>
          <w:p>
            <w:r>
              <w:rPr>
                <w:sz w:val="18"/>
              </w:rPr>
              <w:t>I</w:t>
            </w:r>
          </w:p>
        </w:tc>
        <w:tc>
          <w:tcPr>
            <w:tcW w:type="dxa" w:w="1080"/>
          </w:tcPr>
          <w:p>
            <w:r>
              <w:rPr>
                <w:sz w:val="18"/>
              </w:rPr>
              <w:t>I — تصعيد عند الحاجة</w:t>
            </w:r>
          </w:p>
        </w:tc>
      </w:tr>
      <w:tr>
        <w:tc>
          <w:tcPr>
            <w:tcW w:type="dxa" w:w="1080"/>
          </w:tcPr>
          <w:p>
            <w:r>
              <w:rPr>
                <w:sz w:val="18"/>
              </w:rPr>
              <w:t>١٢</w:t>
            </w:r>
          </w:p>
        </w:tc>
        <w:tc>
          <w:tcPr>
            <w:tcW w:type="dxa" w:w="1080"/>
          </w:tcPr>
          <w:p>
            <w:r>
              <w:rPr>
                <w:sz w:val="18"/>
              </w:rPr>
              <w:t>إدارة طلبات التغيير</w:t>
            </w:r>
          </w:p>
        </w:tc>
        <w:tc>
          <w:tcPr>
            <w:tcW w:type="dxa" w:w="1080"/>
          </w:tcPr>
          <w:p>
            <w:r>
              <w:rPr>
                <w:sz w:val="18"/>
              </w:rPr>
              <w:t>R</w:t>
            </w:r>
          </w:p>
        </w:tc>
        <w:tc>
          <w:tcPr>
            <w:tcW w:type="dxa" w:w="1080"/>
          </w:tcPr>
          <w:p>
            <w:r>
              <w:rPr>
                <w:sz w:val="18"/>
              </w:rPr>
              <w:t>A</w:t>
            </w:r>
          </w:p>
        </w:tc>
        <w:tc>
          <w:tcPr>
            <w:tcW w:type="dxa" w:w="1080"/>
          </w:tcPr>
          <w:p>
            <w:r>
              <w:rPr>
                <w:sz w:val="18"/>
              </w:rPr>
              <w:t>C</w:t>
            </w:r>
          </w:p>
        </w:tc>
        <w:tc>
          <w:tcPr>
            <w:tcW w:type="dxa" w:w="1080"/>
          </w:tcPr>
          <w:p>
            <w:r>
              <w:rPr>
                <w:sz w:val="18"/>
              </w:rPr>
              <w:t>R — مشارك</w:t>
            </w:r>
          </w:p>
        </w:tc>
        <w:tc>
          <w:tcPr>
            <w:tcW w:type="dxa" w:w="1080"/>
          </w:tcPr>
          <w:p>
            <w:r>
              <w:rPr>
                <w:sz w:val="18"/>
              </w:rPr>
              <w:t>C</w:t>
            </w:r>
          </w:p>
        </w:tc>
        <w:tc>
          <w:tcPr>
            <w:tcW w:type="dxa" w:w="1080"/>
          </w:tcPr>
          <w:p>
            <w:r>
              <w:rPr>
                <w:sz w:val="18"/>
              </w:rPr>
              <w:t>A — للتغييرات الجوهرية</w:t>
            </w:r>
          </w:p>
        </w:tc>
      </w:tr>
    </w:tbl>
    <w:p/>
    <w:p>
      <w:r>
        <w:t>**توضيحات تصميمية:**</w:t>
        <w:br/>
        <w:t xml:space="preserve"> - **المخرجات ١-٥ (التقييم — D-1):** يتولى فريق SG التنفيذ الكامل مع استشارة خبراء سدايا لضمان دقة البيانات والسياق المؤسسي. يُفصل بين المقارنة المعيارية الدولية (صف ٣) — حيث يكون دور خبراء سدايا استشارياً فقط نظراً لطبيعة العمل البحثي عبر الحدود — وبين التوصيات وخارطة الطريق (صفا ٤ و٥) التي تتطلب موافقة اللجنة التوجيهية لضمان الالتزام المؤسسي بالتنفيذ. - **المخرجات ٦-٨ (تطوير البرامج — D-2):** يشارك خبراء سدايا بشكل أعمق في تصميم المبادرات (R مشارك في الصف ٦) لتحقيق هدفين: ضمان الملكية المؤسسية للمخرجات، وتفعيل نقل المعرفة عبر المشاركة التصميمية. هذا التصميم التشاركي يتوافق مع نموذج فريق المقيّمين الداخليين [EXT-014] الذي يؤكد أن المشاركة في التصميم تعزز الاستدامة والقدرة على التكرار المستقل. - **المخرج ٩ (التدريب — D-3):** مسؤولية مشتركة حيث يقدم SG المحتوى والمنهجية والتيسير، بينما يوفر مكتب مشروع سدايا الدعم اللوجستي وتنسيق جداول المتدربين وتخصيص أوقاتهم. - **المخرجات ١٠-١٢ (الحوكمة والإدارة):** مسؤولية أساسية لمدير المشروع من SG مع مشاركة فعالة من مدير مشروع سدايا في إدارة المخاطر وطلبات التغيير — وهذا يضمن رؤية مشتركة للمخاطر ويمنع المفاجآت. ---</w:t>
        <w:br/>
        <w:t xml:space="preserve"> ### ٤. إطار التصعيد (Escalation Framework) — ٤ مستويات</w:t>
        <w:br/>
        <w:t xml:space="preserve"> يستند التصميم إلى أفضل الممارسات الدولية في إدارة المشاريع المؤسسية [EXT-008] مع تكييف لطبيعة المشروع متعدد الأطراف. #### المستوى الأول — مدير المشروع (التشغيلي)</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البُعد</w:t>
            </w:r>
          </w:p>
        </w:tc>
        <w:tc>
          <w:tcPr>
            <w:tcW w:type="dxa" w:w="4320"/>
          </w:tcPr>
          <w:p>
            <w:r>
              <w:rPr>
                <w:b/>
                <w:sz w:val="18"/>
              </w:rPr>
              <w:t>التفصيل</w:t>
            </w:r>
          </w:p>
        </w:tc>
      </w:tr>
      <w:tr>
        <w:tc>
          <w:tcPr>
            <w:tcW w:type="dxa" w:w="4320"/>
          </w:tcPr>
          <w:p>
            <w:r>
              <w:rPr>
                <w:sz w:val="18"/>
              </w:rPr>
              <w:t>**المسؤول**</w:t>
            </w:r>
          </w:p>
        </w:tc>
        <w:tc>
          <w:tcPr>
            <w:tcW w:type="dxa" w:w="4320"/>
          </w:tcPr>
          <w:p>
            <w:r>
              <w:rPr>
                <w:sz w:val="18"/>
              </w:rPr>
              <w:t>مدير المشروع من SG بالتنسيق مع مدير مشروع سدايا</w:t>
            </w:r>
          </w:p>
        </w:tc>
      </w:tr>
      <w:tr>
        <w:tc>
          <w:tcPr>
            <w:tcW w:type="dxa" w:w="4320"/>
          </w:tcPr>
          <w:p>
            <w:r>
              <w:rPr>
                <w:sz w:val="18"/>
              </w:rPr>
              <w:t>**نوع المشكلات**</w:t>
            </w:r>
          </w:p>
        </w:tc>
        <w:tc>
          <w:tcPr>
            <w:tcW w:type="dxa" w:w="4320"/>
          </w:tcPr>
          <w:p>
            <w:r>
              <w:rPr>
                <w:sz w:val="18"/>
              </w:rPr>
              <w:t>تأخر مهام فردية عن الخطة الأسبوعية، نقص موارد مؤقت، استفسارات فنية تتطلب توضيحاً، تعارض جداول اجتماعات، ملاحظات جودة على مسودات أولية</w:t>
            </w:r>
          </w:p>
        </w:tc>
      </w:tr>
      <w:tr>
        <w:tc>
          <w:tcPr>
            <w:tcW w:type="dxa" w:w="4320"/>
          </w:tcPr>
          <w:p>
            <w:r>
              <w:rPr>
                <w:sz w:val="18"/>
              </w:rPr>
              <w:t>**المحفز الكمي**</w:t>
            </w:r>
          </w:p>
        </w:tc>
        <w:tc>
          <w:tcPr>
            <w:tcW w:type="dxa" w:w="4320"/>
          </w:tcPr>
          <w:p>
            <w:r>
              <w:rPr>
                <w:sz w:val="18"/>
              </w:rPr>
              <w:t>أي مشكلة تؤثر على مهام أسبوع واحد أو أقل، أو تأخر مهمة واحدة بأكثر من يومي عمل</w:t>
            </w:r>
          </w:p>
        </w:tc>
      </w:tr>
      <w:tr>
        <w:tc>
          <w:tcPr>
            <w:tcW w:type="dxa" w:w="4320"/>
          </w:tcPr>
          <w:p>
            <w:r>
              <w:rPr>
                <w:sz w:val="18"/>
              </w:rPr>
              <w:t>**اتفاقية مستوى الخدمة**</w:t>
            </w:r>
          </w:p>
        </w:tc>
        <w:tc>
          <w:tcPr>
            <w:tcW w:type="dxa" w:w="4320"/>
          </w:tcPr>
          <w:p>
            <w:r>
              <w:rPr>
                <w:sz w:val="18"/>
              </w:rPr>
              <w:t>٢٤ ساعة عمل للاستجابة الأولية، ٤٨ ساعة عمل للحل أو تقديم خطة حل</w:t>
            </w:r>
          </w:p>
        </w:tc>
      </w:tr>
      <w:tr>
        <w:tc>
          <w:tcPr>
            <w:tcW w:type="dxa" w:w="4320"/>
          </w:tcPr>
          <w:p>
            <w:r>
              <w:rPr>
                <w:sz w:val="18"/>
              </w:rPr>
              <w:t>**آلية التوثيق**</w:t>
            </w:r>
          </w:p>
        </w:tc>
        <w:tc>
          <w:tcPr>
            <w:tcW w:type="dxa" w:w="4320"/>
          </w:tcPr>
          <w:p>
            <w:r>
              <w:rPr>
                <w:sz w:val="18"/>
              </w:rPr>
              <w:t>تسجيل في سجل المشكلات (Issues Log) مع تحديث في التقرير الأسبوعي</w:t>
            </w:r>
          </w:p>
        </w:tc>
      </w:tr>
      <w:tr>
        <w:tc>
          <w:tcPr>
            <w:tcW w:type="dxa" w:w="4320"/>
          </w:tcPr>
          <w:p>
            <w:r>
              <w:rPr>
                <w:sz w:val="18"/>
              </w:rPr>
              <w:t>**معيار التصعيد للمستوى التالي**</w:t>
            </w:r>
          </w:p>
        </w:tc>
        <w:tc>
          <w:tcPr>
            <w:tcW w:type="dxa" w:w="4320"/>
          </w:tcPr>
          <w:p>
            <w:r>
              <w:rPr>
                <w:sz w:val="18"/>
              </w:rPr>
              <w:t>عدم الحل خلال ٤٨ ساعة عمل، أو تكرار المشكلة ذاتها ثلاث مرات خلال شهر</w:t>
            </w:r>
          </w:p>
        </w:tc>
      </w:tr>
    </w:tbl>
    <w:p/>
    <w:p>
      <w:r>
        <w:t>#### المستوى الثاني — راعي المشروع (التكتيكي)</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البُعد</w:t>
            </w:r>
          </w:p>
        </w:tc>
        <w:tc>
          <w:tcPr>
            <w:tcW w:type="dxa" w:w="4320"/>
          </w:tcPr>
          <w:p>
            <w:r>
              <w:rPr>
                <w:b/>
                <w:sz w:val="18"/>
              </w:rPr>
              <w:t>التفصيل</w:t>
            </w:r>
          </w:p>
        </w:tc>
      </w:tr>
      <w:tr>
        <w:tc>
          <w:tcPr>
            <w:tcW w:type="dxa" w:w="4320"/>
          </w:tcPr>
          <w:p>
            <w:r>
              <w:rPr>
                <w:sz w:val="18"/>
              </w:rPr>
              <w:t>**المسؤول**</w:t>
            </w:r>
          </w:p>
        </w:tc>
        <w:tc>
          <w:tcPr>
            <w:tcW w:type="dxa" w:w="4320"/>
          </w:tcPr>
          <w:p>
            <w:r>
              <w:rPr>
                <w:sz w:val="18"/>
              </w:rPr>
              <w:t>مدير المشاركة من SG + المسؤول المباشر لمدير مشروع سدايا</w:t>
            </w:r>
          </w:p>
        </w:tc>
      </w:tr>
      <w:tr>
        <w:tc>
          <w:tcPr>
            <w:tcW w:type="dxa" w:w="4320"/>
          </w:tcPr>
          <w:p>
            <w:r>
              <w:rPr>
                <w:sz w:val="18"/>
              </w:rPr>
              <w:t>**نوع المشكلات**</w:t>
            </w:r>
          </w:p>
        </w:tc>
        <w:tc>
          <w:tcPr>
            <w:tcW w:type="dxa" w:w="4320"/>
          </w:tcPr>
          <w:p>
            <w:r>
              <w:rPr>
                <w:sz w:val="18"/>
              </w:rPr>
              <w:t>تأخر يؤثر على أكثر من فريق عمل أو مسار عمل، خلاف حول تفسير بند في النطاق، عدم توفر خبراء موضوعيين من سدايا لمقابلات أو مراجعات مجدولة، تأخر مراجعة مخرجات من العميل بأكثر من ٥ أيام عمل عن الموعد المتفق عليه</w:t>
            </w:r>
          </w:p>
        </w:tc>
      </w:tr>
      <w:tr>
        <w:tc>
          <w:tcPr>
            <w:tcW w:type="dxa" w:w="4320"/>
          </w:tcPr>
          <w:p>
            <w:r>
              <w:rPr>
                <w:sz w:val="18"/>
              </w:rPr>
              <w:t>**المحفز الكمي**</w:t>
            </w:r>
          </w:p>
        </w:tc>
        <w:tc>
          <w:tcPr>
            <w:tcW w:type="dxa" w:w="4320"/>
          </w:tcPr>
          <w:p>
            <w:r>
              <w:rPr>
                <w:sz w:val="18"/>
              </w:rPr>
              <w:t>مشكلة تؤثر على مهام أسبوع إلى أسبوعين، أو تصعيد رسمي من المستوى الأول</w:t>
            </w:r>
          </w:p>
        </w:tc>
      </w:tr>
      <w:tr>
        <w:tc>
          <w:tcPr>
            <w:tcW w:type="dxa" w:w="4320"/>
          </w:tcPr>
          <w:p>
            <w:r>
              <w:rPr>
                <w:sz w:val="18"/>
              </w:rPr>
              <w:t>**اتفاقية مستوى الخدمة**</w:t>
            </w:r>
          </w:p>
        </w:tc>
        <w:tc>
          <w:tcPr>
            <w:tcW w:type="dxa" w:w="4320"/>
          </w:tcPr>
          <w:p>
            <w:r>
              <w:rPr>
                <w:sz w:val="18"/>
              </w:rPr>
              <w:t>٤٨ ساعة عمل للاستجابة، أسبوع عمل واحد للحل</w:t>
            </w:r>
          </w:p>
        </w:tc>
      </w:tr>
      <w:tr>
        <w:tc>
          <w:tcPr>
            <w:tcW w:type="dxa" w:w="4320"/>
          </w:tcPr>
          <w:p>
            <w:r>
              <w:rPr>
                <w:sz w:val="18"/>
              </w:rPr>
              <w:t>**آلية التوثيق**</w:t>
            </w:r>
          </w:p>
        </w:tc>
        <w:tc>
          <w:tcPr>
            <w:tcW w:type="dxa" w:w="4320"/>
          </w:tcPr>
          <w:p>
            <w:r>
              <w:rPr>
                <w:sz w:val="18"/>
              </w:rPr>
              <w:t>مذكرة تصعيد رسمية تتضمن: وصف المشكلة، تحليل الأثر على الجدول الزمني والمخرجات، الحلول المجربة في المستوى الأول، ثلاثة حلول مقترحة مع تقييم كل منها</w:t>
            </w:r>
          </w:p>
        </w:tc>
      </w:tr>
      <w:tr>
        <w:tc>
          <w:tcPr>
            <w:tcW w:type="dxa" w:w="4320"/>
          </w:tcPr>
          <w:p>
            <w:r>
              <w:rPr>
                <w:sz w:val="18"/>
              </w:rPr>
              <w:t>**معيار التصعيد للمستوى التالي**</w:t>
            </w:r>
          </w:p>
        </w:tc>
        <w:tc>
          <w:tcPr>
            <w:tcW w:type="dxa" w:w="4320"/>
          </w:tcPr>
          <w:p>
            <w:r>
              <w:rPr>
                <w:sz w:val="18"/>
              </w:rPr>
              <w:t>عدم الحل خلال أسبوع عمل، أو أثر مالي محتمل يتجاوز ٥٪ من قيمة المرحلة</w:t>
            </w:r>
          </w:p>
        </w:tc>
      </w:tr>
    </w:tbl>
    <w:p/>
    <w:p>
      <w:r>
        <w:t>#### المستوى الثالث — اللجنة التوجيهية (الاستراتيجي)</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البُعد</w:t>
            </w:r>
          </w:p>
        </w:tc>
        <w:tc>
          <w:tcPr>
            <w:tcW w:type="dxa" w:w="4320"/>
          </w:tcPr>
          <w:p>
            <w:r>
              <w:rPr>
                <w:b/>
                <w:sz w:val="18"/>
              </w:rPr>
              <w:t>التفصيل</w:t>
            </w:r>
          </w:p>
        </w:tc>
      </w:tr>
      <w:tr>
        <w:tc>
          <w:tcPr>
            <w:tcW w:type="dxa" w:w="4320"/>
          </w:tcPr>
          <w:p>
            <w:r>
              <w:rPr>
                <w:sz w:val="18"/>
              </w:rPr>
              <w:t>**المسؤول**</w:t>
            </w:r>
          </w:p>
        </w:tc>
        <w:tc>
          <w:tcPr>
            <w:tcW w:type="dxa" w:w="4320"/>
          </w:tcPr>
          <w:p>
            <w:r>
              <w:rPr>
                <w:sz w:val="18"/>
              </w:rPr>
              <w:t>اللجنة التوجيهية مجتمعة في اجتماع طارئ أو مجدول</w:t>
            </w:r>
          </w:p>
        </w:tc>
      </w:tr>
      <w:tr>
        <w:tc>
          <w:tcPr>
            <w:tcW w:type="dxa" w:w="4320"/>
          </w:tcPr>
          <w:p>
            <w:r>
              <w:rPr>
                <w:sz w:val="18"/>
              </w:rPr>
              <w:t>**نوع المشكلات**</w:t>
            </w:r>
          </w:p>
        </w:tc>
        <w:tc>
          <w:tcPr>
            <w:tcW w:type="dxa" w:w="4320"/>
          </w:tcPr>
          <w:p>
            <w:r>
              <w:rPr>
                <w:sz w:val="18"/>
              </w:rPr>
              <w:t>تغيير جوهري مقترح في النطاق، تجاوز متوقع للميزانية، تأخر يتجاوز أسبوعين في مسار حرج، خلاف حول جودة مخرج رئيسي بعد جولتي مراجعة، مخاطر تتعلق بالعلاقة مع اليونسكو أو الدول الشريكة، عدم توفر بيانات جوهرية تؤثر على جدوى التقييم</w:t>
            </w:r>
          </w:p>
        </w:tc>
      </w:tr>
      <w:tr>
        <w:tc>
          <w:tcPr>
            <w:tcW w:type="dxa" w:w="4320"/>
          </w:tcPr>
          <w:p>
            <w:r>
              <w:rPr>
                <w:sz w:val="18"/>
              </w:rPr>
              <w:t>**المحفز الكمي**</w:t>
            </w:r>
          </w:p>
        </w:tc>
        <w:tc>
          <w:tcPr>
            <w:tcW w:type="dxa" w:w="4320"/>
          </w:tcPr>
          <w:p>
            <w:r>
              <w:rPr>
                <w:sz w:val="18"/>
              </w:rPr>
              <w:t>مشكلة تؤثر على الجدول الزمني بأكثر من أسبوعين، أو تصعيد رسمي من المستوى الثاني</w:t>
            </w:r>
          </w:p>
        </w:tc>
      </w:tr>
      <w:tr>
        <w:tc>
          <w:tcPr>
            <w:tcW w:type="dxa" w:w="4320"/>
          </w:tcPr>
          <w:p>
            <w:r>
              <w:rPr>
                <w:sz w:val="18"/>
              </w:rPr>
              <w:t>**اتفاقية مستوى الخدمة**</w:t>
            </w:r>
          </w:p>
        </w:tc>
        <w:tc>
          <w:tcPr>
            <w:tcW w:type="dxa" w:w="4320"/>
          </w:tcPr>
          <w:p>
            <w:r>
              <w:rPr>
                <w:sz w:val="18"/>
              </w:rPr>
              <w:t>اجتماع طارئ خلال ٥ أيام عمل من التصعيد، قرار خلال أسبوعين</w:t>
            </w:r>
          </w:p>
        </w:tc>
      </w:tr>
      <w:tr>
        <w:tc>
          <w:tcPr>
            <w:tcW w:type="dxa" w:w="4320"/>
          </w:tcPr>
          <w:p>
            <w:r>
              <w:rPr>
                <w:sz w:val="18"/>
              </w:rPr>
              <w:t>**آلية التوثيق**</w:t>
            </w:r>
          </w:p>
        </w:tc>
        <w:tc>
          <w:tcPr>
            <w:tcW w:type="dxa" w:w="4320"/>
          </w:tcPr>
          <w:p>
            <w:r>
              <w:rPr>
                <w:sz w:val="18"/>
              </w:rPr>
              <w:t>عرض تقديمي رسمي يتضمن: تحليل الخيارات (٣ خيارات على الأقل)، الأثر المالي والزمني لكل خيار، التوصية مع التبرير</w:t>
            </w:r>
          </w:p>
        </w:tc>
      </w:tr>
      <w:tr>
        <w:tc>
          <w:tcPr>
            <w:tcW w:type="dxa" w:w="4320"/>
          </w:tcPr>
          <w:p>
            <w:r>
              <w:rPr>
                <w:sz w:val="18"/>
              </w:rPr>
              <w:t>**معيار التصعيد للمستوى التالي**</w:t>
            </w:r>
          </w:p>
        </w:tc>
        <w:tc>
          <w:tcPr>
            <w:tcW w:type="dxa" w:w="4320"/>
          </w:tcPr>
          <w:p>
            <w:r>
              <w:rPr>
                <w:sz w:val="18"/>
              </w:rPr>
              <w:t>عدم التوافق على الحل بعد اجتماعين، أو أثر تعاقدي مباشر</w:t>
            </w:r>
          </w:p>
        </w:tc>
      </w:tr>
    </w:tbl>
    <w:p/>
    <w:p>
      <w:r>
        <w:t>#### المستوى الرابع — الراعي التنفيذي (التعاقدي)</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البُعد</w:t>
            </w:r>
          </w:p>
        </w:tc>
        <w:tc>
          <w:tcPr>
            <w:tcW w:type="dxa" w:w="4320"/>
          </w:tcPr>
          <w:p>
            <w:r>
              <w:rPr>
                <w:b/>
                <w:sz w:val="18"/>
              </w:rPr>
              <w:t>التفصيل</w:t>
            </w:r>
          </w:p>
        </w:tc>
      </w:tr>
      <w:tr>
        <w:tc>
          <w:tcPr>
            <w:tcW w:type="dxa" w:w="4320"/>
          </w:tcPr>
          <w:p>
            <w:r>
              <w:rPr>
                <w:sz w:val="18"/>
              </w:rPr>
              <w:t>**المسؤول**</w:t>
            </w:r>
          </w:p>
        </w:tc>
        <w:tc>
          <w:tcPr>
            <w:tcW w:type="dxa" w:w="4320"/>
          </w:tcPr>
          <w:p>
            <w:r>
              <w:rPr>
                <w:sz w:val="18"/>
              </w:rPr>
              <w:t>الراعي التنفيذي من سدايا (مستوى نائب رئيس أو أعلى) + الشريك الإداري من SG</w:t>
            </w:r>
          </w:p>
        </w:tc>
      </w:tr>
      <w:tr>
        <w:tc>
          <w:tcPr>
            <w:tcW w:type="dxa" w:w="4320"/>
          </w:tcPr>
          <w:p>
            <w:r>
              <w:rPr>
                <w:sz w:val="18"/>
              </w:rPr>
              <w:t>**نوع المشكلات**</w:t>
            </w:r>
          </w:p>
        </w:tc>
        <w:tc>
          <w:tcPr>
            <w:tcW w:type="dxa" w:w="4320"/>
          </w:tcPr>
          <w:p>
            <w:r>
              <w:rPr>
                <w:sz w:val="18"/>
              </w:rPr>
              <w:t>نزاع تعاقدي، إنهاء مبكر محتمل، تغيير جذري في أهداف المشروع بسبب تحولات مؤسسية، مخاطر سمعة مؤسسية لأي من الطرفين</w:t>
            </w:r>
          </w:p>
        </w:tc>
      </w:tr>
      <w:tr>
        <w:tc>
          <w:tcPr>
            <w:tcW w:type="dxa" w:w="4320"/>
          </w:tcPr>
          <w:p>
            <w:r>
              <w:rPr>
                <w:sz w:val="18"/>
              </w:rPr>
              <w:t>**المحفز**</w:t>
            </w:r>
          </w:p>
        </w:tc>
        <w:tc>
          <w:tcPr>
            <w:tcW w:type="dxa" w:w="4320"/>
          </w:tcPr>
          <w:p>
            <w:r>
              <w:rPr>
                <w:sz w:val="18"/>
              </w:rPr>
              <w:t>فشل المستوى الثالث في الحل، أو مشكلة ذات أثر تعاقدي مباشر</w:t>
            </w:r>
          </w:p>
        </w:tc>
      </w:tr>
      <w:tr>
        <w:tc>
          <w:tcPr>
            <w:tcW w:type="dxa" w:w="4320"/>
          </w:tcPr>
          <w:p>
            <w:r>
              <w:rPr>
                <w:sz w:val="18"/>
              </w:rPr>
              <w:t>**اتفاقية مستوى الخدمة**</w:t>
            </w:r>
          </w:p>
        </w:tc>
        <w:tc>
          <w:tcPr>
            <w:tcW w:type="dxa" w:w="4320"/>
          </w:tcPr>
          <w:p>
            <w:r>
              <w:rPr>
                <w:sz w:val="18"/>
              </w:rPr>
              <w:t>اجتماع خلال ٧٢ ساعة عمل، قرار خلال أسبوعين</w:t>
            </w:r>
          </w:p>
        </w:tc>
      </w:tr>
      <w:tr>
        <w:tc>
          <w:tcPr>
            <w:tcW w:type="dxa" w:w="4320"/>
          </w:tcPr>
          <w:p>
            <w:r>
              <w:rPr>
                <w:sz w:val="18"/>
              </w:rPr>
              <w:t>**آلية التوثيق**</w:t>
            </w:r>
          </w:p>
        </w:tc>
        <w:tc>
          <w:tcPr>
            <w:tcW w:type="dxa" w:w="4320"/>
          </w:tcPr>
          <w:p>
            <w:r>
              <w:rPr>
                <w:sz w:val="18"/>
              </w:rPr>
              <w:t>مراسلة رسمية بين الجهتين مع إشراك الإدارات القانونية عند الحاجة</w:t>
            </w:r>
          </w:p>
        </w:tc>
      </w:tr>
    </w:tbl>
    <w:p/>
    <w:p>
      <w:r>
        <w:t>#### قواعد التصعيد العامة</w:t>
        <w:br/>
        <w:t xml:space="preserve"> - لا يجوز تجاوز مستوى تصعيد دون استنفاد المستوى السابق، إلا في حالات الطوارئ التي تهدد سلامة المشروع أو سمعة الجهتين — وفي هذه الحالة يُوثق مبرر التجاوز كتابياً. - كل تصعيد يتطلب توثيقاً مكتوباً يشمل: وصف المشكلة، الأثر المتوقع (زمني ومالي ونوعي)، الحلول المجربة في المستوى السابق، الحلول المقترحة مع تقييم كل منها. - يُراجع إطار التصعيد في الاجتماع التوجيهي الشهري لتقييم فعاليته — إذا تجاوز عدد التصعيدات للمستوى الثالث ثلاث حالات في شهر واحد، يُعاد تقييم هيكل الحوكمة التشغيلي. ---</w:t>
        <w:br/>
        <w:t xml:space="preserve"> ### ٥. منظومة التقارير (Reporting Framework)</w:t>
        <w:br/>
        <w:t xml:space="preserve"> #### ٥.١ التقرير الأسبوعي (Weekly Status Report)</w:t>
        <w:br/>
        <w:t xml:space="preserve"> - **التكرار:** كل أحد</w:t>
        <w:br/>
        <w:t xml:space="preserve"> - **المُعد:** مدير المشروع من SG</w:t>
        <w:br/>
        <w:t xml:space="preserve"> - **المستلمون:** مدير مشروع سدايا (أساسي)، أعضاء اللجنة التوجيهية (للاطلاع)</w:t>
        <w:br/>
        <w:t xml:space="preserve"> - **المحتوى — نموذج ثابت بحد أقصى ٣ صفحات:**</w:t>
        <w:br/>
        <w:t xml:space="preserve"> - ملخص تنفيذي (فقرة واحدة): الحالة العامة بنظام الإشارة الضوئية (أخضر/أصفر/أحمر) مع تبرير مختصر</w:t>
        <w:br/>
        <w:t xml:space="preserve"> - جدول المهام المنجزة خلال الأسبوع مع نسبة الإنجاز الفعلية مقابل المخطط</w:t>
        <w:br/>
        <w:t xml:space="preserve"> - جدول المهام المخطط لها للأسبوع القادم مع المسؤولين والمواعيد</w:t>
        <w:br/>
        <w:t xml:space="preserve"> - العوائق النشطة: وصف، أثر، خطة حل، مسؤول، موعد مستهدف</w:t>
        <w:br/>
        <w:t xml:space="preserve"> - المخاطر الجديدة المُحددة خلال الأسبوع (إن وجدت)</w:t>
        <w:br/>
        <w:t xml:space="preserve"> - طلبات القرار المعلقة من العميل مع تاريخ الطلب والأثر المتوقع للتأخر</w:t>
        <w:br/>
        <w:t xml:space="preserve"> - تحديث سجل المشكلات المفتوحة</w:t>
        <w:br/>
        <w:t xml:space="preserve"> - **اللغة:** العربية كلغة أساسية، مع ملحق إنجليزي مختصر عند الحاجة للتوافق مع متطلبات التواصل مع اليونسكو</w:t>
        <w:br/>
        <w:t xml:space="preserve"> - **التصنيف:** مخرج إداري داخلي (Management Artifact) — لا يُعد مخرجاً تعاقدياً رسمياً</w:t>
        <w:br/>
        <w:t xml:space="preserve"> #### ٥.٢ لوحة المتابعة الشهرية (Monthly Dashboard)</w:t>
        <w:br/>
        <w:t xml:space="preserve"> - **التكرار:** شهرياً، تُقدم قبل اجتماع اللجنة التوجيهية بثلاثة أيام عمل</w:t>
        <w:br/>
        <w:t xml:space="preserve"> - **المُعد:** مدير المشروع من SG بمراجعة مدير المشاركة</w:t>
        <w:br/>
        <w:t xml:space="preserve"> - **المستلمون:** أعضاء اللجنة التوجيهية</w:t>
        <w:br/>
        <w:t xml:space="preserve"> - **المحتوى — عرض تقديمي بحد أقصى ١٥ شريحة + ملحق بيانات:**</w:t>
        <w:br/>
        <w:t xml:space="preserve"> - مؤشرات الأداء الرئيسية: نسبة الإنجاز الفعلية مقابل المخطط (بالمهام وبالجهد)، الانحراف الزمني التراكمي، معدل استهلاك الموارد</w:t>
        <w:br/>
        <w:t xml:space="preserve"> - حالة المخرجات: جدول يوضح كل مخرج (D-1 مكوناته، D-2 مكوناته، D-3 مكوناته) ونسبة إنجازه وحالة المراجعة (مسودة/مراجعة داخلية/مقدم للعميل/معتمد)</w:t>
        <w:br/>
        <w:t xml:space="preserve"> - سجل المخاطر المحدث: أعلى ٥ مخاطر مرتبة بالدرجة، مع حالة خطط التخفيف (نشطة/مكتملة/متأخرة)</w:t>
        <w:br/>
        <w:t xml:space="preserve"> - سجل طلبات التغيير: عدد الطلبات المقدمة والمعتمدة والمرفوضة والمعلقة، مع الأثر التراكمي على النطاق والزمن</w:t>
        <w:br/>
        <w:t xml:space="preserve"> - تقدم نقل المعرفة: عدد الجلسات المنفذة مقابل المخطط، عدد المتدربين المشاركين، نتائج التقييم (إن توفرت)</w:t>
        <w:br/>
        <w:t xml:space="preserve"> - خطة الشهر القادم: المعالم الرئيسية المستهدفة، الموارد المطلوبة، التبعيات الحرجة</w:t>
        <w:br/>
        <w:t xml:space="preserve"> - **التصنيف:** مخرج إداري داخلي (Management Artifact)</w:t>
        <w:br/>
        <w:t xml:space="preserve"> #### ٥.٣ المراجعة عند اكتمال المراحل (Phase Gate Review)</w:t>
        <w:br/>
        <w:t xml:space="preserve"> - **التكرار:** عند اكتمال كل مرحلة رئيسية (٣ مراجعات: بوابة D-1، بوابة D-2، بوابة D-3)</w:t>
        <w:br/>
        <w:t xml:space="preserve"> - **المُعد:** مدير المشاركة من SG</w:t>
        <w:br/>
        <w:t xml:space="preserve"> - **المستلمون:** اللجنة التوجيهية الكاملة</w:t>
        <w:br/>
        <w:t xml:space="preserve"> - **المحتوى:**</w:t>
        <w:br/>
        <w:t xml:space="preserve"> - تقييم شامل لأداء المرحلة مقابل الأهداف المعتمدة</w:t>
        <w:br/>
        <w:t xml:space="preserve"> - ملخص المخرجات المسلمة مع حالة القبول</w:t>
        <w:br/>
        <w:t xml:space="preserve"> - تحليل الانحرافات عن الخطة (زمنية، نوعية، نطاقية) مع الأسباب الجذرية</w:t>
        <w:br/>
        <w:t xml:space="preserve"> - الدروس المستفادة من المرحلة (٣-٥ دروس محددة مع إجراءات تصحيحية)</w:t>
        <w:br/>
        <w:t xml:space="preserve"> - تقييم فعالية نقل المعرفة خلال المرحلة</w:t>
        <w:br/>
        <w:t xml:space="preserve"> - خطة المرحلة التالية المحدثة بناءً على نتائج المرحلة المكتملة</w:t>
        <w:br/>
        <w:t xml:space="preserve"> - المخاطر المتبقية وخطط التخفيف المحدثة</w:t>
        <w:br/>
        <w:t xml:space="preserve"> - **التصنيف:** مخرج رسمي مرتبط ببوابة الموافقة — يُعد جزءاً من عملية القبول التعاقدي</w:t>
        <w:br/>
        <w:t xml:space="preserve"> #### ٥.٤ تقارير متخصصة بطبيعة المشروع</w:t>
        <w:br/>
        <w:t xml:space="preserve"> نظراً لارتباط المشروع باليونسكو وأهداف التنمية المستدامة، تُضاف ثلاثة تقارير متخصصة: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التقرير</w:t>
            </w:r>
          </w:p>
        </w:tc>
        <w:tc>
          <w:tcPr>
            <w:tcW w:type="dxa" w:w="1728"/>
          </w:tcPr>
          <w:p>
            <w:r>
              <w:rPr>
                <w:b/>
                <w:sz w:val="18"/>
              </w:rPr>
              <w:t>التوقيت</w:t>
            </w:r>
          </w:p>
        </w:tc>
        <w:tc>
          <w:tcPr>
            <w:tcW w:type="dxa" w:w="1728"/>
          </w:tcPr>
          <w:p>
            <w:r>
              <w:rPr>
                <w:b/>
                <w:sz w:val="18"/>
              </w:rPr>
              <w:t>المحتوى</w:t>
            </w:r>
          </w:p>
        </w:tc>
        <w:tc>
          <w:tcPr>
            <w:tcW w:type="dxa" w:w="1728"/>
          </w:tcPr>
          <w:p>
            <w:r>
              <w:rPr>
                <w:b/>
                <w:sz w:val="18"/>
              </w:rPr>
              <w:t>المرجع المنهجي</w:t>
            </w:r>
          </w:p>
        </w:tc>
        <w:tc>
          <w:tcPr>
            <w:tcW w:type="dxa" w:w="1728"/>
          </w:tcPr>
          <w:p>
            <w:r>
              <w:rPr>
                <w:b/>
                <w:sz w:val="18"/>
              </w:rPr>
              <w:t>التصنيف</w:t>
            </w:r>
          </w:p>
        </w:tc>
      </w:tr>
      <w:tr>
        <w:tc>
          <w:tcPr>
            <w:tcW w:type="dxa" w:w="1728"/>
          </w:tcPr>
          <w:p>
            <w:r>
              <w:rPr>
                <w:sz w:val="18"/>
              </w:rPr>
              <w:t>تقرير التوافق مع أدوات اليونسكو المعيارية</w:t>
            </w:r>
          </w:p>
        </w:tc>
        <w:tc>
          <w:tcPr>
            <w:tcW w:type="dxa" w:w="1728"/>
          </w:tcPr>
          <w:p>
            <w:r>
              <w:rPr>
                <w:sz w:val="18"/>
              </w:rPr>
              <w:t>عند اكتمال D-1</w:t>
            </w:r>
          </w:p>
        </w:tc>
        <w:tc>
          <w:tcPr>
            <w:tcW w:type="dxa" w:w="1728"/>
          </w:tcPr>
          <w:p>
            <w:r>
              <w:rPr>
                <w:sz w:val="18"/>
              </w:rPr>
              <w:t>توثيق كيفية توافق نتائج التقييم مع دورات التقارير الدورية لليونسكو ومنهجية تقييم الجاهزية</w:t>
            </w:r>
          </w:p>
        </w:tc>
        <w:tc>
          <w:tcPr>
            <w:tcW w:type="dxa" w:w="1728"/>
          </w:tcPr>
          <w:p>
            <w:r>
              <w:rPr>
                <w:sz w:val="18"/>
              </w:rPr>
              <w:t>[EXT-003] [EXT-002]</w:t>
            </w:r>
          </w:p>
        </w:tc>
        <w:tc>
          <w:tcPr>
            <w:tcW w:type="dxa" w:w="1728"/>
          </w:tcPr>
          <w:p>
            <w:r>
              <w:rPr>
                <w:sz w:val="18"/>
              </w:rPr>
              <w:t>مخرج رسمي — ملحق بـ D-1</w:t>
            </w:r>
          </w:p>
        </w:tc>
      </w:tr>
      <w:tr>
        <w:tc>
          <w:tcPr>
            <w:tcW w:type="dxa" w:w="1728"/>
          </w:tcPr>
          <w:p>
            <w:r>
              <w:rPr>
                <w:sz w:val="18"/>
              </w:rPr>
              <w:t>تقرير ربط أهداف التنمية المستدامة</w:t>
            </w:r>
          </w:p>
        </w:tc>
        <w:tc>
          <w:tcPr>
            <w:tcW w:type="dxa" w:w="1728"/>
          </w:tcPr>
          <w:p>
            <w:r>
              <w:rPr>
                <w:sz w:val="18"/>
              </w:rPr>
              <w:t>ضمن D-2</w:t>
            </w:r>
          </w:p>
        </w:tc>
        <w:tc>
          <w:tcPr>
            <w:tcW w:type="dxa" w:w="1728"/>
          </w:tcPr>
          <w:p>
            <w:r>
              <w:rPr>
                <w:sz w:val="18"/>
              </w:rPr>
              <w:t>توثيق آليات الربط بين كل مبادرة مقترحة وأهداف التنمية المستدامة ذات الصلة</w:t>
            </w:r>
          </w:p>
        </w:tc>
        <w:tc>
          <w:tcPr>
            <w:tcW w:type="dxa" w:w="1728"/>
          </w:tcPr>
          <w:p>
            <w:r>
              <w:rPr>
                <w:sz w:val="18"/>
              </w:rPr>
              <w:t>[EXT-013]</w:t>
            </w:r>
          </w:p>
        </w:tc>
        <w:tc>
          <w:tcPr>
            <w:tcW w:type="dxa" w:w="1728"/>
          </w:tcPr>
          <w:p>
            <w:r>
              <w:rPr>
                <w:sz w:val="18"/>
              </w:rPr>
              <w:t>مخرج رسمي — ملحق بـ D-2</w:t>
            </w:r>
          </w:p>
        </w:tc>
      </w:tr>
      <w:tr>
        <w:tc>
          <w:tcPr>
            <w:tcW w:type="dxa" w:w="1728"/>
          </w:tcPr>
          <w:p>
            <w:r>
              <w:rPr>
                <w:sz w:val="18"/>
              </w:rPr>
              <w:t>تقرير تقييم القدرات (قبلي وبعدي)</w:t>
            </w:r>
          </w:p>
        </w:tc>
        <w:tc>
          <w:tcPr>
            <w:tcW w:type="dxa" w:w="1728"/>
          </w:tcPr>
          <w:p>
            <w:r>
              <w:rPr>
                <w:sz w:val="18"/>
              </w:rPr>
              <w:t>قبل وبعد D-3</w:t>
            </w:r>
          </w:p>
        </w:tc>
        <w:tc>
          <w:tcPr>
            <w:tcW w:type="dxa" w:w="1728"/>
          </w:tcPr>
          <w:p>
            <w:r>
              <w:rPr>
                <w:sz w:val="18"/>
              </w:rPr>
              <w:t>نتائج تقييم الكفاءات لفريق سدايا المشارك في التدريب</w:t>
            </w:r>
          </w:p>
        </w:tc>
        <w:tc>
          <w:tcPr>
            <w:tcW w:type="dxa" w:w="1728"/>
          </w:tcPr>
          <w:p>
            <w:r>
              <w:rPr>
                <w:sz w:val="18"/>
              </w:rPr>
              <w:t>[EXT-009]</w:t>
            </w:r>
          </w:p>
        </w:tc>
        <w:tc>
          <w:tcPr>
            <w:tcW w:type="dxa" w:w="1728"/>
          </w:tcPr>
          <w:p>
            <w:r>
              <w:rPr>
                <w:sz w:val="18"/>
              </w:rPr>
              <w:t>مخرج رسمي — ملحق بـ D-3</w:t>
            </w:r>
          </w:p>
        </w:tc>
      </w:tr>
    </w:tbl>
    <w:p/>
    <w:p>
      <w:r>
        <w:t>#### ٥.٥ التمييز بين المخرجات الرسمية والمخرجات الإدارية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النوع</w:t>
            </w:r>
          </w:p>
        </w:tc>
        <w:tc>
          <w:tcPr>
            <w:tcW w:type="dxa" w:w="2160"/>
          </w:tcPr>
          <w:p>
            <w:r>
              <w:rPr>
                <w:b/>
                <w:sz w:val="18"/>
              </w:rPr>
              <w:t>الأمثلة</w:t>
            </w:r>
          </w:p>
        </w:tc>
        <w:tc>
          <w:tcPr>
            <w:tcW w:type="dxa" w:w="2160"/>
          </w:tcPr>
          <w:p>
            <w:r>
              <w:rPr>
                <w:b/>
                <w:sz w:val="18"/>
              </w:rPr>
              <w:t>الغرض</w:t>
            </w:r>
          </w:p>
        </w:tc>
        <w:tc>
          <w:tcPr>
            <w:tcW w:type="dxa" w:w="2160"/>
          </w:tcPr>
          <w:p>
            <w:r>
              <w:rPr>
                <w:b/>
                <w:sz w:val="18"/>
              </w:rPr>
              <w:t>دورة الموافقة</w:t>
            </w:r>
          </w:p>
        </w:tc>
      </w:tr>
      <w:tr>
        <w:tc>
          <w:tcPr>
            <w:tcW w:type="dxa" w:w="2160"/>
          </w:tcPr>
          <w:p>
            <w:r>
              <w:rPr>
                <w:sz w:val="18"/>
              </w:rPr>
              <w:t>**مخرج رسمي تعاقدي (Client-Facing Deliverable)**</w:t>
            </w:r>
          </w:p>
        </w:tc>
        <w:tc>
          <w:tcPr>
            <w:tcW w:type="dxa" w:w="2160"/>
          </w:tcPr>
          <w:p>
            <w:r>
              <w:rPr>
                <w:sz w:val="18"/>
              </w:rPr>
              <w:t>D-1 التقييم الشامل، D-2 تطوير البرامج، D-3 التدريب ونقل المعرفة، تقارير بوابات المراحل، التقارير المتخصصة الثلاثة</w:t>
            </w:r>
          </w:p>
        </w:tc>
        <w:tc>
          <w:tcPr>
            <w:tcW w:type="dxa" w:w="2160"/>
          </w:tcPr>
          <w:p>
            <w:r>
              <w:rPr>
                <w:sz w:val="18"/>
              </w:rPr>
              <w:t>تحقيق أهداف المنافسة وبنود النطاق</w:t>
            </w:r>
          </w:p>
        </w:tc>
        <w:tc>
          <w:tcPr>
            <w:tcW w:type="dxa" w:w="2160"/>
          </w:tcPr>
          <w:p>
            <w:r>
              <w:rPr>
                <w:sz w:val="18"/>
              </w:rPr>
              <w:t>دورة المراجعة الكاملة ذات الخمس مراحل (القسم ٧)</w:t>
            </w:r>
          </w:p>
        </w:tc>
      </w:tr>
      <w:tr>
        <w:tc>
          <w:tcPr>
            <w:tcW w:type="dxa" w:w="2160"/>
          </w:tcPr>
          <w:p>
            <w:r>
              <w:rPr>
                <w:sz w:val="18"/>
              </w:rPr>
              <w:t>**مخرج إداري داخلي (Management Artifact)**</w:t>
            </w:r>
          </w:p>
        </w:tc>
        <w:tc>
          <w:tcPr>
            <w:tcW w:type="dxa" w:w="2160"/>
          </w:tcPr>
          <w:p>
            <w:r>
              <w:rPr>
                <w:sz w:val="18"/>
              </w:rPr>
              <w:t>التقارير الأسبوعية، لوحات المتابعة الشهرية، سجل RAID، سجل طلبات التغيير، قوائم التحقق، محاضر الاجتماعات</w:t>
            </w:r>
          </w:p>
        </w:tc>
        <w:tc>
          <w:tcPr>
            <w:tcW w:type="dxa" w:w="2160"/>
          </w:tcPr>
          <w:p>
            <w:r>
              <w:rPr>
                <w:sz w:val="18"/>
              </w:rPr>
              <w:t>إدارة المشروع وضمان الشفافية التشغيلية</w:t>
            </w:r>
          </w:p>
        </w:tc>
        <w:tc>
          <w:tcPr>
            <w:tcW w:type="dxa" w:w="2160"/>
          </w:tcPr>
          <w:p>
            <w:r>
              <w:rPr>
                <w:sz w:val="18"/>
              </w:rPr>
              <w:t>مراجعة مدير المشاركة + مشاركة مع مدير مشروع سدايا</w:t>
            </w:r>
          </w:p>
        </w:tc>
      </w:tr>
    </w:tbl>
    <w:p/>
    <w:p>
      <w:r>
        <w:t>#### ٥.٦ نموذج حزمة التقارير الموحدة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المكون</w:t>
            </w:r>
          </w:p>
        </w:tc>
        <w:tc>
          <w:tcPr>
            <w:tcW w:type="dxa" w:w="1728"/>
          </w:tcPr>
          <w:p>
            <w:r>
              <w:rPr>
                <w:b/>
                <w:sz w:val="18"/>
              </w:rPr>
              <w:t>الشكل</w:t>
            </w:r>
          </w:p>
        </w:tc>
        <w:tc>
          <w:tcPr>
            <w:tcW w:type="dxa" w:w="1728"/>
          </w:tcPr>
          <w:p>
            <w:r>
              <w:rPr>
                <w:b/>
                <w:sz w:val="18"/>
              </w:rPr>
              <w:t>التكرار</w:t>
            </w:r>
          </w:p>
        </w:tc>
        <w:tc>
          <w:tcPr>
            <w:tcW w:type="dxa" w:w="1728"/>
          </w:tcPr>
          <w:p>
            <w:r>
              <w:rPr>
                <w:b/>
                <w:sz w:val="18"/>
              </w:rPr>
              <w:t>المسؤول</w:t>
            </w:r>
          </w:p>
        </w:tc>
        <w:tc>
          <w:tcPr>
            <w:tcW w:type="dxa" w:w="1728"/>
          </w:tcPr>
          <w:p>
            <w:r>
              <w:rPr>
                <w:b/>
                <w:sz w:val="18"/>
              </w:rPr>
              <w:t>التصنيف</w:t>
            </w:r>
          </w:p>
        </w:tc>
      </w:tr>
      <w:tr>
        <w:tc>
          <w:tcPr>
            <w:tcW w:type="dxa" w:w="1728"/>
          </w:tcPr>
          <w:p>
            <w:r>
              <w:rPr>
                <w:sz w:val="18"/>
              </w:rPr>
              <w:t>نموذج التقرير الأسبوعي</w:t>
            </w:r>
          </w:p>
        </w:tc>
        <w:tc>
          <w:tcPr>
            <w:tcW w:type="dxa" w:w="1728"/>
          </w:tcPr>
          <w:p>
            <w:r>
              <w:rPr>
                <w:sz w:val="18"/>
              </w:rPr>
              <w:t>Word/PDF — ٣ صفحات</w:t>
            </w:r>
          </w:p>
        </w:tc>
        <w:tc>
          <w:tcPr>
            <w:tcW w:type="dxa" w:w="1728"/>
          </w:tcPr>
          <w:p>
            <w:r>
              <w:rPr>
                <w:sz w:val="18"/>
              </w:rPr>
              <w:t>أسبوعي</w:t>
            </w:r>
          </w:p>
        </w:tc>
        <w:tc>
          <w:tcPr>
            <w:tcW w:type="dxa" w:w="1728"/>
          </w:tcPr>
          <w:p>
            <w:r>
              <w:rPr>
                <w:sz w:val="18"/>
              </w:rPr>
              <w:t>مدير المشروع من SG</w:t>
            </w:r>
          </w:p>
        </w:tc>
        <w:tc>
          <w:tcPr>
            <w:tcW w:type="dxa" w:w="1728"/>
          </w:tcPr>
          <w:p>
            <w:r>
              <w:rPr>
                <w:sz w:val="18"/>
              </w:rPr>
              <w:t>إداري</w:t>
            </w:r>
          </w:p>
        </w:tc>
      </w:tr>
      <w:tr>
        <w:tc>
          <w:tcPr>
            <w:tcW w:type="dxa" w:w="1728"/>
          </w:tcPr>
          <w:p>
            <w:r>
              <w:rPr>
                <w:sz w:val="18"/>
              </w:rPr>
              <w:t>قالب لوحة المتابعة الشهرية</w:t>
            </w:r>
          </w:p>
        </w:tc>
        <w:tc>
          <w:tcPr>
            <w:tcW w:type="dxa" w:w="1728"/>
          </w:tcPr>
          <w:p>
            <w:r>
              <w:rPr>
                <w:sz w:val="18"/>
              </w:rPr>
              <w:t>PowerPoint — ١٥ شريحة</w:t>
            </w:r>
          </w:p>
        </w:tc>
        <w:tc>
          <w:tcPr>
            <w:tcW w:type="dxa" w:w="1728"/>
          </w:tcPr>
          <w:p>
            <w:r>
              <w:rPr>
                <w:sz w:val="18"/>
              </w:rPr>
              <w:t>شهري</w:t>
            </w:r>
          </w:p>
        </w:tc>
        <w:tc>
          <w:tcPr>
            <w:tcW w:type="dxa" w:w="1728"/>
          </w:tcPr>
          <w:p>
            <w:r>
              <w:rPr>
                <w:sz w:val="18"/>
              </w:rPr>
              <w:t>مدير المشروع من SG</w:t>
            </w:r>
          </w:p>
        </w:tc>
        <w:tc>
          <w:tcPr>
            <w:tcW w:type="dxa" w:w="1728"/>
          </w:tcPr>
          <w:p>
            <w:r>
              <w:rPr>
                <w:sz w:val="18"/>
              </w:rPr>
              <w:t>إداري</w:t>
            </w:r>
          </w:p>
        </w:tc>
      </w:tr>
      <w:tr>
        <w:tc>
          <w:tcPr>
            <w:tcW w:type="dxa" w:w="1728"/>
          </w:tcPr>
          <w:p>
            <w:r>
              <w:rPr>
                <w:sz w:val="18"/>
              </w:rPr>
              <w:t>سجل المخاطر</w:t>
            </w:r>
          </w:p>
        </w:tc>
        <w:tc>
          <w:tcPr>
            <w:tcW w:type="dxa" w:w="1728"/>
          </w:tcPr>
          <w:p>
            <w:r>
              <w:rPr>
                <w:sz w:val="18"/>
              </w:rPr>
              <w:t>Excel — جدول موحد</w:t>
            </w:r>
          </w:p>
        </w:tc>
        <w:tc>
          <w:tcPr>
            <w:tcW w:type="dxa" w:w="1728"/>
          </w:tcPr>
          <w:p>
            <w:r>
              <w:rPr>
                <w:sz w:val="18"/>
              </w:rPr>
              <w:t>تحديث مستمر، مراجعة أسبوعية</w:t>
            </w:r>
          </w:p>
        </w:tc>
        <w:tc>
          <w:tcPr>
            <w:tcW w:type="dxa" w:w="1728"/>
          </w:tcPr>
          <w:p>
            <w:r>
              <w:rPr>
                <w:sz w:val="18"/>
              </w:rPr>
              <w:t>مدير المشروع من SG</w:t>
            </w:r>
          </w:p>
        </w:tc>
        <w:tc>
          <w:tcPr>
            <w:tcW w:type="dxa" w:w="1728"/>
          </w:tcPr>
          <w:p>
            <w:r>
              <w:rPr>
                <w:sz w:val="18"/>
              </w:rPr>
              <w:t>إداري</w:t>
            </w:r>
          </w:p>
        </w:tc>
      </w:tr>
      <w:tr>
        <w:tc>
          <w:tcPr>
            <w:tcW w:type="dxa" w:w="1728"/>
          </w:tcPr>
          <w:p>
            <w:r>
              <w:rPr>
                <w:sz w:val="18"/>
              </w:rPr>
              <w:t>سجل المشكلات</w:t>
            </w:r>
          </w:p>
        </w:tc>
        <w:tc>
          <w:tcPr>
            <w:tcW w:type="dxa" w:w="1728"/>
          </w:tcPr>
          <w:p>
            <w:r>
              <w:rPr>
                <w:sz w:val="18"/>
              </w:rPr>
              <w:t>Excel — جدول موحد</w:t>
            </w:r>
          </w:p>
        </w:tc>
        <w:tc>
          <w:tcPr>
            <w:tcW w:type="dxa" w:w="1728"/>
          </w:tcPr>
          <w:p>
            <w:r>
              <w:rPr>
                <w:sz w:val="18"/>
              </w:rPr>
              <w:t>تحديث مستمر</w:t>
            </w:r>
          </w:p>
        </w:tc>
        <w:tc>
          <w:tcPr>
            <w:tcW w:type="dxa" w:w="1728"/>
          </w:tcPr>
          <w:p>
            <w:r>
              <w:rPr>
                <w:sz w:val="18"/>
              </w:rPr>
              <w:t>مدير المشروع من SG</w:t>
            </w:r>
          </w:p>
        </w:tc>
        <w:tc>
          <w:tcPr>
            <w:tcW w:type="dxa" w:w="1728"/>
          </w:tcPr>
          <w:p>
            <w:r>
              <w:rPr>
                <w:sz w:val="18"/>
              </w:rPr>
              <w:t>إداري</w:t>
            </w:r>
          </w:p>
        </w:tc>
      </w:tr>
      <w:tr>
        <w:tc>
          <w:tcPr>
            <w:tcW w:type="dxa" w:w="1728"/>
          </w:tcPr>
          <w:p>
            <w:r>
              <w:rPr>
                <w:sz w:val="18"/>
              </w:rPr>
              <w:t>سجل طلبات التغيير</w:t>
            </w:r>
          </w:p>
        </w:tc>
        <w:tc>
          <w:tcPr>
            <w:tcW w:type="dxa" w:w="1728"/>
          </w:tcPr>
          <w:p>
            <w:r>
              <w:rPr>
                <w:sz w:val="18"/>
              </w:rPr>
              <w:t>Excel — جدول موحد</w:t>
            </w:r>
          </w:p>
        </w:tc>
        <w:tc>
          <w:tcPr>
            <w:tcW w:type="dxa" w:w="1728"/>
          </w:tcPr>
          <w:p>
            <w:r>
              <w:rPr>
                <w:sz w:val="18"/>
              </w:rPr>
              <w:t>تحديث عند كل طلب</w:t>
            </w:r>
          </w:p>
        </w:tc>
        <w:tc>
          <w:tcPr>
            <w:tcW w:type="dxa" w:w="1728"/>
          </w:tcPr>
          <w:p>
            <w:r>
              <w:rPr>
                <w:sz w:val="18"/>
              </w:rPr>
              <w:t>مدير المشروع من SG</w:t>
            </w:r>
          </w:p>
        </w:tc>
        <w:tc>
          <w:tcPr>
            <w:tcW w:type="dxa" w:w="1728"/>
          </w:tcPr>
          <w:p>
            <w:r>
              <w:rPr>
                <w:sz w:val="18"/>
              </w:rPr>
              <w:t>إداري</w:t>
            </w:r>
          </w:p>
        </w:tc>
      </w:tr>
      <w:tr>
        <w:tc>
          <w:tcPr>
            <w:tcW w:type="dxa" w:w="1728"/>
          </w:tcPr>
          <w:p>
            <w:r>
              <w:rPr>
                <w:sz w:val="18"/>
              </w:rPr>
              <w:t>نموذج قبول المخرج</w:t>
            </w:r>
          </w:p>
        </w:tc>
        <w:tc>
          <w:tcPr>
            <w:tcW w:type="dxa" w:w="1728"/>
          </w:tcPr>
          <w:p>
            <w:r>
              <w:rPr>
                <w:sz w:val="18"/>
              </w:rPr>
              <w:t>Word — صفحة واحدة</w:t>
            </w:r>
          </w:p>
        </w:tc>
        <w:tc>
          <w:tcPr>
            <w:tcW w:type="dxa" w:w="1728"/>
          </w:tcPr>
          <w:p>
            <w:r>
              <w:rPr>
                <w:sz w:val="18"/>
              </w:rPr>
              <w:t>عند تسليم كل مخرج رسمي</w:t>
            </w:r>
          </w:p>
        </w:tc>
        <w:tc>
          <w:tcPr>
            <w:tcW w:type="dxa" w:w="1728"/>
          </w:tcPr>
          <w:p>
            <w:r>
              <w:rPr>
                <w:sz w:val="18"/>
              </w:rPr>
              <w:t>مدير مشروع سدايا</w:t>
            </w:r>
          </w:p>
        </w:tc>
        <w:tc>
          <w:tcPr>
            <w:tcW w:type="dxa" w:w="1728"/>
          </w:tcPr>
          <w:p>
            <w:r>
              <w:rPr>
                <w:sz w:val="18"/>
              </w:rPr>
              <w:t>رسمي</w:t>
            </w:r>
          </w:p>
        </w:tc>
      </w:tr>
      <w:tr>
        <w:tc>
          <w:tcPr>
            <w:tcW w:type="dxa" w:w="1728"/>
          </w:tcPr>
          <w:p>
            <w:r>
              <w:rPr>
                <w:sz w:val="18"/>
              </w:rPr>
              <w:t>نموذج مذكرة التصعيد</w:t>
            </w:r>
          </w:p>
        </w:tc>
        <w:tc>
          <w:tcPr>
            <w:tcW w:type="dxa" w:w="1728"/>
          </w:tcPr>
          <w:p>
            <w:r>
              <w:rPr>
                <w:sz w:val="18"/>
              </w:rPr>
              <w:t>Word — صفحتان</w:t>
            </w:r>
          </w:p>
        </w:tc>
        <w:tc>
          <w:tcPr>
            <w:tcW w:type="dxa" w:w="1728"/>
          </w:tcPr>
          <w:p>
            <w:r>
              <w:rPr>
                <w:sz w:val="18"/>
              </w:rPr>
              <w:t>عند الحاجة</w:t>
            </w:r>
          </w:p>
        </w:tc>
        <w:tc>
          <w:tcPr>
            <w:tcW w:type="dxa" w:w="1728"/>
          </w:tcPr>
          <w:p>
            <w:r>
              <w:rPr>
                <w:sz w:val="18"/>
              </w:rPr>
              <w:t>الطرف المُصعِّد</w:t>
            </w:r>
          </w:p>
        </w:tc>
        <w:tc>
          <w:tcPr>
            <w:tcW w:type="dxa" w:w="1728"/>
          </w:tcPr>
          <w:p>
            <w:r>
              <w:rPr>
                <w:sz w:val="18"/>
              </w:rPr>
              <w:t>إداري</w:t>
            </w:r>
          </w:p>
        </w:tc>
      </w:tr>
    </w:tbl>
    <w:p/>
    <w:p>
      <w:r>
        <w:t>---</w:t>
        <w:br/>
        <w:t xml:space="preserve"> ### ٦. إدارة المخاطر (Risk Management)</w:t>
        <w:br/>
        <w:t xml:space="preserve"> #### ٦.١ الهيكل المؤسسي لإدارة المخاطر</w:t>
        <w:br/>
        <w:t xml:space="preserve"> - **مالك سجل المخاطر:** مدير المشروع من SG — مسؤول عن التحديث المستمر والتصنيف</w:t>
        <w:br/>
        <w:t xml:space="preserve"> - **مراجع المخاطر:** مدير المشاركة من SG — مراجعة أسبوعية للمخاطر العالية والحرجة</w:t>
        <w:br/>
        <w:t xml:space="preserve"> - **المشارك في تحديد المخاطر:** مدير مشروع سدايا — يساهم في تحديد المخاطر المؤسسية والتشغيلية من جانب العميل</w:t>
        <w:br/>
        <w:t xml:space="preserve"> - **جهة الموافقة على خطط التخفيف:** مدير المشروع من SG (للمخاطر المنخفضة والمتوسطة)، اللجنة التوجيهية (للمخاطر العالية والحرجة)</w:t>
        <w:br/>
        <w:t xml:space="preserve"> - **تكرار المراجعة:** أسبوعياً في الاجتماع التشغيلي (جميع المخاطر النشطة)، شهرياً في اللجنة التوجيهية (أعلى ٥ مخاطر + أي مخاطر جديدة حرجة)</w:t>
        <w:br/>
        <w:t xml:space="preserve"> #### ٦.٢ مصفوفة الخطورة (Severity Matrix) — ٤×٤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أثر منخفض (١): تأخر &lt; أسبوع، لا أثر على الجودة</w:t>
            </w:r>
          </w:p>
        </w:tc>
        <w:tc>
          <w:tcPr>
            <w:tcW w:type="dxa" w:w="1728"/>
          </w:tcPr>
          <w:p>
            <w:r>
              <w:rPr>
                <w:b/>
                <w:sz w:val="18"/>
              </w:rPr>
              <w:t>أثر متوسط (٢): تأخر ١-٢ أسبوع، أثر محدود على مخرج فرعي</w:t>
            </w:r>
          </w:p>
        </w:tc>
        <w:tc>
          <w:tcPr>
            <w:tcW w:type="dxa" w:w="1728"/>
          </w:tcPr>
          <w:p>
            <w:r>
              <w:rPr>
                <w:b/>
                <w:sz w:val="18"/>
              </w:rPr>
              <w:t>أثر عالٍ (٣): تأخر ٢-٤ أسابيع، أثر على مخرج رئيسي</w:t>
            </w:r>
          </w:p>
        </w:tc>
        <w:tc>
          <w:tcPr>
            <w:tcW w:type="dxa" w:w="1728"/>
          </w:tcPr>
          <w:p>
            <w:r>
              <w:rPr>
                <w:b/>
                <w:sz w:val="18"/>
              </w:rPr>
              <w:t>أثر حرج (٤): تأخر &gt; شهر، أثر على نطاق المشروع أو علاقة سدايا-اليونسكو</w:t>
            </w:r>
          </w:p>
        </w:tc>
        <w:tc>
          <w:tcPr>
            <w:tcW w:type="dxa" w:w="1728"/>
          </w:tcPr>
          <w:p/>
        </w:tc>
      </w:tr>
      <w:tr>
        <w:tc>
          <w:tcPr>
            <w:tcW w:type="dxa" w:w="1728"/>
          </w:tcPr>
          <w:p>
            <w:r>
              <w:rPr>
                <w:sz w:val="18"/>
              </w:rPr>
              <w:t>**احتمال عالٍ (٤)**</w:t>
            </w:r>
          </w:p>
        </w:tc>
        <w:tc>
          <w:tcPr>
            <w:tcW w:type="dxa" w:w="1728"/>
          </w:tcPr>
          <w:p>
            <w:r>
              <w:rPr>
                <w:sz w:val="18"/>
              </w:rPr>
              <w:t>متوسط (٤)</w:t>
            </w:r>
          </w:p>
        </w:tc>
        <w:tc>
          <w:tcPr>
            <w:tcW w:type="dxa" w:w="1728"/>
          </w:tcPr>
          <w:p>
            <w:r>
              <w:rPr>
                <w:sz w:val="18"/>
              </w:rPr>
              <w:t>عالٍ (٨)</w:t>
            </w:r>
          </w:p>
        </w:tc>
        <w:tc>
          <w:tcPr>
            <w:tcW w:type="dxa" w:w="1728"/>
          </w:tcPr>
          <w:p>
            <w:r>
              <w:rPr>
                <w:sz w:val="18"/>
              </w:rPr>
              <w:t>حرج (١٢)</w:t>
            </w:r>
          </w:p>
        </w:tc>
        <w:tc>
          <w:tcPr>
            <w:tcW w:type="dxa" w:w="1728"/>
          </w:tcPr>
          <w:p>
            <w:r>
              <w:rPr>
                <w:sz w:val="18"/>
              </w:rPr>
              <w:t>حرج (١٦)</w:t>
            </w:r>
          </w:p>
        </w:tc>
      </w:tr>
      <w:tr>
        <w:tc>
          <w:tcPr>
            <w:tcW w:type="dxa" w:w="1728"/>
          </w:tcPr>
          <w:p>
            <w:r>
              <w:rPr>
                <w:sz w:val="18"/>
              </w:rPr>
              <w:t>**احتمال متوسط (٣)**</w:t>
            </w:r>
          </w:p>
        </w:tc>
        <w:tc>
          <w:tcPr>
            <w:tcW w:type="dxa" w:w="1728"/>
          </w:tcPr>
          <w:p>
            <w:r>
              <w:rPr>
                <w:sz w:val="18"/>
              </w:rPr>
              <w:t>منخفض (٣)</w:t>
            </w:r>
          </w:p>
        </w:tc>
        <w:tc>
          <w:tcPr>
            <w:tcW w:type="dxa" w:w="1728"/>
          </w:tcPr>
          <w:p>
            <w:r>
              <w:rPr>
                <w:sz w:val="18"/>
              </w:rPr>
              <w:t>متوسط (٦)</w:t>
            </w:r>
          </w:p>
        </w:tc>
        <w:tc>
          <w:tcPr>
            <w:tcW w:type="dxa" w:w="1728"/>
          </w:tcPr>
          <w:p>
            <w:r>
              <w:rPr>
                <w:sz w:val="18"/>
              </w:rPr>
              <w:t>عالٍ (٩)</w:t>
            </w:r>
          </w:p>
        </w:tc>
        <w:tc>
          <w:tcPr>
            <w:tcW w:type="dxa" w:w="1728"/>
          </w:tcPr>
          <w:p>
            <w:r>
              <w:rPr>
                <w:sz w:val="18"/>
              </w:rPr>
              <w:t>حرج (١٢)</w:t>
            </w:r>
          </w:p>
        </w:tc>
      </w:tr>
      <w:tr>
        <w:tc>
          <w:tcPr>
            <w:tcW w:type="dxa" w:w="1728"/>
          </w:tcPr>
          <w:p>
            <w:r>
              <w:rPr>
                <w:sz w:val="18"/>
              </w:rPr>
              <w:t>**احتمال منخفض (٢)**</w:t>
            </w:r>
          </w:p>
        </w:tc>
        <w:tc>
          <w:tcPr>
            <w:tcW w:type="dxa" w:w="1728"/>
          </w:tcPr>
          <w:p>
            <w:r>
              <w:rPr>
                <w:sz w:val="18"/>
              </w:rPr>
              <w:t>منخفض (٢)</w:t>
            </w:r>
          </w:p>
        </w:tc>
        <w:tc>
          <w:tcPr>
            <w:tcW w:type="dxa" w:w="1728"/>
          </w:tcPr>
          <w:p>
            <w:r>
              <w:rPr>
                <w:sz w:val="18"/>
              </w:rPr>
              <w:t>منخفض (٤)</w:t>
            </w:r>
          </w:p>
        </w:tc>
        <w:tc>
          <w:tcPr>
            <w:tcW w:type="dxa" w:w="1728"/>
          </w:tcPr>
          <w:p>
            <w:r>
              <w:rPr>
                <w:sz w:val="18"/>
              </w:rPr>
              <w:t>متوسط (٦)</w:t>
            </w:r>
          </w:p>
        </w:tc>
        <w:tc>
          <w:tcPr>
            <w:tcW w:type="dxa" w:w="1728"/>
          </w:tcPr>
          <w:p>
            <w:r>
              <w:rPr>
                <w:sz w:val="18"/>
              </w:rPr>
              <w:t>عالٍ (٨)</w:t>
            </w:r>
          </w:p>
        </w:tc>
      </w:tr>
      <w:tr>
        <w:tc>
          <w:tcPr>
            <w:tcW w:type="dxa" w:w="1728"/>
          </w:tcPr>
          <w:p>
            <w:r>
              <w:rPr>
                <w:sz w:val="18"/>
              </w:rPr>
              <w:t>**احتمال نادر (١)**</w:t>
            </w:r>
          </w:p>
        </w:tc>
        <w:tc>
          <w:tcPr>
            <w:tcW w:type="dxa" w:w="1728"/>
          </w:tcPr>
          <w:p>
            <w:r>
              <w:rPr>
                <w:sz w:val="18"/>
              </w:rPr>
              <w:t>منخفض (١)</w:t>
            </w:r>
          </w:p>
        </w:tc>
        <w:tc>
          <w:tcPr>
            <w:tcW w:type="dxa" w:w="1728"/>
          </w:tcPr>
          <w:p>
            <w:r>
              <w:rPr>
                <w:sz w:val="18"/>
              </w:rPr>
              <w:t>منخفض (٢)</w:t>
            </w:r>
          </w:p>
        </w:tc>
        <w:tc>
          <w:tcPr>
            <w:tcW w:type="dxa" w:w="1728"/>
          </w:tcPr>
          <w:p>
            <w:r>
              <w:rPr>
                <w:sz w:val="18"/>
              </w:rPr>
              <w:t>منخفض (٣)</w:t>
            </w:r>
          </w:p>
        </w:tc>
        <w:tc>
          <w:tcPr>
            <w:tcW w:type="dxa" w:w="1728"/>
          </w:tcPr>
          <w:p>
            <w:r>
              <w:rPr>
                <w:sz w:val="18"/>
              </w:rPr>
              <w:t>متوسط (٤)</w:t>
            </w:r>
          </w:p>
        </w:tc>
      </w:tr>
    </w:tbl>
    <w:p/>
    <w:p>
      <w:r>
        <w:t>**قواعد الاستجابة حسب التصنيف:**</w:t>
        <w:br/>
        <w:t xml:space="preserve"> - حرج (١٢-١٦): تصعيد فوري للجنة التوجيهية، خطة تخفيف خلال ٤٨ ساعة، مراجعة يومية حتى الانخفاض</w:t>
        <w:br/>
        <w:t xml:space="preserve"> - عالٍ (٨-٩): خطة تخفيف خلال أسبوع، مراجعة أسبوعية، تصعيد إذا لم ينخفض خلال أسبوعين</w:t>
        <w:br/>
        <w:t xml:space="preserve"> - متوسط (٤-٦): خطة تخفيف خلال أسبوعين، مراجعة نصف شهرية</w:t>
        <w:br/>
        <w:t xml:space="preserve"> - منخفض (١-٣): مراقبة شهرية، تدخل عند التغير</w:t>
        <w:br/>
        <w:t xml:space="preserve"> #### ٦.٣ سجل المخاطر الأولي — أعلى ٧ مخاطر مع خطط التخفيف والطوارئ</w:t>
        <w:br/>
        <w:t xml:space="preserve"> **الخطر ١: محدودية البيانات التفصيلية عن أداء برامج اليونسكو الحالية في أخلاقيات الذكاء الاصطناعي**</w:t>
        <w:br/>
        <w:t xml:space="preserve"> - التصنيف: احتمال عالٍ (٤) × أثر عالٍ (٣) = حرج (١٢)</w:t>
        <w:br/>
        <w:t xml:space="preserve"> - الوصف: برامج اليونسكو في أخلاقيات الذكاء الاصطناعي حديثة نسبياً (توصية ٢٠٢١) [EXT-002]، وقد لا تتوفر بيانات أداء كمية كافية لإجراء تقييم نضج شامل. منهجية تقييم الجاهزية (RAM) لليونسكو لا تزال في مراحل التطبيق المبكرة. - خطة التخفيف: (أ) تصميم منهجية تقييم متعددة المصادر تجمع بين البيانات الثانوية المتاحة والمقابلات المنظمة والمسوح الموجهة [EXT-008]؛ (ب) الاستفادة من التقارير الدورية لليونسكو كمصدر بيانات أساسي [EXT-003]؛ (ج) تحديد فجوات البيانات في الأسبوع الأول من المرحلة الأولى وتصعيدها للجنة التوجيهية مع خيارات بديلة. - خطة الطوارئ: (أ) التحول إلى تقييم قائم على الوثائق المتاحة (document-based assessment) مع توثيق الفجوات كتوصيات للمراحل المستقبلية؛ (ب) تصميم استبيانات مكتوبة تُيسرها سدايا لأصحاب المصلحة في اليونسكو كبديل للمقابلات المباشرة؛ (ج) إجراء تحقق مرحلي (phased validation) بمجرد توفر الوصول المباشر. - **التبعية الحرجة:** تيسير سدايا للوصول إلى بيانات اليونسكو وأصحاب المصلحة الدوليين. **الخطر ٢: تأخر مراجعة المخرجات والموافقة عليها بسبب تعدد أصحاب المصلحة**</w:t>
        <w:br/>
        <w:t xml:space="preserve"> - التصنيف: احتمال متوسط (٣) × أثر عالٍ (٣) = عالٍ (٩)</w:t>
        <w:br/>
        <w:t xml:space="preserve"> - الوصف: تعدد أصحاب المصلحة (إدارات سدايا المختلفة، وربما جهات اتصال في اليونسكو) قد يؤدي إلى دورات مراجعة مطولة تؤخر بوابات المراحل. - خطة التخفيف: (أ) تحديد مسار موافقة واضح لكل مخرج في مصفوفة RACI مع تحديد المراجعين بالاسم عند بدء المشروع؛ (ب) تقديم المسودات قبل الموعد المحدد بأسبوع لإتاحة وقت كافٍ؛ (ج) عقد جلسات عرض تفاعلية (walk-through) بدلاً من الاكتفاء بالمراجعة الورقية لتسريع الفهم والتعليق. - خطة الطوارئ: تفعيل آلية الموافقة المشروطة (conditional approval) للمضي قدماً في الأنشطة التحضيرية للمرحلة التالية مع تسجيل الملاحظات المعلقة للمعالجة بالتوازي. **الخطر ٣: صعوبة إجراء المقارنة المعيارية الدولية الشاملة**</w:t>
        <w:br/>
        <w:t xml:space="preserve"> - التصنيف: احتمال متوسط (٣) × أثر متوسط (٢) = متوسط (٦)</w:t>
        <w:br/>
        <w:t xml:space="preserve"> - الوصف: بيانات الأداء المقارنة من الدول الأخرى قد تكون غير متاحة علنياً أو غير قابلة للمقارنة المباشرة بسبب اختلاف السياقات المؤسسية ومستويات النضج. - خطة التخفيف: (أ) استخدام إطار مقارنة معياري منظم يعتمد على أبعاد قابلة للقياس عبر السياقات المختلفة [EXT-007]؛ (ب) اختيار الدول المقارنة بناءً على معيارين: توفر البيانات وملاءمة السياق لأهداف سدايا؛ (ج) الاستفادة من قاعدة بيانات اليونسكو للتقارير الدورية [EXT-003] كمصدر موحد. - خطة الطوارئ: تقليص عدد الدول المقارنة من ٥-٨ إلى ٣-٥ مع تعميق التحليل للدول المتاحة، وتوثيق الدول المستبعدة مع أسباب الاستبعاد. **الخطر ٤: ضعف مشاركة فريق سدايا في برنامج نقل المعرفة بسبب ضغوط العمل اليومي**</w:t>
        <w:br/>
        <w:t xml:space="preserve"> - التصنيف: احتمال متوسط (٣) × أثر متوسط (٢) = متوسط (٦)</w:t>
        <w:br/>
        <w:t xml:space="preserve"> - الوصف: قد يواجه المتدربون المرشحون من سدايا صعوبة في تخصيص الوقت الكافي للتدريب والعمل جنباً إلى جنب بسبب مسؤولياتهم التشغيلية اليومية. - خطة التخفيف: (أ) تصميم برنامج تدريب مدمج في مهام المشروع الفعلية وليس منفصلاً عنها، وفق منهجية APQC [EXT-006]؛ (ب) الحصول على التزام إداري مسبق من سدايا بتخصيص نسبة محددة من وقت المتدربين؛ (ج) جدولة الأنشطة التدريبية المكثفة في فترات أقل ضغطاً تشغيلياً. - خطة الطوارئ: تكثيف جلسات التدريب في فترات أقصر مع توفير مواد تعلم ذاتي ومرجعية يمكن للمتدربين الرجوع إليها بشكل مستقل. **الخطر ٥: غموض المدة الزمنية الإجمالية للمشروع**</w:t>
        <w:br/>
        <w:t xml:space="preserve"> - التصنيف: احتمال عالٍ (٤) × أثر متوسط (٢) = عالٍ (٨)</w:t>
        <w:br/>
        <w:t xml:space="preserve"> - الوصف: النص المستخرج من وثيقة المنافسة يشير إلى جدول زمني محدد في جدول لم يُستخرج نصه [DIRECT_RFP_FACT]، مما يخلق غموضاً في التخطيط الزمني التفصيلي. - خطة التخفيف: (أ) تقديم استفسار رسمي قبل الموعد النهائي للاستفسارات للحصول على الجدول الزمني التفصيلي؛ (ب) تصميم خطة عمل مرنة بنسب مئوية (وليس تواريخ مطلقة) قابلة للتكييف الفوري مع المدة الفعلية؛ (ج) تحديد المسار الحرج والمهام القابلة للضغط الزمني مقابل المهام غير القابلة للضغط. - خطة الطوارئ: تقديم سيناريوهين زمنيين في العرض مع توضيح الأثر على عمق المخرجات لكل سيناريو. **الخطر ٦: تغيّر أولويات سدايا أو اليونسكو خلال فترة التنفيذ**</w:t>
        <w:br/>
        <w:t xml:space="preserve"> - التصنيف: احتمال منخفض (٢) × أثر حرج (٤) = عالٍ (٨)</w:t>
        <w:br/>
        <w:t xml:space="preserve"> - الوصف: التحولات المؤسسية أو تغيّر الأولويات الاستراتيجية لدى سدايا أو اليونسكو قد تؤثر على نطاق المشروع أو أهدافه خلال فترة التنفيذ. - خطة التخفيف: (أ) تصميم المخرجات بشكل معياري (modular) بحيث يمكن تعديل أولويات المبادرات دون إعادة تصميم الإطار الكلي؛ (ب) مراجعة التوافق الاستراتيجي في كل اجتماع شهري للجنة التوجيهية؛ (ج) تضمين آلية مراجعة منتصف المشروع (mid-project review) لإعادة معايرة الأهداف عند الحاجة. - خطة الطوارئ: تفعيل عملية طلب التغيير الرسمية مع تقييم أثر شامل وتعديل خطة العمل بموافقة اللجنة التوجيهية. **الخطر ٧: عدم كفاية الخبرة المتخصصة في أخلاقيات الذكاء الاصطناعي ضمن فريق العمل**</w:t>
        <w:br/>
        <w:t xml:space="preserve"> - التصنيف: احتمال متوسط (٣) × أثر عالٍ (٣) = عالٍ (٩)</w:t>
        <w:br/>
        <w:t xml:space="preserve"> - الوصف: أخلاقيات الذكاء الاصطناعي مجال متخصص يتطلب معرفة عميقة بالأدوات المعيارية لليونسكو والنقاشات الأكاديمية والسياساتية الدولية. قد يتطلب الفريق تعزيزاً بخبرة موضوعية متخصصة. - خطة التخفيف: (أ) تحديد متطلبات الخبرة الموضوعية بدقة في مرحلة التخطيط وتعيين خبير موضوعي متخصص ضمن الفريق الأساسي؛ (ب) بناء شراكة مع مؤسسة أكاديمية أو خبير مستقل في أخلاقيات الذكاء الاصطناعي لتوفير المراجعة الفنية المتخصصة؛ (ج) الاستثمار في بناء المعرفة الداخلية خلال الأسبوعين الأولين عبر مراجعة مكثفة لأدبيات اليونسكو [EXT-002] [EXT-003]. - خطة الطوارئ: الاستعانة بخبير استشاري متخصص (subject matter expert) بعقد فرعي لمراجعة المخرجات الفنية الحرجة. - [evidence_gap: SG_INTERNAL_PROOF — مطلوب من المحرك الثاني: تأكيد توفر خبراء في أخلاقيات AI أو خطة شراكة مع مؤسسة أكاديمية متخصصة]</w:t>
        <w:br/>
        <w:t xml:space="preserve"> #### ٦.٤ سجل RAID الموحد (Risks, Assumptions, Issues, Dependencies)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القسم</w:t>
            </w:r>
          </w:p>
        </w:tc>
        <w:tc>
          <w:tcPr>
            <w:tcW w:type="dxa" w:w="2160"/>
          </w:tcPr>
          <w:p>
            <w:r>
              <w:rPr>
                <w:b/>
                <w:sz w:val="18"/>
              </w:rPr>
              <w:t>المحتوى</w:t>
            </w:r>
          </w:p>
        </w:tc>
        <w:tc>
          <w:tcPr>
            <w:tcW w:type="dxa" w:w="2160"/>
          </w:tcPr>
          <w:p>
            <w:r>
              <w:rPr>
                <w:b/>
                <w:sz w:val="18"/>
              </w:rPr>
              <w:t>تكرار التحديث</w:t>
            </w:r>
          </w:p>
        </w:tc>
        <w:tc>
          <w:tcPr>
            <w:tcW w:type="dxa" w:w="2160"/>
          </w:tcPr>
          <w:p>
            <w:r>
              <w:rPr>
                <w:b/>
                <w:sz w:val="18"/>
              </w:rPr>
              <w:t>المسؤول</w:t>
            </w:r>
          </w:p>
        </w:tc>
      </w:tr>
      <w:tr>
        <w:tc>
          <w:tcPr>
            <w:tcW w:type="dxa" w:w="2160"/>
          </w:tcPr>
          <w:p>
            <w:r>
              <w:rPr>
                <w:sz w:val="18"/>
              </w:rPr>
              <w:t>المخاطر (Risks)</w:t>
            </w:r>
          </w:p>
        </w:tc>
        <w:tc>
          <w:tcPr>
            <w:tcW w:type="dxa" w:w="2160"/>
          </w:tcPr>
          <w:p>
            <w:r>
              <w:rPr>
                <w:sz w:val="18"/>
              </w:rPr>
              <w:t>وصف، احتمال، أثر، درجة، مالك، خطة تخفيف، خطة طوارئ، حالة</w:t>
            </w:r>
          </w:p>
        </w:tc>
        <w:tc>
          <w:tcPr>
            <w:tcW w:type="dxa" w:w="2160"/>
          </w:tcPr>
          <w:p>
            <w:r>
              <w:rPr>
                <w:sz w:val="18"/>
              </w:rPr>
              <w:t>أسبوعي</w:t>
            </w:r>
          </w:p>
        </w:tc>
        <w:tc>
          <w:tcPr>
            <w:tcW w:type="dxa" w:w="2160"/>
          </w:tcPr>
          <w:p>
            <w:r>
              <w:rPr>
                <w:sz w:val="18"/>
              </w:rPr>
              <w:t>مدير المشروع من SG</w:t>
            </w:r>
          </w:p>
        </w:tc>
      </w:tr>
      <w:tr>
        <w:tc>
          <w:tcPr>
            <w:tcW w:type="dxa" w:w="2160"/>
          </w:tcPr>
          <w:p>
            <w:r>
              <w:rPr>
                <w:sz w:val="18"/>
              </w:rPr>
              <w:t>الافتراضات (Assumptions)</w:t>
            </w:r>
          </w:p>
        </w:tc>
        <w:tc>
          <w:tcPr>
            <w:tcW w:type="dxa" w:w="2160"/>
          </w:tcPr>
          <w:p>
            <w:r>
              <w:rPr>
                <w:sz w:val="18"/>
              </w:rPr>
              <w:t>وصف الافتراض، الأثر إذا ثبت خطؤه، خطة التحقق</w:t>
            </w:r>
          </w:p>
        </w:tc>
        <w:tc>
          <w:tcPr>
            <w:tcW w:type="dxa" w:w="2160"/>
          </w:tcPr>
          <w:p>
            <w:r>
              <w:rPr>
                <w:sz w:val="18"/>
              </w:rPr>
              <w:t>شهري</w:t>
            </w:r>
          </w:p>
        </w:tc>
        <w:tc>
          <w:tcPr>
            <w:tcW w:type="dxa" w:w="2160"/>
          </w:tcPr>
          <w:p>
            <w:r>
              <w:rPr>
                <w:sz w:val="18"/>
              </w:rPr>
              <w:t>مدير المشروع من SG</w:t>
            </w:r>
          </w:p>
        </w:tc>
      </w:tr>
      <w:tr>
        <w:tc>
          <w:tcPr>
            <w:tcW w:type="dxa" w:w="2160"/>
          </w:tcPr>
          <w:p>
            <w:r>
              <w:rPr>
                <w:sz w:val="18"/>
              </w:rPr>
              <w:t>المشكلات (Issues)</w:t>
            </w:r>
          </w:p>
        </w:tc>
        <w:tc>
          <w:tcPr>
            <w:tcW w:type="dxa" w:w="2160"/>
          </w:tcPr>
          <w:p>
            <w:r>
              <w:rPr>
                <w:sz w:val="18"/>
              </w:rPr>
              <w:t>وصف، أثر، مسؤول الحل، موعد مستهدف، حالة</w:t>
            </w:r>
          </w:p>
        </w:tc>
        <w:tc>
          <w:tcPr>
            <w:tcW w:type="dxa" w:w="2160"/>
          </w:tcPr>
          <w:p>
            <w:r>
              <w:rPr>
                <w:sz w:val="18"/>
              </w:rPr>
              <w:t>يومي عند الحاجة</w:t>
            </w:r>
          </w:p>
        </w:tc>
        <w:tc>
          <w:tcPr>
            <w:tcW w:type="dxa" w:w="2160"/>
          </w:tcPr>
          <w:p>
            <w:r>
              <w:rPr>
                <w:sz w:val="18"/>
              </w:rPr>
              <w:t>مدير المشروع من SG</w:t>
            </w:r>
          </w:p>
        </w:tc>
      </w:tr>
      <w:tr>
        <w:tc>
          <w:tcPr>
            <w:tcW w:type="dxa" w:w="2160"/>
          </w:tcPr>
          <w:p>
            <w:r>
              <w:rPr>
                <w:sz w:val="18"/>
              </w:rPr>
              <w:t>التبعيات (Dependencies)</w:t>
            </w:r>
          </w:p>
        </w:tc>
        <w:tc>
          <w:tcPr>
            <w:tcW w:type="dxa" w:w="2160"/>
          </w:tcPr>
          <w:p>
            <w:r>
              <w:rPr>
                <w:sz w:val="18"/>
              </w:rPr>
              <w:t>وصف التبعية، الطرف المسؤول، الموعد المطلوب، حالة</w:t>
            </w:r>
          </w:p>
        </w:tc>
        <w:tc>
          <w:tcPr>
            <w:tcW w:type="dxa" w:w="2160"/>
          </w:tcPr>
          <w:p>
            <w:r>
              <w:rPr>
                <w:sz w:val="18"/>
              </w:rPr>
              <w:t>أسبوعي</w:t>
            </w:r>
          </w:p>
        </w:tc>
        <w:tc>
          <w:tcPr>
            <w:tcW w:type="dxa" w:w="2160"/>
          </w:tcPr>
          <w:p>
            <w:r>
              <w:rPr>
                <w:sz w:val="18"/>
              </w:rPr>
              <w:t>مدير المشروع من SG</w:t>
            </w:r>
          </w:p>
        </w:tc>
      </w:tr>
    </w:tbl>
    <w:p/>
    <w:p>
      <w:r>
        <w:t>**الافتراضات الأولية الحرجة:**</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الافتراض</w:t>
            </w:r>
          </w:p>
        </w:tc>
        <w:tc>
          <w:tcPr>
            <w:tcW w:type="dxa" w:w="2160"/>
          </w:tcPr>
          <w:p>
            <w:r>
              <w:rPr>
                <w:b/>
                <w:sz w:val="18"/>
              </w:rPr>
              <w:t>الأثر إذا ثبت خطؤه</w:t>
            </w:r>
          </w:p>
        </w:tc>
        <w:tc>
          <w:tcPr>
            <w:tcW w:type="dxa" w:w="2160"/>
          </w:tcPr>
          <w:p>
            <w:r>
              <w:rPr>
                <w:b/>
                <w:sz w:val="18"/>
              </w:rPr>
              <w:t>خطة التحقق</w:t>
            </w:r>
          </w:p>
        </w:tc>
      </w:tr>
      <w:tr>
        <w:tc>
          <w:tcPr>
            <w:tcW w:type="dxa" w:w="2160"/>
          </w:tcPr>
          <w:p>
            <w:r>
              <w:rPr>
                <w:sz w:val="18"/>
              </w:rPr>
              <w:t>A-1</w:t>
            </w:r>
          </w:p>
        </w:tc>
        <w:tc>
          <w:tcPr>
            <w:tcW w:type="dxa" w:w="2160"/>
          </w:tcPr>
          <w:p>
            <w:r>
              <w:rPr>
                <w:sz w:val="18"/>
              </w:rPr>
              <w:t>سدايا تُيسر الوصول إلى أصحاب المصلحة في اليونسكو (المقر الرئيسي والمكاتب الإقليمية) للمقابلات وجمع البيانات</w:t>
            </w:r>
          </w:p>
        </w:tc>
        <w:tc>
          <w:tcPr>
            <w:tcW w:type="dxa" w:w="2160"/>
          </w:tcPr>
          <w:p>
            <w:r>
              <w:rPr>
                <w:sz w:val="18"/>
              </w:rPr>
              <w:t>تأخر جوهري في مرحلة التقييم وضعف جودة التحليل</w:t>
            </w:r>
          </w:p>
        </w:tc>
        <w:tc>
          <w:tcPr>
            <w:tcW w:type="dxa" w:w="2160"/>
          </w:tcPr>
          <w:p>
            <w:r>
              <w:rPr>
                <w:sz w:val="18"/>
              </w:rPr>
              <w:t>تأكيد في اجتماع الانطلاق مع تحديد نقاط الاتصال بالاسم</w:t>
            </w:r>
          </w:p>
        </w:tc>
      </w:tr>
      <w:tr>
        <w:tc>
          <w:tcPr>
            <w:tcW w:type="dxa" w:w="2160"/>
          </w:tcPr>
          <w:p>
            <w:r>
              <w:rPr>
                <w:sz w:val="18"/>
              </w:rPr>
              <w:t>A-2</w:t>
            </w:r>
          </w:p>
        </w:tc>
        <w:tc>
          <w:tcPr>
            <w:tcW w:type="dxa" w:w="2160"/>
          </w:tcPr>
          <w:p>
            <w:r>
              <w:rPr>
                <w:sz w:val="18"/>
              </w:rPr>
              <w:t>سدايا تُرشح فريقاً من ٥-٨ موظفين للمشاركة في برنامج نقل المعرفة بتخصيص ٢٠-٣٠٪ من وقتهم</w:t>
            </w:r>
          </w:p>
        </w:tc>
        <w:tc>
          <w:tcPr>
            <w:tcW w:type="dxa" w:w="2160"/>
          </w:tcPr>
          <w:p>
            <w:r>
              <w:rPr>
                <w:sz w:val="18"/>
              </w:rPr>
              <w:t>ضعف فعالية نقل المعرفة وعدم تحقيق الاستدامة</w:t>
            </w:r>
          </w:p>
        </w:tc>
        <w:tc>
          <w:tcPr>
            <w:tcW w:type="dxa" w:w="2160"/>
          </w:tcPr>
          <w:p>
            <w:r>
              <w:rPr>
                <w:sz w:val="18"/>
              </w:rPr>
              <w:t>تأكيد في الأسبوع الأول مع الحصول على التزام إداري مكتوب</w:t>
            </w:r>
          </w:p>
        </w:tc>
      </w:tr>
      <w:tr>
        <w:tc>
          <w:tcPr>
            <w:tcW w:type="dxa" w:w="2160"/>
          </w:tcPr>
          <w:p>
            <w:r>
              <w:rPr>
                <w:sz w:val="18"/>
              </w:rPr>
              <w:t>A-3</w:t>
            </w:r>
          </w:p>
        </w:tc>
        <w:tc>
          <w:tcPr>
            <w:tcW w:type="dxa" w:w="2160"/>
          </w:tcPr>
          <w:p>
            <w:r>
              <w:rPr>
                <w:sz w:val="18"/>
              </w:rPr>
              <w:t>البيانات والوثائق المطلوبة للتقييم متاحة خلال أسبوعين من الطلب</w:t>
            </w:r>
          </w:p>
        </w:tc>
        <w:tc>
          <w:tcPr>
            <w:tcW w:type="dxa" w:w="2160"/>
          </w:tcPr>
          <w:p>
            <w:r>
              <w:rPr>
                <w:sz w:val="18"/>
              </w:rPr>
              <w:t>تأخر في المسار الحرج</w:t>
            </w:r>
          </w:p>
        </w:tc>
        <w:tc>
          <w:tcPr>
            <w:tcW w:type="dxa" w:w="2160"/>
          </w:tcPr>
          <w:p>
            <w:r>
              <w:rPr>
                <w:sz w:val="18"/>
              </w:rPr>
              <w:t>تحديد قائمة البيانات المطلوبة في اجتماع الانطلاق مع جدول تسليم متفق عليه</w:t>
            </w:r>
          </w:p>
        </w:tc>
      </w:tr>
      <w:tr>
        <w:tc>
          <w:tcPr>
            <w:tcW w:type="dxa" w:w="2160"/>
          </w:tcPr>
          <w:p>
            <w:r>
              <w:rPr>
                <w:sz w:val="18"/>
              </w:rPr>
              <w:t>A-4</w:t>
            </w:r>
          </w:p>
        </w:tc>
        <w:tc>
          <w:tcPr>
            <w:tcW w:type="dxa" w:w="2160"/>
          </w:tcPr>
          <w:p>
            <w:r>
              <w:rPr>
                <w:sz w:val="18"/>
              </w:rPr>
              <w:t>مراجعة المخرجات من سدايا تتم خلال ٧-١٠ أيام عمل من التقديم</w:t>
            </w:r>
          </w:p>
        </w:tc>
        <w:tc>
          <w:tcPr>
            <w:tcW w:type="dxa" w:w="2160"/>
          </w:tcPr>
          <w:p>
            <w:r>
              <w:rPr>
                <w:sz w:val="18"/>
              </w:rPr>
              <w:t>تأخر في بوابات المراحل</w:t>
            </w:r>
          </w:p>
        </w:tc>
        <w:tc>
          <w:tcPr>
            <w:tcW w:type="dxa" w:w="2160"/>
          </w:tcPr>
          <w:p>
            <w:r>
              <w:rPr>
                <w:sz w:val="18"/>
              </w:rPr>
              <w:t>تضمين في اتفاقية مستوى الخدمة المتبادلة الموقعة في اجتماع الانطلاق</w:t>
            </w:r>
          </w:p>
        </w:tc>
      </w:tr>
      <w:tr>
        <w:tc>
          <w:tcPr>
            <w:tcW w:type="dxa" w:w="2160"/>
          </w:tcPr>
          <w:p>
            <w:r>
              <w:rPr>
                <w:sz w:val="18"/>
              </w:rPr>
              <w:t>A-5</w:t>
            </w:r>
          </w:p>
        </w:tc>
        <w:tc>
          <w:tcPr>
            <w:tcW w:type="dxa" w:w="2160"/>
          </w:tcPr>
          <w:p>
            <w:r>
              <w:rPr>
                <w:sz w:val="18"/>
              </w:rPr>
              <w:t>المدة الزمنية الإجمالية كافية لتنفيذ المراحل الثلاث بالعمق المطلوب</w:t>
            </w:r>
          </w:p>
        </w:tc>
        <w:tc>
          <w:tcPr>
            <w:tcW w:type="dxa" w:w="2160"/>
          </w:tcPr>
          <w:p>
            <w:r>
              <w:rPr>
                <w:sz w:val="18"/>
              </w:rPr>
              <w:t>الحاجة لتقليص نطاق بعض الأنشطة أو تكثيف الموارد</w:t>
            </w:r>
          </w:p>
        </w:tc>
        <w:tc>
          <w:tcPr>
            <w:tcW w:type="dxa" w:w="2160"/>
          </w:tcPr>
          <w:p>
            <w:r>
              <w:rPr>
                <w:sz w:val="18"/>
              </w:rPr>
              <w:t>التحقق فور الحصول على الجدول الزمني الرسمي من وثيقة المنافسة</w:t>
            </w:r>
          </w:p>
        </w:tc>
      </w:tr>
    </w:tbl>
    <w:p/>
    <w:p>
      <w:r>
        <w:t>#### ٦.٥ نهج احتياطي المخاطر</w:t>
        <w:br/>
        <w:t xml:space="preserve"> - يُخصص ما يعادل ١٠٪ من الجهد الاستشاري الإجمالي كاحتياطي للمخاطر. - يُدار الاحتياطي من قبل مدير المشاركة من SG. - استخدام الاحتياطي يتطلب: موافقة مدير المشاركة (لاستخدام يصل إلى ٣٪ من الإجمالي)، أو موافقة اللجنة التوجيهية (لاستخدام يتجاوز ٣٪). - يُراجع مستوى الاحتياطي المتبقي شهرياً ويُعاد تقديره بناءً على المخاطر النشطة. ---</w:t>
        <w:br/>
        <w:t xml:space="preserve"> ### ٧. ضمان الجودة (Quality Assurance)</w:t>
        <w:br/>
        <w:t xml:space="preserve"> #### ٧.١ دورة المراجعة ذات الخمس مراحل</w:t>
        <w:br/>
        <w:t xml:space="preserve"> يتبع كل مخرج رسمي تعاقدي دورة مراجعة صارمة (المخرجات الإدارية تتبع مساراً مختصراً: إعداد → مراجعة مدير المشاركة → مشاركة):</w:t>
        <w:br/>
        <w:t xml:space="preserve"> **المرحلة ١ — المسودة الأولية (Draft):**</w:t>
        <w:br/>
        <w:t xml:space="preserve"> - يُعدها فريق العمل الفني من SG. - مراجعة داخلية أولية من مدير المشروع من SG للتأكد من الاكتمال والاتساق مع المنهجية المعتمدة. - المدة: وفق الجدول الزمني المعتمد لكل مخرج. **المرحلة ٢ — مراجعة الجودة الداخلية (Internal QA):**</w:t>
        <w:br/>
        <w:t xml:space="preserve"> - مراجعة استراتيجية من مدير المشاركة من SG (التوافق مع أهداف المشروع والرسائل الرئيسية). - مراجعة نظير (Peer Review) من خبير موضوعي داخل SG غير مشارك في إعداد المخرج (تفاصيل العملية في القسم ٧.٣). - قائمة تحقق الجودة الداخلية تشمل: الدقة المنهجية، اتساق البيانات، منطقية الاستنتاجات، وضوح التوصيات وقابليتها للتنفيذ، التوافق مع أدوات اليونسكو المعيارية [EXT-002] [EXT-003]، الدقة اللغوية العربية. - المدة: ٣-٥ أيام عمل. **المرحلة ٣ — تقديم للعميل (Client Submission):**</w:t>
        <w:br/>
        <w:t xml:space="preserve"> - تُقدم المسودة المراجعة لمدير مشروع سدايا وخبراء سدايا الموضوعيين. - جلسة عرض تفاعلية (walk-through) لشرح المنهجية والنتائج والتوصيات. - المدة المتاحة لمراجعة العميل: ٧-١٠ أيام عمل (وفق الافتراض A-4). **المرحلة ٤ — المراجعة والتعديل (Revision):**</w:t>
        <w:br/>
        <w:t xml:space="preserve"> - يجمع مدير المشروع من SG ملاحظات العميل في سجل ملاحظات موحد. - يُصنف كل ملاحظة: (أ) مقبولة — تُنفذ مباشرة؛ (ب) تتطلب نقاشاً — تُناقش في اجتماع مخصص؛ (ج) مرفوضة — مع تبرير فني مكتوب. - تُنفذ التعديلات المتفق عليها مع توثيق التغييرات (Track Changes). - المدة: ٣-٥ أيام عمل. **المرحلة ٥ — الموافقة والتوقيع (Sign-off):**</w:t>
        <w:br/>
        <w:t xml:space="preserve"> - تُقدم النسخة النهائية مع سجل التعديلات وتقرير الاستجابة للملاحظات. - يوقع مدير مشروع سدايا على نموذج قبول المخرج. - المخرجات الاستراتيجية (التوصيات، خارطة الطريق، أطر التعاون، آليات التعاون الدولي): تتطلب موافقة اللجنة التوجيهية في اجتماع بوابة المرحلة. - المدة: ٣ أيام عمل. #### ٧.٢ معايير القبول التفصيلية — فحوصات قابلة للقياس لكل مخرج رسمي</w:t>
        <w:br/>
        <w:t xml:space="preserve"> **مخرجات التقييم (D-1):**</w:t>
        <w:br/>
        <w:t xml:space="preserve"> 1. شمولية التغطية: تقييم جميع البرامج والأبعاد المحددة في النطاق (SI-1) دون استثناء. 2. عمق التحليل: كل استنتاج مدعوم بثلاثة مصادر بيانات على الأقل (بيانات ثانوية + مقابلات + مسح/تحليل مقارن). 3. قابلية التنفيذ: كل توصية مرتبطة بجهة مسؤولة محددة وإطار زمني تقديري ومؤشر قياس واحد على الأقل. 4. التوافق المعياري: مؤشرات المتابعة والتقييم مُصممة لتتوافق مع هيكل دورات التقارير الدورية لليونسكو [EXT-003]، مما يُسهّل على سدايا استخدامها في التقارير الدولية. [INFERENCE — بناءً على هيكل SI-1 الذي يطلب صراحةً مؤشرات متابعة وتقييم، والسياق المؤسسي لعلاقة سدايا-اليونسكو]</w:t>
        <w:br/>
        <w:t xml:space="preserve"> 5. الدقة اللغوية: مراجعة لغوية احترافية باللغة العربية مع خلو النص من الأخطاء النحوية والإملائية. **مخرجات تطوير البرامج (D-2):**</w:t>
        <w:br/>
        <w:t xml:space="preserve"> 1. الواقعية التشغيلية: كل مبادرة مصحوبة بتقدير للموارد المطلوبة (بشرية ومالية) والجدول الزمني التقديري. 2. ربط أهداف التنمية المستدامة: توثيق واضح لآليات الربط بين كل مبادرة وهدف واحد على الأقل من أهداف التنمية المستدامة، وفق منهجية B4SDGs [EXT-013]. 3. وضوح آليات التعاون: تحديد الأدوار والمسؤوليات لكل طرف (سدايا، اليونسكو، الدول الشريكة) في كل آلية تعاون. 4. القابلية للتكرار: تصميم أطر العمل بشكل معياري يسمح بتطبيقها مع دول شريكة متعددة دون إعادة تصميم جذرية. 5. نظرية التغيير: كل مبادرة مصحوبة بنظرية تغيير واضحة تربط المدخلات بالأنشطة بالمخرجات بالنتائج [EXT-012]. **مخرجات التدريب ونقل المعرفة (D-3):**</w:t>
        <w:br/>
        <w:t xml:space="preserve"> 1. تحسن قابل للقياس: تقييم كفاءات بعدي يُظهر تحسناً بنسبة ٢٠٪ على الأقل مقارنة بالتقييم القبلي [EXT-009]. 2. رضا المتدربين: تقييم رضا بمعدل ٤ من ٥ أو أعلى في استبيان نهاية كل جلسة. 3. اكتمال المواد: جميع المواد التدريبية مكتملة وموثقة وقابلة لإعادة الاستخدام من قبل سدايا بشكل مستقل. 4. التوثيق: سجل حضور لكل جلسة، تقرير تقييم لكل وحدة تدريبية، تقرير ختامي شامل. #### ٧.٣ عملية مراجعة النظير (Peer Review Process)</w:t>
        <w:br/>
        <w:t xml:space="preserve"> - يُعين مدير المشاركة مراجع نظير مستقل لكل مخرج رسمي قبل بدء إعداده. - المراجع النظير يتمتع بخبرة في المجال الموضوعي (تقييم مؤسسي، تصميم برامج، أو تدريب حسب المخرج) ولكنه غير مشارك في إعداد المخرج. - نطاق المراجعة: صحة المنهجية المطبقة، دقة البيانات والمصادر، منطقية الاستنتاجات وتسلسلها، جودة التوصيات وقابليتها للتنفيذ، اتساق المخرج مع المخرجات السابقة. - يُقدم المراجع تقريراً مكتوباً بالملاحظات خلال ٣ أيام عمل مصنفاً إلى: ملاحظات جوهرية (تتطلب معالجة قبل التقديم)، ملاحظات تحسينية (مستحسنة)، ملاحظات شكلية. - يُعالج فريق العمل جميع الملاحظات الجوهرية قبل تقديم المخرج للعميل، مع توثيق الاستجابة لكل ملاحظة. ---</w:t>
        <w:br/>
        <w:t xml:space="preserve"> ### ٨. عملية إدارة طلبات التغيير (Change Request Process)</w:t>
        <w:br/>
        <w:t xml:space="preserve"> #### ٨.١ تعريف طلب التغيير</w:t>
        <w:br/>
        <w:t xml:space="preserve"> يُعرَّف طلب التغيير بأنه أي تعديل مقترح على: نطاق العمل المتفق عليه (إضافة أو حذف مخرجات أو أنشطة أو دول مقارنة)؛ الجدول الزمني (تقديم أو تأخير معالم رئيسية أو بوابات مراحل)؛ الموارد (تغيير في تشكيلة الفريق أو مستوى الجهد المخصص)؛ المنهجية (تغيير جوهري في أسلوب العمل أو أدوات التقييم). لا يُعد طلب تغيير: التعديلات الشكلية على المخرجات ضمن دورة المراجعة العادية، إعادة جدولة اجتماعات تشغيلية، تبديل أعضاء فريق بمستوى كفاءة مكافئ. #### ٨.٢ مسار طلب التغيير — ٤ خطوات</w:t>
        <w:br/>
        <w:t xml:space="preserve"> **الخطوة ١ — التقديم:**</w:t>
        <w:br/>
        <w:t xml:space="preserve"> - يحق لأي طرف (سدايا أو SG) تقديم طلب تغيير. - يُقدم الطلب عبر نموذج موحد يشمل: رقم تسلسلي، تاريخ التقديم، مقدم الطلب، وصف التغيير المطلوب، المبرر، الأثر المتوقع الأولي على النطاق والزمن والتكلفة والجودة. - يُسجل فوراً في سجل طلبات التغيير. **الخطوة ٢ — تقييم الأثر (Impact Assessment):**</w:t>
        <w:br/>
        <w:t xml:space="preserve"> - يُجري مدير المشروع من SG تقييماً شاملاً للأثر خلال ٣ أيام عمل. - يشمل التقييم: الأثر على الجدول الزمني (بالأيام/الأسابيع)، الأثر على الموارد (جهد إضافي بالأيام)، الأثر على جودة المخرجات الأخرى، المخاطر الجديدة الناتجة عن التغيير، البدائل الممكنة. - يُقدم التقييم في تقرير مكتوب مع توصية واضحة: قبول / رفض / قبول مع تعديل. **الخطوة ٣ — الموافقة — أربعة مستويات حسب الأثر:**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مستوى التغيير</w:t>
            </w:r>
          </w:p>
        </w:tc>
        <w:tc>
          <w:tcPr>
            <w:tcW w:type="dxa" w:w="2160"/>
          </w:tcPr>
          <w:p>
            <w:r>
              <w:rPr>
                <w:b/>
                <w:sz w:val="18"/>
              </w:rPr>
              <w:t>المعيار</w:t>
            </w:r>
          </w:p>
        </w:tc>
        <w:tc>
          <w:tcPr>
            <w:tcW w:type="dxa" w:w="2160"/>
          </w:tcPr>
          <w:p>
            <w:r>
              <w:rPr>
                <w:b/>
                <w:sz w:val="18"/>
              </w:rPr>
              <w:t>صاحب صلاحية الموافقة</w:t>
            </w:r>
          </w:p>
        </w:tc>
        <w:tc>
          <w:tcPr>
            <w:tcW w:type="dxa" w:w="2160"/>
          </w:tcPr>
          <w:p>
            <w:r>
              <w:rPr>
                <w:b/>
                <w:sz w:val="18"/>
              </w:rPr>
              <w:t>المدة المستهدفة</w:t>
            </w:r>
          </w:p>
        </w:tc>
      </w:tr>
      <w:tr>
        <w:tc>
          <w:tcPr>
            <w:tcW w:type="dxa" w:w="2160"/>
          </w:tcPr>
          <w:p>
            <w:r>
              <w:rPr>
                <w:sz w:val="18"/>
              </w:rPr>
              <w:t>صغير</w:t>
            </w:r>
          </w:p>
        </w:tc>
        <w:tc>
          <w:tcPr>
            <w:tcW w:type="dxa" w:w="2160"/>
          </w:tcPr>
          <w:p>
            <w:r>
              <w:rPr>
                <w:sz w:val="18"/>
              </w:rPr>
              <w:t>لا أثر على النطاق أو الميزانية أو الجدول الكلي</w:t>
            </w:r>
          </w:p>
        </w:tc>
        <w:tc>
          <w:tcPr>
            <w:tcW w:type="dxa" w:w="2160"/>
          </w:tcPr>
          <w:p>
            <w:r>
              <w:rPr>
                <w:sz w:val="18"/>
              </w:rPr>
              <w:t>مدير مشروع سدايا + مدير المشروع من SG</w:t>
            </w:r>
          </w:p>
        </w:tc>
        <w:tc>
          <w:tcPr>
            <w:tcW w:type="dxa" w:w="2160"/>
          </w:tcPr>
          <w:p>
            <w:r>
              <w:rPr>
                <w:sz w:val="18"/>
              </w:rPr>
              <w:t>٣ أيام عمل</w:t>
            </w:r>
          </w:p>
        </w:tc>
      </w:tr>
      <w:tr>
        <w:tc>
          <w:tcPr>
            <w:tcW w:type="dxa" w:w="2160"/>
          </w:tcPr>
          <w:p>
            <w:r>
              <w:rPr>
                <w:sz w:val="18"/>
              </w:rPr>
              <w:t>متوسط</w:t>
            </w:r>
          </w:p>
        </w:tc>
        <w:tc>
          <w:tcPr>
            <w:tcW w:type="dxa" w:w="2160"/>
          </w:tcPr>
          <w:p>
            <w:r>
              <w:rPr>
                <w:sz w:val="18"/>
              </w:rPr>
              <w:t>أثر على الجدول الزمني أقل من أسبوعين، لا أثر على الميزانية</w:t>
            </w:r>
          </w:p>
        </w:tc>
        <w:tc>
          <w:tcPr>
            <w:tcW w:type="dxa" w:w="2160"/>
          </w:tcPr>
          <w:p>
            <w:r>
              <w:rPr>
                <w:sz w:val="18"/>
              </w:rPr>
              <w:t>الاجتماع التشغيلي نصف الشهري</w:t>
            </w:r>
          </w:p>
        </w:tc>
        <w:tc>
          <w:tcPr>
            <w:tcW w:type="dxa" w:w="2160"/>
          </w:tcPr>
          <w:p>
            <w:r>
              <w:rPr>
                <w:sz w:val="18"/>
              </w:rPr>
              <w:t>أسبوع عمل</w:t>
            </w:r>
          </w:p>
        </w:tc>
      </w:tr>
      <w:tr>
        <w:tc>
          <w:tcPr>
            <w:tcW w:type="dxa" w:w="2160"/>
          </w:tcPr>
          <w:p>
            <w:r>
              <w:rPr>
                <w:sz w:val="18"/>
              </w:rPr>
              <w:t>كبير</w:t>
            </w:r>
          </w:p>
        </w:tc>
        <w:tc>
          <w:tcPr>
            <w:tcW w:type="dxa" w:w="2160"/>
          </w:tcPr>
          <w:p>
            <w:r>
              <w:rPr>
                <w:sz w:val="18"/>
              </w:rPr>
              <w:t>أثر على النطاق أو الميزانية أو الجدول بأكثر من أسبوعين</w:t>
            </w:r>
          </w:p>
        </w:tc>
        <w:tc>
          <w:tcPr>
            <w:tcW w:type="dxa" w:w="2160"/>
          </w:tcPr>
          <w:p>
            <w:r>
              <w:rPr>
                <w:sz w:val="18"/>
              </w:rPr>
              <w:t>اللجنة التوجيهية</w:t>
            </w:r>
          </w:p>
        </w:tc>
        <w:tc>
          <w:tcPr>
            <w:tcW w:type="dxa" w:w="2160"/>
          </w:tcPr>
          <w:p>
            <w:r>
              <w:rPr>
                <w:sz w:val="18"/>
              </w:rPr>
              <w:t>أسبوعان</w:t>
            </w:r>
          </w:p>
        </w:tc>
      </w:tr>
      <w:tr>
        <w:tc>
          <w:tcPr>
            <w:tcW w:type="dxa" w:w="2160"/>
          </w:tcPr>
          <w:p>
            <w:r>
              <w:rPr>
                <w:sz w:val="18"/>
              </w:rPr>
              <w:t>تعاقدي</w:t>
            </w:r>
          </w:p>
        </w:tc>
        <w:tc>
          <w:tcPr>
            <w:tcW w:type="dxa" w:w="2160"/>
          </w:tcPr>
          <w:p>
            <w:r>
              <w:rPr>
                <w:sz w:val="18"/>
              </w:rPr>
              <w:t>تعديل قيمة العقد أو مدته الإجمالية</w:t>
            </w:r>
          </w:p>
        </w:tc>
        <w:tc>
          <w:tcPr>
            <w:tcW w:type="dxa" w:w="2160"/>
          </w:tcPr>
          <w:p>
            <w:r>
              <w:rPr>
                <w:sz w:val="18"/>
              </w:rPr>
              <w:t>الراعي التنفيذي من سدايا</w:t>
            </w:r>
          </w:p>
        </w:tc>
        <w:tc>
          <w:tcPr>
            <w:tcW w:type="dxa" w:w="2160"/>
          </w:tcPr>
          <w:p>
            <w:r>
              <w:rPr>
                <w:sz w:val="18"/>
              </w:rPr>
              <w:t>حسب الإجراءات التعاقدية</w:t>
            </w:r>
          </w:p>
        </w:tc>
      </w:tr>
    </w:tbl>
    <w:p/>
    <w:p>
      <w:r>
        <w:t>**الخطوة ٤ — التنفيذ والتوثيق:**</w:t>
        <w:br/>
        <w:t xml:space="preserve"> - عند الموافقة: يُحدث مدير المشروع من SG خطة العمل والجدول الزمني وسجل المخاطر وسجل RAID. - يُوثق التغيير في محضر الاجتماع الذي صدرت فيه الموافقة. - يُحدث سجل طلبات التغيير بالحالة النهائية (معتمد/مرفوض/معلق) مع تاريخ القرار. #### ٨.٣ قواعد حاكمة</w:t>
        <w:br/>
        <w:t xml:space="preserve"> - لا يُنفذ أي تغيير قبل الحصول على الموافقة المطلوبة من المستوى المناسب. - التغييرات التراكمية التي تتجاوز ١٥٪ من النطاق الأصلي تتطلب مراجعة شاملة للعقد وموافقة الراعي التنفيذي. - يُراجع سجل طلبات التغيير في كل اجتماع للجنة التوجيهية مع تحليل الاتجاهات (عدد الطلبات، الأسباب المتكررة، الأثر التراكمي). ---</w:t>
        <w:br/>
        <w:t xml:space="preserve"> ### ٩. هيكل مكتب إدارة المشروع (PMO Structure)</w:t>
        <w:br/>
        <w:t xml:space="preserve"> #### ٩.١ الهيكل التنظيمي</w:t>
        <w:br/>
        <w:t xml:space="preserve"> ```</w:t>
        <w:br/>
        <w:t xml:space="preserve"> الراعي التنفيذي (سدايا — مستوى نائب رئيس)</w:t>
        <w:br/>
        <w:t xml:space="preserve"> │</w:t>
        <w:br/>
        <w:t xml:space="preserve"> اللجنة التوجيهية</w:t>
        <w:br/>
        <w:t xml:space="preserve"> │</w:t>
        <w:br/>
        <w:t xml:space="preserve"> ├── مدير المشاركة من SG (Engagement Director) ←→ المسؤول المباشر (سدايا)</w:t>
        <w:br/>
        <w:t xml:space="preserve"> │       │</w:t>
        <w:br/>
        <w:t xml:space="preserve"> │       └── مدير المشروع من SG (Project Manager) ←→ مدير مشروع سدايا (PMO Lead)</w:t>
        <w:br/>
        <w:t xml:space="preserve"> │               │</w:t>
        <w:br/>
        <w:t xml:space="preserve"> │               ├── فريق التقييم والمقارنة المعيارية (SG)</w:t>
        <w:br/>
        <w:t xml:space="preserve"> │               │       ←→ خبراء سدايا الموضوعيون (أخلاقيات AI + تعاون دولي)</w:t>
        <w:br/>
        <w:t xml:space="preserve"> │               │</w:t>
        <w:br/>
        <w:t xml:space="preserve"> │               ├── فريق تطوير البرامج وتصميم المبادرات (SG)</w:t>
        <w:br/>
        <w:t xml:space="preserve"> │               │       ←→ خبراء سدايا الموضوعيون (برامج + SDGs)</w:t>
        <w:br/>
        <w:t xml:space="preserve"> │               │</w:t>
        <w:br/>
        <w:t xml:space="preserve"> │               └── فريق التدريب ونقل المعرفة (SG)</w:t>
        <w:br/>
        <w:t xml:space="preserve"> │                       ←→ متدربو سدايا المرشحون</w:t>
        <w:br/>
        <w:t xml:space="preserve"> │</w:t>
        <w:br/>
        <w:t xml:space="preserve"> └── ضمان الجودة (SG — مراجع نظير مستقل عن فرق التنفيذ)</w:t>
        <w:br/>
        <w:t xml:space="preserve"> ```</w:t>
        <w:br/>
        <w:t xml:space="preserve"> #### ٩.٢ خطوط التقارير</w:t>
        <w:br/>
        <w:t xml:space="preserve"> - مدير المشروع من SG يقدم تقاريره لمدير المشاركة من SG (خط إداري واستراتيجي) ولمدير مشروع سدايا (خط تشغيلي يومي). - فرق العمل الفنية الثلاثة تقدم تقاريرها لمدير المشروع من SG. - مدير المشاركة من SG يقدم تقاريره للجنة التوجيهية في الاجتماعات الشهرية وعند بوابات المراحل. - مراجع الجودة النظير يقدم تقاريره مباشرة لمدير المشاركة (وليس لمدير المشروع) لضمان استقلالية المراجعة. #### ٩.٣ الأدوات والمنصات</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الأداة</w:t>
            </w:r>
          </w:p>
        </w:tc>
        <w:tc>
          <w:tcPr>
            <w:tcW w:type="dxa" w:w="2160"/>
          </w:tcPr>
          <w:p>
            <w:r>
              <w:rPr>
                <w:b/>
                <w:sz w:val="18"/>
              </w:rPr>
              <w:t>الاستخدام</w:t>
            </w:r>
          </w:p>
        </w:tc>
        <w:tc>
          <w:tcPr>
            <w:tcW w:type="dxa" w:w="2160"/>
          </w:tcPr>
          <w:p>
            <w:r>
              <w:rPr>
                <w:b/>
                <w:sz w:val="18"/>
              </w:rPr>
              <w:t>المسؤول عن الإدارة</w:t>
            </w:r>
          </w:p>
        </w:tc>
        <w:tc>
          <w:tcPr>
            <w:tcW w:type="dxa" w:w="2160"/>
          </w:tcPr>
          <w:p>
            <w:r>
              <w:rPr>
                <w:b/>
                <w:sz w:val="18"/>
              </w:rPr>
              <w:t>ملاحظات</w:t>
            </w:r>
          </w:p>
        </w:tc>
      </w:tr>
      <w:tr>
        <w:tc>
          <w:tcPr>
            <w:tcW w:type="dxa" w:w="2160"/>
          </w:tcPr>
          <w:p>
            <w:r>
              <w:rPr>
                <w:sz w:val="18"/>
              </w:rPr>
              <w:t>منصة إدارة المشاريع (MS Project أو ما يعادلها)</w:t>
            </w:r>
          </w:p>
        </w:tc>
        <w:tc>
          <w:tcPr>
            <w:tcW w:type="dxa" w:w="2160"/>
          </w:tcPr>
          <w:p>
            <w:r>
              <w:rPr>
                <w:sz w:val="18"/>
              </w:rPr>
              <w:t>تتبع المهام، الجداول الزمنية، المسار الحرج، تخصيص الموارد</w:t>
            </w:r>
          </w:p>
        </w:tc>
        <w:tc>
          <w:tcPr>
            <w:tcW w:type="dxa" w:w="2160"/>
          </w:tcPr>
          <w:p>
            <w:r>
              <w:rPr>
                <w:sz w:val="18"/>
              </w:rPr>
              <w:t>مدير المشروع من SG</w:t>
            </w:r>
          </w:p>
        </w:tc>
        <w:tc>
          <w:tcPr>
            <w:tcW w:type="dxa" w:w="2160"/>
          </w:tcPr>
          <w:p>
            <w:r>
              <w:rPr>
                <w:sz w:val="18"/>
              </w:rPr>
              <w:t>تُشارك لوحة المتابعة مع مدير مشروع سدايا</w:t>
            </w:r>
          </w:p>
        </w:tc>
      </w:tr>
      <w:tr>
        <w:tc>
          <w:tcPr>
            <w:tcW w:type="dxa" w:w="2160"/>
          </w:tcPr>
          <w:p>
            <w:r>
              <w:rPr>
                <w:sz w:val="18"/>
              </w:rPr>
              <w:t>مستودع مستندات مشترك (SharePoint أو ما يعادله)</w:t>
            </w:r>
          </w:p>
        </w:tc>
        <w:tc>
          <w:tcPr>
            <w:tcW w:type="dxa" w:w="2160"/>
          </w:tcPr>
          <w:p>
            <w:r>
              <w:rPr>
                <w:sz w:val="18"/>
              </w:rPr>
              <w:t>تخزين ومشاركة المخرجات والوثائق والمراجع</w:t>
            </w:r>
          </w:p>
        </w:tc>
        <w:tc>
          <w:tcPr>
            <w:tcW w:type="dxa" w:w="2160"/>
          </w:tcPr>
          <w:p>
            <w:r>
              <w:rPr>
                <w:sz w:val="18"/>
              </w:rPr>
              <w:t>مدير المشروع من SG + مدير مشروع سدايا</w:t>
            </w:r>
          </w:p>
        </w:tc>
        <w:tc>
          <w:tcPr>
            <w:tcW w:type="dxa" w:w="2160"/>
          </w:tcPr>
          <w:p>
            <w:r>
              <w:rPr>
                <w:sz w:val="18"/>
              </w:rPr>
              <w:t>هيكل مجلدات موحد حسب المراحل والمخرجات</w:t>
            </w:r>
          </w:p>
        </w:tc>
      </w:tr>
      <w:tr>
        <w:tc>
          <w:tcPr>
            <w:tcW w:type="dxa" w:w="2160"/>
          </w:tcPr>
          <w:p>
            <w:r>
              <w:rPr>
                <w:sz w:val="18"/>
              </w:rPr>
              <w:t>سجل RAID الموحد (Excel متقدم أو أداة متخصصة)</w:t>
            </w:r>
          </w:p>
        </w:tc>
        <w:tc>
          <w:tcPr>
            <w:tcW w:type="dxa" w:w="2160"/>
          </w:tcPr>
          <w:p>
            <w:r>
              <w:rPr>
                <w:sz w:val="18"/>
              </w:rPr>
              <w:t>توثيق ومتابعة المخاطر والافتراضات والمشكلات والتبعيات</w:t>
            </w:r>
          </w:p>
        </w:tc>
        <w:tc>
          <w:tcPr>
            <w:tcW w:type="dxa" w:w="2160"/>
          </w:tcPr>
          <w:p>
            <w:r>
              <w:rPr>
                <w:sz w:val="18"/>
              </w:rPr>
              <w:t>مدير المشروع من SG</w:t>
            </w:r>
          </w:p>
        </w:tc>
        <w:tc>
          <w:tcPr>
            <w:tcW w:type="dxa" w:w="2160"/>
          </w:tcPr>
          <w:p>
            <w:r>
              <w:rPr>
                <w:sz w:val="18"/>
              </w:rPr>
              <w:t>مراجعة أسبوعية مع تحديث مستمر</w:t>
            </w:r>
          </w:p>
        </w:tc>
      </w:tr>
      <w:tr>
        <w:tc>
          <w:tcPr>
            <w:tcW w:type="dxa" w:w="2160"/>
          </w:tcPr>
          <w:p>
            <w:r>
              <w:rPr>
                <w:sz w:val="18"/>
              </w:rPr>
              <w:t>سجل طلبات التغيير</w:t>
            </w:r>
          </w:p>
        </w:tc>
        <w:tc>
          <w:tcPr>
            <w:tcW w:type="dxa" w:w="2160"/>
          </w:tcPr>
          <w:p>
            <w:r>
              <w:rPr>
                <w:sz w:val="18"/>
              </w:rPr>
              <w:t>توثيق ومتابعة جميع طلبات التغيير بأرقام تسلسلية</w:t>
            </w:r>
          </w:p>
        </w:tc>
        <w:tc>
          <w:tcPr>
            <w:tcW w:type="dxa" w:w="2160"/>
          </w:tcPr>
          <w:p>
            <w:r>
              <w:rPr>
                <w:sz w:val="18"/>
              </w:rPr>
              <w:t>مدير المشروع من SG</w:t>
            </w:r>
          </w:p>
        </w:tc>
        <w:tc>
          <w:tcPr>
            <w:tcW w:type="dxa" w:w="2160"/>
          </w:tcPr>
          <w:p>
            <w:r>
              <w:rPr>
                <w:sz w:val="18"/>
              </w:rPr>
              <w:t>مراجعة في كل اجتماع تشغيلي</w:t>
            </w:r>
          </w:p>
        </w:tc>
      </w:tr>
      <w:tr>
        <w:tc>
          <w:tcPr>
            <w:tcW w:type="dxa" w:w="2160"/>
          </w:tcPr>
          <w:p>
            <w:r>
              <w:rPr>
                <w:sz w:val="18"/>
              </w:rPr>
              <w:t>منصة التواصل (Microsoft Teams أو ما يعادلها)</w:t>
            </w:r>
          </w:p>
        </w:tc>
        <w:tc>
          <w:tcPr>
            <w:tcW w:type="dxa" w:w="2160"/>
          </w:tcPr>
          <w:p>
            <w:r>
              <w:rPr>
                <w:sz w:val="18"/>
              </w:rPr>
              <w:t>التواصل اليومي، مشاركة الملفات السريعة، الاجتماعات الافتراضية</w:t>
            </w:r>
          </w:p>
        </w:tc>
        <w:tc>
          <w:tcPr>
            <w:tcW w:type="dxa" w:w="2160"/>
          </w:tcPr>
          <w:p>
            <w:r>
              <w:rPr>
                <w:sz w:val="18"/>
              </w:rPr>
              <w:t>جميع أعضاء الفريق</w:t>
            </w:r>
          </w:p>
        </w:tc>
        <w:tc>
          <w:tcPr>
            <w:tcW w:type="dxa" w:w="2160"/>
          </w:tcPr>
          <w:p>
            <w:r>
              <w:rPr>
                <w:sz w:val="18"/>
              </w:rPr>
              <w:t>قنوات منفصلة حسب المراحل</w:t>
            </w:r>
          </w:p>
        </w:tc>
      </w:tr>
      <w:tr>
        <w:tc>
          <w:tcPr>
            <w:tcW w:type="dxa" w:w="2160"/>
          </w:tcPr>
          <w:p>
            <w:r>
              <w:rPr>
                <w:sz w:val="18"/>
              </w:rPr>
              <w:t>قوالب التقارير الموحدة</w:t>
            </w:r>
          </w:p>
        </w:tc>
        <w:tc>
          <w:tcPr>
            <w:tcW w:type="dxa" w:w="2160"/>
          </w:tcPr>
          <w:p>
            <w:r>
              <w:rPr>
                <w:sz w:val="18"/>
              </w:rPr>
              <w:t>ضمان اتساق شكل ومحتوى جميع التقارير</w:t>
            </w:r>
          </w:p>
        </w:tc>
        <w:tc>
          <w:tcPr>
            <w:tcW w:type="dxa" w:w="2160"/>
          </w:tcPr>
          <w:p>
            <w:r>
              <w:rPr>
                <w:sz w:val="18"/>
              </w:rPr>
              <w:t>مدير المشروع من SG</w:t>
            </w:r>
          </w:p>
        </w:tc>
        <w:tc>
          <w:tcPr>
            <w:tcW w:type="dxa" w:w="2160"/>
          </w:tcPr>
          <w:p>
            <w:r>
              <w:rPr>
                <w:sz w:val="18"/>
              </w:rPr>
              <w:t>تُعتمد في اجتماع الانطلاق</w:t>
            </w:r>
          </w:p>
        </w:tc>
      </w:tr>
    </w:tbl>
    <w:p/>
    <w:p>
      <w:r>
        <w:t>#### ٩.٤ إيقاع التنسيق الداخلي لفريق SG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الاجتماع</w:t>
            </w:r>
          </w:p>
        </w:tc>
        <w:tc>
          <w:tcPr>
            <w:tcW w:type="dxa" w:w="1728"/>
          </w:tcPr>
          <w:p>
            <w:r>
              <w:rPr>
                <w:b/>
                <w:sz w:val="18"/>
              </w:rPr>
              <w:t>التكرار</w:t>
            </w:r>
          </w:p>
        </w:tc>
        <w:tc>
          <w:tcPr>
            <w:tcW w:type="dxa" w:w="1728"/>
          </w:tcPr>
          <w:p>
            <w:r>
              <w:rPr>
                <w:b/>
                <w:sz w:val="18"/>
              </w:rPr>
              <w:t>المدة</w:t>
            </w:r>
          </w:p>
        </w:tc>
        <w:tc>
          <w:tcPr>
            <w:tcW w:type="dxa" w:w="1728"/>
          </w:tcPr>
          <w:p>
            <w:r>
              <w:rPr>
                <w:b/>
                <w:sz w:val="18"/>
              </w:rPr>
              <w:t>المشاركون</w:t>
            </w:r>
          </w:p>
        </w:tc>
        <w:tc>
          <w:tcPr>
            <w:tcW w:type="dxa" w:w="1728"/>
          </w:tcPr>
          <w:p>
            <w:r>
              <w:rPr>
                <w:b/>
                <w:sz w:val="18"/>
              </w:rPr>
              <w:t>الهدف</w:t>
            </w:r>
          </w:p>
        </w:tc>
      </w:tr>
      <w:tr>
        <w:tc>
          <w:tcPr>
            <w:tcW w:type="dxa" w:w="1728"/>
          </w:tcPr>
          <w:p>
            <w:r>
              <w:rPr>
                <w:sz w:val="18"/>
              </w:rPr>
              <w:t>اجتماع الفريق اليومي (Stand-up)</w:t>
            </w:r>
          </w:p>
        </w:tc>
        <w:tc>
          <w:tcPr>
            <w:tcW w:type="dxa" w:w="1728"/>
          </w:tcPr>
          <w:p>
            <w:r>
              <w:rPr>
                <w:sz w:val="18"/>
              </w:rPr>
              <w:t>يومياً</w:t>
            </w:r>
          </w:p>
        </w:tc>
        <w:tc>
          <w:tcPr>
            <w:tcW w:type="dxa" w:w="1728"/>
          </w:tcPr>
          <w:p>
            <w:r>
              <w:rPr>
                <w:sz w:val="18"/>
              </w:rPr>
              <w:t>١٥ دقيقة</w:t>
            </w:r>
          </w:p>
        </w:tc>
        <w:tc>
          <w:tcPr>
            <w:tcW w:type="dxa" w:w="1728"/>
          </w:tcPr>
          <w:p>
            <w:r>
              <w:rPr>
                <w:sz w:val="18"/>
              </w:rPr>
              <w:t>فريق SG الكامل</w:t>
            </w:r>
          </w:p>
        </w:tc>
        <w:tc>
          <w:tcPr>
            <w:tcW w:type="dxa" w:w="1728"/>
          </w:tcPr>
          <w:p>
            <w:r>
              <w:rPr>
                <w:sz w:val="18"/>
              </w:rPr>
              <w:t>ثلاثة أسئلة: ماذا أنجزت أمس؟ ماذا سأنجز اليوم؟ ما العوائق؟</w:t>
            </w:r>
          </w:p>
        </w:tc>
      </w:tr>
      <w:tr>
        <w:tc>
          <w:tcPr>
            <w:tcW w:type="dxa" w:w="1728"/>
          </w:tcPr>
          <w:p>
            <w:r>
              <w:rPr>
                <w:sz w:val="18"/>
              </w:rPr>
              <w:t>اجتماع التنسيق الأسبوعي</w:t>
            </w:r>
          </w:p>
        </w:tc>
        <w:tc>
          <w:tcPr>
            <w:tcW w:type="dxa" w:w="1728"/>
          </w:tcPr>
          <w:p>
            <w:r>
              <w:rPr>
                <w:sz w:val="18"/>
              </w:rPr>
              <w:t>أسبوعياً — الأحد</w:t>
            </w:r>
          </w:p>
        </w:tc>
        <w:tc>
          <w:tcPr>
            <w:tcW w:type="dxa" w:w="1728"/>
          </w:tcPr>
          <w:p>
            <w:r>
              <w:rPr>
                <w:sz w:val="18"/>
              </w:rPr>
              <w:t>ساعة</w:t>
            </w:r>
          </w:p>
        </w:tc>
        <w:tc>
          <w:tcPr>
            <w:tcW w:type="dxa" w:w="1728"/>
          </w:tcPr>
          <w:p>
            <w:r>
              <w:rPr>
                <w:sz w:val="18"/>
              </w:rPr>
              <w:t>مدير المشروع من SG + قادة الفرق الفنية الثلاثة</w:t>
            </w:r>
          </w:p>
        </w:tc>
        <w:tc>
          <w:tcPr>
            <w:tcW w:type="dxa" w:w="1728"/>
          </w:tcPr>
          <w:p>
            <w:r>
              <w:rPr>
                <w:sz w:val="18"/>
              </w:rPr>
              <w:t>تخطيط الأسبوع، مراجعة التقدم، تنسيق التبعيات بين الفرق</w:t>
            </w:r>
          </w:p>
        </w:tc>
      </w:tr>
      <w:tr>
        <w:tc>
          <w:tcPr>
            <w:tcW w:type="dxa" w:w="1728"/>
          </w:tcPr>
          <w:p>
            <w:r>
              <w:rPr>
                <w:sz w:val="18"/>
              </w:rPr>
              <w:t>جلسة مراجعة الجودة</w:t>
            </w:r>
          </w:p>
        </w:tc>
        <w:tc>
          <w:tcPr>
            <w:tcW w:type="dxa" w:w="1728"/>
          </w:tcPr>
          <w:p>
            <w:r>
              <w:rPr>
                <w:sz w:val="18"/>
              </w:rPr>
              <w:t>عند اكتمال كل مخرج رسمي</w:t>
            </w:r>
          </w:p>
        </w:tc>
        <w:tc>
          <w:tcPr>
            <w:tcW w:type="dxa" w:w="1728"/>
          </w:tcPr>
          <w:p>
            <w:r>
              <w:rPr>
                <w:sz w:val="18"/>
              </w:rPr>
              <w:t>ساعة-ساعتان</w:t>
            </w:r>
          </w:p>
        </w:tc>
        <w:tc>
          <w:tcPr>
            <w:tcW w:type="dxa" w:w="1728"/>
          </w:tcPr>
          <w:p>
            <w:r>
              <w:rPr>
                <w:sz w:val="18"/>
              </w:rPr>
              <w:t>مدير المشاركة + المراجع النظير + مدير المشروع من SG</w:t>
            </w:r>
          </w:p>
        </w:tc>
        <w:tc>
          <w:tcPr>
            <w:tcW w:type="dxa" w:w="1728"/>
          </w:tcPr>
          <w:p>
            <w:r>
              <w:rPr>
                <w:sz w:val="18"/>
              </w:rPr>
              <w:t>مراجعة الجودة الداخلية قبل التقديم للعميل</w:t>
            </w:r>
          </w:p>
        </w:tc>
      </w:tr>
      <w:tr>
        <w:tc>
          <w:tcPr>
            <w:tcW w:type="dxa" w:w="1728"/>
          </w:tcPr>
          <w:p>
            <w:r>
              <w:rPr>
                <w:sz w:val="18"/>
              </w:rPr>
              <w:t>اجتماع المخاطر الداخلي</w:t>
            </w:r>
          </w:p>
        </w:tc>
        <w:tc>
          <w:tcPr>
            <w:tcW w:type="dxa" w:w="1728"/>
          </w:tcPr>
          <w:p>
            <w:r>
              <w:rPr>
                <w:sz w:val="18"/>
              </w:rPr>
              <w:t>نصف شهري</w:t>
            </w:r>
          </w:p>
        </w:tc>
        <w:tc>
          <w:tcPr>
            <w:tcW w:type="dxa" w:w="1728"/>
          </w:tcPr>
          <w:p>
            <w:r>
              <w:rPr>
                <w:sz w:val="18"/>
              </w:rPr>
              <w:t>٣٠ دقيقة</w:t>
            </w:r>
          </w:p>
        </w:tc>
        <w:tc>
          <w:tcPr>
            <w:tcW w:type="dxa" w:w="1728"/>
          </w:tcPr>
          <w:p>
            <w:r>
              <w:rPr>
                <w:sz w:val="18"/>
              </w:rPr>
              <w:t>مدير المشروع من SG + مدير المشاركة</w:t>
            </w:r>
          </w:p>
        </w:tc>
        <w:tc>
          <w:tcPr>
            <w:tcW w:type="dxa" w:w="1728"/>
          </w:tcPr>
          <w:p>
            <w:r>
              <w:rPr>
                <w:sz w:val="18"/>
              </w:rPr>
              <w:t>مراجعة سجل RAID، تحديث خطط التخفيف، تحديد مخاطر جديدة</w:t>
            </w:r>
          </w:p>
        </w:tc>
      </w:tr>
      <w:tr>
        <w:tc>
          <w:tcPr>
            <w:tcW w:type="dxa" w:w="1728"/>
          </w:tcPr>
          <w:p>
            <w:r>
              <w:rPr>
                <w:sz w:val="18"/>
              </w:rPr>
              <w:t>جلسة التخطيط المرحلي</w:t>
            </w:r>
          </w:p>
        </w:tc>
        <w:tc>
          <w:tcPr>
            <w:tcW w:type="dxa" w:w="1728"/>
          </w:tcPr>
          <w:p>
            <w:r>
              <w:rPr>
                <w:sz w:val="18"/>
              </w:rPr>
              <w:t>عند بدء كل مرحلة جديدة</w:t>
            </w:r>
          </w:p>
        </w:tc>
        <w:tc>
          <w:tcPr>
            <w:tcW w:type="dxa" w:w="1728"/>
          </w:tcPr>
          <w:p>
            <w:r>
              <w:rPr>
                <w:sz w:val="18"/>
              </w:rPr>
              <w:t>ساعتان</w:t>
            </w:r>
          </w:p>
        </w:tc>
        <w:tc>
          <w:tcPr>
            <w:tcW w:type="dxa" w:w="1728"/>
          </w:tcPr>
          <w:p>
            <w:r>
              <w:rPr>
                <w:sz w:val="18"/>
              </w:rPr>
              <w:t>فريق SG الكامل</w:t>
            </w:r>
          </w:p>
        </w:tc>
        <w:tc>
          <w:tcPr>
            <w:tcW w:type="dxa" w:w="1728"/>
          </w:tcPr>
          <w:p>
            <w:r>
              <w:rPr>
                <w:sz w:val="18"/>
              </w:rPr>
              <w:t>تخطيط تفصيلي للمرحلة، توزيع المهام، تحديد التبعيات</w:t>
            </w:r>
          </w:p>
        </w:tc>
      </w:tr>
    </w:tbl>
    <w:p/>
    <w:p>
      <w:r>
        <w:t>---</w:t>
        <w:br/>
        <w:t xml:space="preserve"> ### ١٠. آليات حوكمة متخصصة بطبيعة المشروع</w:t>
        <w:br/>
        <w:t xml:space="preserve"> #### ١٠.١ حوكمة التوافق مع اليونسكو</w:t>
        <w:br/>
        <w:t xml:space="preserve"> - تُعين نقطة اتصال واحدة من فريق SG (ضمن فريق التقييم) مسؤولة عن ضمان توافق جميع المخرجات مع الأدوات المعيارية لليونسكو: توصية أخلاقيات الذكاء الاصطناعي (٢٠٢١)، منهجية تقييم الجاهزية (RAM)، دورات التقارير الدورية [EXT-002] [EXT-003]. - قائمة تحقق التوافق مع اليونسكو (UNESCO Alignment Checklist): تُطبق على كل مخرج رسمي قبل تقديمه للعميل، وتشمل: (أ) هل يستخدم المخرج مصطلحات اليونسكو المعتمدة؟ (ب) هل تتوافق المؤشرات مع هيكل دورات التقارير الدورية؟ (ج) هل يمكن استخدام المخرج في التقارير الدولية لسدايا؟ (د) هل تُوثق أي انحرافات عن أطر اليونسكو مع تبرير واضح؟</w:t>
        <w:br/>
        <w:t xml:space="preserve"> - **التبعية:** تيسير سدايا للوصول إلى وثائق اليونسكو الداخلية وأصحاب المصلحة الدوليين شرط أساسي لفعالية هذه الآلية. #### ١٠.٢ حوكمة نقل المعرفة</w:t>
        <w:br/>
        <w:t xml:space="preserve"> - يُعين مسؤول نقل معرفة (Knowledge Transfer Lead) من فريق SG — دور مخصص وليس مسؤولية إضافية على عضو فريق آخر. - تقرير شهري عن تقدم نقل المعرفة يُقدم ضمن لوحة المتابعة الشهرية ويشمل: عدد الجلسات المنفذة مقابل المخطط، عدد المتدربين المشاركين فعلياً مقابل المرشحين، نتائج التقييم المرحلي (إن توفرت)، الفجوات المتبقية وخطة معالجتها. - تُقيَّم فعالية نقل المعرفة باستخدام إطار APQC ذي الخطوات الأربع [EXT-006]: التخطيط (تحديد المعارف الحرجة)، التصميم (اختيار أساليب النقل المناسبة)، التنفيذ (تطبيق الأساليب)، القياس (تقييم الأثر). - تقييم كفاءات قبلي وبعدي لكل متدرب [EXT-009] باستخدام أداة تقييم موحدة تُصمم في الأسبوع الأول من المشروع. #### ١٠.٣ حوكمة السرية والامتثال الأخلاقي</w:t>
        <w:br/>
        <w:t xml:space="preserve"> تماشياً مع متطلبات المنافسة المتعلقة بتعارض المصالح [CR-6] والسلوك المهني [CR-7] والسرية [CR-8] [DIRECT_RFP_FACT]:</w:t>
        <w:br/>
        <w:t xml:space="preserve"> - يوقع جميع أعضاء فريق SG المشاركين في المشروع على اتفاقية سرية فردية قبل بدء العمل. - تُطبق سياسة «الحاجة للمعرفة» (need-to-know) على جميع المعلومات الحساسة المتعلقة ببرامج سدايا واليونسكو. - يُعين مسؤول امتثال من SG (مدير المشاركة أو من يفوضه) لمراقبة الالتزام بقواعد السلوك المهني وأخلاقيات المهنة. - مراجعة ربعية للامتثال الأخلاقي تُقدم نتائجها للجنة التوجيهية ضمن تقرير بوابة المرحلة. #### ١٠.٤ حوكمة اللغة والتوثيق</w:t>
        <w:br/>
        <w:t xml:space="preserve"> تماشياً مع متطلب تقديم العروض باللغة العربية مع أولوية النص العربي [CR-1] [DIRECT_RFP_FACT]:</w:t>
        <w:br/>
        <w:t xml:space="preserve"> - جميع المخرجات الرسمية تُعد باللغة العربية كلغة أساسية وأصلية. - تُعد ملخصات تنفيذية باللغة الإنجليزية للمخرجات التي تتطلب مشاركة مع اليونسكو أو شركاء دوليين. - في حال وجود تعارض بين النصين العربي والإنجليزي، يسود النص العربي وفقاً لنص المنافسة. - تُراجع جميع المخرجات لغوياً من قبل مراجع لغوي متخصص قبل التقديم النهائي. - المصطلحات الفنية المتعلقة بأخلاقيات الذكاء الاصطناعي واليونسكو: يُعد قاموس مصطلحات موحد (عربي-إنجليزي) في الأسبوع الأول ويُعتمد من سدايا لضمان الاتساق عبر جميع المخرجات. ---</w:t>
        <w:br/>
        <w:t xml:space="preserve"> ### ١١. خريطة تبعيات مدخلات سدايا (SDAIA Input Dependency Map)</w:t>
        <w:br/>
        <w:t xml:space="preserve"> يوضح هذا القسم المدخلات المطلوبة من سدايا مع المواعيد المستهدفة والأثر في حال التأخر:</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t>
            </w:r>
          </w:p>
        </w:tc>
        <w:tc>
          <w:tcPr>
            <w:tcW w:type="dxa" w:w="1440"/>
          </w:tcPr>
          <w:p>
            <w:r>
              <w:rPr>
                <w:b/>
                <w:sz w:val="18"/>
              </w:rPr>
              <w:t>المدخل المطلوب</w:t>
            </w:r>
          </w:p>
        </w:tc>
        <w:tc>
          <w:tcPr>
            <w:tcW w:type="dxa" w:w="1440"/>
          </w:tcPr>
          <w:p>
            <w:r>
              <w:rPr>
                <w:b/>
                <w:sz w:val="18"/>
              </w:rPr>
              <w:t>الموعد المستهدف</w:t>
            </w:r>
          </w:p>
        </w:tc>
        <w:tc>
          <w:tcPr>
            <w:tcW w:type="dxa" w:w="1440"/>
          </w:tcPr>
          <w:p>
            <w:r>
              <w:rPr>
                <w:b/>
                <w:sz w:val="18"/>
              </w:rPr>
              <w:t>المرحلة المتأثرة</w:t>
            </w:r>
          </w:p>
        </w:tc>
        <w:tc>
          <w:tcPr>
            <w:tcW w:type="dxa" w:w="1440"/>
          </w:tcPr>
          <w:p>
            <w:r>
              <w:rPr>
                <w:b/>
                <w:sz w:val="18"/>
              </w:rPr>
              <w:t>الأثر في حال التأخر</w:t>
            </w:r>
          </w:p>
        </w:tc>
        <w:tc>
          <w:tcPr>
            <w:tcW w:type="dxa" w:w="1440"/>
          </w:tcPr>
          <w:p>
            <w:r>
              <w:rPr>
                <w:b/>
                <w:sz w:val="18"/>
              </w:rPr>
              <w:t>خطة الطوارئ</w:t>
            </w:r>
          </w:p>
        </w:tc>
      </w:tr>
      <w:tr>
        <w:tc>
          <w:tcPr>
            <w:tcW w:type="dxa" w:w="1440"/>
          </w:tcPr>
          <w:p>
            <w:r>
              <w:rPr>
                <w:sz w:val="18"/>
              </w:rPr>
              <w:t>I-1</w:t>
            </w:r>
          </w:p>
        </w:tc>
        <w:tc>
          <w:tcPr>
            <w:tcW w:type="dxa" w:w="1440"/>
          </w:tcPr>
          <w:p>
            <w:r>
              <w:rPr>
                <w:sz w:val="18"/>
              </w:rPr>
              <w:t>حزمة الوثائق: تقارير برامج اليونسكو الحالية، بيانات الأداء، الاتفاقيات القائمة</w:t>
            </w:r>
          </w:p>
        </w:tc>
        <w:tc>
          <w:tcPr>
            <w:tcW w:type="dxa" w:w="1440"/>
          </w:tcPr>
          <w:p>
            <w:r>
              <w:rPr>
                <w:sz w:val="18"/>
              </w:rPr>
              <w:t>الأسبوع الأول بعد الانطلاق</w:t>
            </w:r>
          </w:p>
        </w:tc>
        <w:tc>
          <w:tcPr>
            <w:tcW w:type="dxa" w:w="1440"/>
          </w:tcPr>
          <w:p>
            <w:r>
              <w:rPr>
                <w:sz w:val="18"/>
              </w:rPr>
              <w:t>المرحلة ١ — التقييم</w:t>
            </w:r>
          </w:p>
        </w:tc>
        <w:tc>
          <w:tcPr>
            <w:tcW w:type="dxa" w:w="1440"/>
          </w:tcPr>
          <w:p>
            <w:r>
              <w:rPr>
                <w:sz w:val="18"/>
              </w:rPr>
              <w:t>تأخر بدء التحليل بمقدار مساوٍ لمدة التأخر</w:t>
            </w:r>
          </w:p>
        </w:tc>
        <w:tc>
          <w:tcPr>
            <w:tcW w:type="dxa" w:w="1440"/>
          </w:tcPr>
          <w:p>
            <w:r>
              <w:rPr>
                <w:sz w:val="18"/>
              </w:rPr>
              <w:t>بدء بالبيانات المتاحة علنياً + تصعيد للمستوى الثاني</w:t>
            </w:r>
          </w:p>
        </w:tc>
      </w:tr>
      <w:tr>
        <w:tc>
          <w:tcPr>
            <w:tcW w:type="dxa" w:w="1440"/>
          </w:tcPr>
          <w:p>
            <w:r>
              <w:rPr>
                <w:sz w:val="18"/>
              </w:rPr>
              <w:t>I-2</w:t>
            </w:r>
          </w:p>
        </w:tc>
        <w:tc>
          <w:tcPr>
            <w:tcW w:type="dxa" w:w="1440"/>
          </w:tcPr>
          <w:p>
            <w:r>
              <w:rPr>
                <w:sz w:val="18"/>
              </w:rPr>
              <w:t>قائمة أصحاب المصلحة في اليونسكو مع بيانات الاتصال وتيسير المقابلات</w:t>
            </w:r>
          </w:p>
        </w:tc>
        <w:tc>
          <w:tcPr>
            <w:tcW w:type="dxa" w:w="1440"/>
          </w:tcPr>
          <w:p>
            <w:r>
              <w:rPr>
                <w:sz w:val="18"/>
              </w:rPr>
              <w:t>الأسبوع الثاني بعد الانطلاق</w:t>
            </w:r>
          </w:p>
        </w:tc>
        <w:tc>
          <w:tcPr>
            <w:tcW w:type="dxa" w:w="1440"/>
          </w:tcPr>
          <w:p>
            <w:r>
              <w:rPr>
                <w:sz w:val="18"/>
              </w:rPr>
              <w:t>المرحلة ١ — التقييم</w:t>
            </w:r>
          </w:p>
        </w:tc>
        <w:tc>
          <w:tcPr>
            <w:tcW w:type="dxa" w:w="1440"/>
          </w:tcPr>
          <w:p>
            <w:r>
              <w:rPr>
                <w:sz w:val="18"/>
              </w:rPr>
              <w:t>تحول إلى تقييم قائم على الوثائق + استبيانات مكتوبة</w:t>
            </w:r>
          </w:p>
        </w:tc>
        <w:tc>
          <w:tcPr>
            <w:tcW w:type="dxa" w:w="1440"/>
          </w:tcPr>
          <w:p>
            <w:r>
              <w:rPr>
                <w:sz w:val="18"/>
              </w:rPr>
              <w:t>استبيانات مكتوبة تُيسرها سدايا كبديل</w:t>
            </w:r>
          </w:p>
        </w:tc>
      </w:tr>
      <w:tr>
        <w:tc>
          <w:tcPr>
            <w:tcW w:type="dxa" w:w="1440"/>
          </w:tcPr>
          <w:p>
            <w:r>
              <w:rPr>
                <w:sz w:val="18"/>
              </w:rPr>
              <w:t>I-3</w:t>
            </w:r>
          </w:p>
        </w:tc>
        <w:tc>
          <w:tcPr>
            <w:tcW w:type="dxa" w:w="1440"/>
          </w:tcPr>
          <w:p>
            <w:r>
              <w:rPr>
                <w:sz w:val="18"/>
              </w:rPr>
              <w:t>ترشيح فريق المتدربين (٥-٨ موظفين) مع التزام إداري بتخصيص الوقت</w:t>
            </w:r>
          </w:p>
        </w:tc>
        <w:tc>
          <w:tcPr>
            <w:tcW w:type="dxa" w:w="1440"/>
          </w:tcPr>
          <w:p>
            <w:r>
              <w:rPr>
                <w:sz w:val="18"/>
              </w:rPr>
              <w:t>الأسبوع الثالث بعد الانطلاق</w:t>
            </w:r>
          </w:p>
        </w:tc>
        <w:tc>
          <w:tcPr>
            <w:tcW w:type="dxa" w:w="1440"/>
          </w:tcPr>
          <w:p>
            <w:r>
              <w:rPr>
                <w:sz w:val="18"/>
              </w:rPr>
              <w:t>المرحلة ٣ — التدريب (+ المسار المتقاطع)</w:t>
            </w:r>
          </w:p>
        </w:tc>
        <w:tc>
          <w:tcPr>
            <w:tcW w:type="dxa" w:w="1440"/>
          </w:tcPr>
          <w:p>
            <w:r>
              <w:rPr>
                <w:sz w:val="18"/>
              </w:rPr>
              <w:t>ضعف فعالية نقل المعرفة وتأخر التقييم القبلي</w:t>
            </w:r>
          </w:p>
        </w:tc>
        <w:tc>
          <w:tcPr>
            <w:tcW w:type="dxa" w:w="1440"/>
          </w:tcPr>
          <w:p>
            <w:r>
              <w:rPr>
                <w:sz w:val="18"/>
              </w:rPr>
              <w:t>تكثيف التدريب في فترات أقصر + مواد تعلم ذاتي</w:t>
            </w:r>
          </w:p>
        </w:tc>
      </w:tr>
      <w:tr>
        <w:tc>
          <w:tcPr>
            <w:tcW w:type="dxa" w:w="1440"/>
          </w:tcPr>
          <w:p>
            <w:r>
              <w:rPr>
                <w:sz w:val="18"/>
              </w:rPr>
              <w:t>I-4</w:t>
            </w:r>
          </w:p>
        </w:tc>
        <w:tc>
          <w:tcPr>
            <w:tcW w:type="dxa" w:w="1440"/>
          </w:tcPr>
          <w:p>
            <w:r>
              <w:rPr>
                <w:sz w:val="18"/>
              </w:rPr>
              <w:t>مراجعة مخرج D-1 والتعليقات</w:t>
            </w:r>
          </w:p>
        </w:tc>
        <w:tc>
          <w:tcPr>
            <w:tcW w:type="dxa" w:w="1440"/>
          </w:tcPr>
          <w:p>
            <w:r>
              <w:rPr>
                <w:sz w:val="18"/>
              </w:rPr>
              <w:t>خلال ٧-١٠ أيام عمل من التقديم</w:t>
            </w:r>
          </w:p>
        </w:tc>
        <w:tc>
          <w:tcPr>
            <w:tcW w:type="dxa" w:w="1440"/>
          </w:tcPr>
          <w:p>
            <w:r>
              <w:rPr>
                <w:sz w:val="18"/>
              </w:rPr>
              <w:t>بوابة الموافقة ١ → المرحلة ٢</w:t>
            </w:r>
          </w:p>
        </w:tc>
        <w:tc>
          <w:tcPr>
            <w:tcW w:type="dxa" w:w="1440"/>
          </w:tcPr>
          <w:p>
            <w:r>
              <w:rPr>
                <w:sz w:val="18"/>
              </w:rPr>
              <w:t>تأخر بدء المرحلة الثانية</w:t>
            </w:r>
          </w:p>
        </w:tc>
        <w:tc>
          <w:tcPr>
            <w:tcW w:type="dxa" w:w="1440"/>
          </w:tcPr>
          <w:p>
            <w:r>
              <w:rPr>
                <w:sz w:val="18"/>
              </w:rPr>
              <w:t>موافقة مشروطة + بدء أنشطة تحضيرية بالتوازي</w:t>
            </w:r>
          </w:p>
        </w:tc>
      </w:tr>
      <w:tr>
        <w:tc>
          <w:tcPr>
            <w:tcW w:type="dxa" w:w="1440"/>
          </w:tcPr>
          <w:p>
            <w:r>
              <w:rPr>
                <w:sz w:val="18"/>
              </w:rPr>
              <w:t>I-5</w:t>
            </w:r>
          </w:p>
        </w:tc>
        <w:tc>
          <w:tcPr>
            <w:tcW w:type="dxa" w:w="1440"/>
          </w:tcPr>
          <w:p>
            <w:r>
              <w:rPr>
                <w:sz w:val="18"/>
              </w:rPr>
              <w:t>مراجعة مخرج D-2 والتعليقات</w:t>
            </w:r>
          </w:p>
        </w:tc>
        <w:tc>
          <w:tcPr>
            <w:tcW w:type="dxa" w:w="1440"/>
          </w:tcPr>
          <w:p>
            <w:r>
              <w:rPr>
                <w:sz w:val="18"/>
              </w:rPr>
              <w:t>خلال ٧-١٠ أيام عمل من التقديم</w:t>
            </w:r>
          </w:p>
        </w:tc>
        <w:tc>
          <w:tcPr>
            <w:tcW w:type="dxa" w:w="1440"/>
          </w:tcPr>
          <w:p>
            <w:r>
              <w:rPr>
                <w:sz w:val="18"/>
              </w:rPr>
              <w:t>بوابة الموافقة ٢ → المرحلة ٣</w:t>
            </w:r>
          </w:p>
        </w:tc>
        <w:tc>
          <w:tcPr>
            <w:tcW w:type="dxa" w:w="1440"/>
          </w:tcPr>
          <w:p>
            <w:r>
              <w:rPr>
                <w:sz w:val="18"/>
              </w:rPr>
              <w:t>تأخر بدء التدريب المكثف</w:t>
            </w:r>
          </w:p>
        </w:tc>
        <w:tc>
          <w:tcPr>
            <w:tcW w:type="dxa" w:w="1440"/>
          </w:tcPr>
          <w:p>
            <w:r>
              <w:rPr>
                <w:sz w:val="18"/>
              </w:rPr>
              <w:t>موافقة مشروطة + بدء إعداد المواد التدريبية بالتوازي</w:t>
            </w:r>
          </w:p>
        </w:tc>
      </w:tr>
      <w:tr>
        <w:tc>
          <w:tcPr>
            <w:tcW w:type="dxa" w:w="1440"/>
          </w:tcPr>
          <w:p>
            <w:r>
              <w:rPr>
                <w:sz w:val="18"/>
              </w:rPr>
              <w:t>I-6</w:t>
            </w:r>
          </w:p>
        </w:tc>
        <w:tc>
          <w:tcPr>
            <w:tcW w:type="dxa" w:w="1440"/>
          </w:tcPr>
          <w:p>
            <w:r>
              <w:rPr>
                <w:sz w:val="18"/>
              </w:rPr>
              <w:t>تأكيد المدة الزمنية الإجمالية والجدول التفصيلي من وثيقة المنافسة</w:t>
            </w:r>
          </w:p>
        </w:tc>
        <w:tc>
          <w:tcPr>
            <w:tcW w:type="dxa" w:w="1440"/>
          </w:tcPr>
          <w:p>
            <w:r>
              <w:rPr>
                <w:sz w:val="18"/>
              </w:rPr>
              <w:t>قبل تقديم العرض (عبر استفسار رسمي)</w:t>
            </w:r>
          </w:p>
        </w:tc>
        <w:tc>
          <w:tcPr>
            <w:tcW w:type="dxa" w:w="1440"/>
          </w:tcPr>
          <w:p>
            <w:r>
              <w:rPr>
                <w:sz w:val="18"/>
              </w:rPr>
              <w:t>جميع المراحل</w:t>
            </w:r>
          </w:p>
        </w:tc>
        <w:tc>
          <w:tcPr>
            <w:tcW w:type="dxa" w:w="1440"/>
          </w:tcPr>
          <w:p>
            <w:r>
              <w:rPr>
                <w:sz w:val="18"/>
              </w:rPr>
              <w:t>عدم القدرة على تقديم جدول زمني بتواريخ محددة</w:t>
            </w:r>
          </w:p>
        </w:tc>
        <w:tc>
          <w:tcPr>
            <w:tcW w:type="dxa" w:w="1440"/>
          </w:tcPr>
          <w:p>
            <w:r>
              <w:rPr>
                <w:sz w:val="18"/>
              </w:rPr>
              <w:t>تقديم جدول بنسب مئوية مع التزام بالتحويل الفوري عند التأكيد</w:t>
            </w:r>
          </w:p>
        </w:tc>
      </w:tr>
    </w:tbl>
    <w:p/>
    <w:p>
      <w:r>
        <w:t>---</w:t>
        <w:br/>
        <w:t xml:space="preserve"> ### ١٢. ملحق حمل الامتثال عبر التنفيذ (Compliance Carry-Through)</w:t>
        <w:br/>
        <w:t xml:space="preserve"> يوضح هذا الملحق كيفية تأثير متطلبات الامتثال المحددة في وثيقة المنافسة على ضوابط التنفيذ وأدوات التقارير:</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متطلب الامتثال</w:t>
            </w:r>
          </w:p>
        </w:tc>
        <w:tc>
          <w:tcPr>
            <w:tcW w:type="dxa" w:w="2880"/>
          </w:tcPr>
          <w:p>
            <w:r>
              <w:rPr>
                <w:b/>
                <w:sz w:val="18"/>
              </w:rPr>
              <w:t>الأثر على التنفيذ</w:t>
            </w:r>
          </w:p>
        </w:tc>
        <w:tc>
          <w:tcPr>
            <w:tcW w:type="dxa" w:w="2880"/>
          </w:tcPr>
          <w:p>
            <w:r>
              <w:rPr>
                <w:b/>
                <w:sz w:val="18"/>
              </w:rPr>
              <w:t>آلية الضبط في الحوكمة</w:t>
            </w:r>
          </w:p>
        </w:tc>
      </w:tr>
      <w:tr>
        <w:tc>
          <w:tcPr>
            <w:tcW w:type="dxa" w:w="2880"/>
          </w:tcPr>
          <w:p>
            <w:r>
              <w:rPr>
                <w:sz w:val="18"/>
              </w:rPr>
              <w:t>CR-1: اللغة العربية أساسية مع أولوية النص العربي [DIRECT_RFP_FACT]</w:t>
            </w:r>
          </w:p>
        </w:tc>
        <w:tc>
          <w:tcPr>
            <w:tcW w:type="dxa" w:w="2880"/>
          </w:tcPr>
          <w:p>
            <w:r>
              <w:rPr>
                <w:sz w:val="18"/>
              </w:rPr>
              <w:t>جميع المخرجات تُعد بالعربية أصالةً؛ الملخصات الإنجليزية ملحقة فقط</w:t>
            </w:r>
          </w:p>
        </w:tc>
        <w:tc>
          <w:tcPr>
            <w:tcW w:type="dxa" w:w="2880"/>
          </w:tcPr>
          <w:p>
            <w:r>
              <w:rPr>
                <w:sz w:val="18"/>
              </w:rPr>
              <w:t>حوكمة اللغة والتوثيق (القسم ١٠.٤)؛ قائمة تحقق الجودة الداخلية تشمل فحص الدقة اللغوية</w:t>
            </w:r>
          </w:p>
        </w:tc>
      </w:tr>
      <w:tr>
        <w:tc>
          <w:tcPr>
            <w:tcW w:type="dxa" w:w="2880"/>
          </w:tcPr>
          <w:p>
            <w:r>
              <w:rPr>
                <w:sz w:val="18"/>
              </w:rPr>
              <w:t>CR-6: الالتزام بلائحة تعارض المصالح [DIRECT_RFP_FACT]</w:t>
            </w:r>
          </w:p>
        </w:tc>
        <w:tc>
          <w:tcPr>
            <w:tcW w:type="dxa" w:w="2880"/>
          </w:tcPr>
          <w:p>
            <w:r>
              <w:rPr>
                <w:sz w:val="18"/>
              </w:rPr>
              <w:t>إفصاح كتابي من كل عضو فريق قبل بدء العمل؛ مراجعة ربعية</w:t>
            </w:r>
          </w:p>
        </w:tc>
        <w:tc>
          <w:tcPr>
            <w:tcW w:type="dxa" w:w="2880"/>
          </w:tcPr>
          <w:p>
            <w:r>
              <w:rPr>
                <w:sz w:val="18"/>
              </w:rPr>
              <w:t>حوكمة السرية والامتثال الأخلاقي (القسم ١٠.٣)؛ مسؤول امتثال معين</w:t>
            </w:r>
          </w:p>
        </w:tc>
      </w:tr>
      <w:tr>
        <w:tc>
          <w:tcPr>
            <w:tcW w:type="dxa" w:w="2880"/>
          </w:tcPr>
          <w:p>
            <w:r>
              <w:rPr>
                <w:sz w:val="18"/>
              </w:rPr>
              <w:t>CR-7: قواعد السلوك المهني وأخلاقيات المهنة [DIRECT_RFP_FACT]</w:t>
            </w:r>
          </w:p>
        </w:tc>
        <w:tc>
          <w:tcPr>
            <w:tcW w:type="dxa" w:w="2880"/>
          </w:tcPr>
          <w:p>
            <w:r>
              <w:rPr>
                <w:sz w:val="18"/>
              </w:rPr>
              <w:t>ميثاق سلوك مهني يوقعه جميع أعضاء الفريق؛ آلية إبلاغ سرية</w:t>
            </w:r>
          </w:p>
        </w:tc>
        <w:tc>
          <w:tcPr>
            <w:tcW w:type="dxa" w:w="2880"/>
          </w:tcPr>
          <w:p>
            <w:r>
              <w:rPr>
                <w:sz w:val="18"/>
              </w:rPr>
              <w:t>حوكمة السرية والامتثال الأخلاقي (القسم ١٠.٣)</w:t>
            </w:r>
          </w:p>
        </w:tc>
      </w:tr>
      <w:tr>
        <w:tc>
          <w:tcPr>
            <w:tcW w:type="dxa" w:w="2880"/>
          </w:tcPr>
          <w:p>
            <w:r>
              <w:rPr>
                <w:sz w:val="18"/>
              </w:rPr>
              <w:t>CR-8: السرية وعدم إفشاء المعلومات [DIRECT_RFP_FACT]</w:t>
            </w:r>
          </w:p>
        </w:tc>
        <w:tc>
          <w:tcPr>
            <w:tcW w:type="dxa" w:w="2880"/>
          </w:tcPr>
          <w:p>
            <w:r>
              <w:rPr>
                <w:sz w:val="18"/>
              </w:rPr>
              <w:t>اتفاقية سرية فردية؛ سياسة الحاجة للمعرفة؛ تصنيف المعلومات</w:t>
            </w:r>
          </w:p>
        </w:tc>
        <w:tc>
          <w:tcPr>
            <w:tcW w:type="dxa" w:w="2880"/>
          </w:tcPr>
          <w:p>
            <w:r>
              <w:rPr>
                <w:sz w:val="18"/>
              </w:rPr>
              <w:t>حوكمة السرية والامتثال الأخلاقي (القسم ١٠.٣)؛ ضوابط الوصول في مستودع المستندات</w:t>
            </w:r>
          </w:p>
        </w:tc>
      </w:tr>
      <w:tr>
        <w:tc>
          <w:tcPr>
            <w:tcW w:type="dxa" w:w="2880"/>
          </w:tcPr>
          <w:p>
            <w:r>
              <w:rPr>
                <w:sz w:val="18"/>
              </w:rPr>
              <w:t>CR-9: عدم تقديم عروض بديلة [DIRECT_RFP_FACT]</w:t>
            </w:r>
          </w:p>
        </w:tc>
        <w:tc>
          <w:tcPr>
            <w:tcW w:type="dxa" w:w="2880"/>
          </w:tcPr>
          <w:p>
            <w:r>
              <w:rPr>
                <w:sz w:val="18"/>
              </w:rPr>
              <w:t>عرض فني ومالي واحد فقط؛ أي تعديلات تتم عبر عملية طلبات التغيير الرسمية بعد الترسية</w:t>
            </w:r>
          </w:p>
        </w:tc>
        <w:tc>
          <w:tcPr>
            <w:tcW w:type="dxa" w:w="2880"/>
          </w:tcPr>
          <w:p>
            <w:r>
              <w:rPr>
                <w:sz w:val="18"/>
              </w:rPr>
              <w:t>عملية إدارة طلبات التغيير (القسم ٨)</w:t>
            </w:r>
          </w:p>
        </w:tc>
      </w:tr>
      <w:tr>
        <w:tc>
          <w:tcPr>
            <w:tcW w:type="dxa" w:w="2880"/>
          </w:tcPr>
          <w:p>
            <w:r>
              <w:rPr>
                <w:sz w:val="18"/>
              </w:rPr>
              <w:t>HR-L1-011/014: فصل العرض الفني عن المالي [DIRECT_RFP_FACT]</w:t>
            </w:r>
          </w:p>
        </w:tc>
        <w:tc>
          <w:tcPr>
            <w:tcW w:type="dxa" w:w="2880"/>
          </w:tcPr>
          <w:p>
            <w:r>
              <w:rPr>
                <w:sz w:val="18"/>
              </w:rPr>
              <w:t>جميع مخرجات التنفيذ تُصنف كفنية أو مالية؛ لا يُشار إلى التكاليف في التقارير الفنية</w:t>
            </w:r>
          </w:p>
        </w:tc>
        <w:tc>
          <w:tcPr>
            <w:tcW w:type="dxa" w:w="2880"/>
          </w:tcPr>
          <w:p>
            <w:r>
              <w:rPr>
                <w:sz w:val="18"/>
              </w:rPr>
              <w:t>هيكل التقارير (القسم ٥) يفصل بين المحتوى الفني والمالي</w:t>
            </w:r>
          </w:p>
        </w:tc>
      </w:tr>
    </w:tbl>
    <w:p/>
    <w:p>
      <w:r>
        <w:t>---</w:t>
        <w:br/>
        <w:t xml:space="preserve"> ### تصنيف الأدلة</w:t>
        <w:br/>
        <w:t xml:space="preserve"> يستند تصميم إطار الحوكمة إلى المعايير الدولية المرجعية (الفئة A — INTERNATIONAL_BENCHMARK): منهجيات التقييم المؤسسي [EXT-008]، دورات التقارير الدورية لليونسكو [EXT-003]، توصية اليونسكو بشأن أخلاقيات الذكاء الاصطناعي [EXT-002]، إطار APQC لنقل المعرفة [EXT-006]، تقييم الكفاءات القائم على الأداء [EXT-009]، إطار البنك الدولي CISF [EXT-004]، نظرية التغيير [EXT-012]، منهجية B4SDGs [EXT-013]، ونموذج فريق المقيّمين الداخليين [EXT-014]. هذه المراجع تدعم تصميم آليات الحوكمة كنظائر منهجية دولية — وليست إثباتاً لقدرة SG على التنفيذ. [evidence_gap: SG_INTERNAL_PROOF — الإثباتات الداخلية لـ Strategic Gears (مشاريع سابقة في حوكمة مشاريع مماثلة، شهادات إدارة مشاريع لأعضاء الفريق، نماذج تقارير حوكمة من مشاريع سابقة) مطلوبة من المحرك الثاني — تحديداً من إدارة المشاريع والموارد البشرية في SG. ]</w:t>
      </w:r>
    </w:p>
    <w:p>
      <w:pPr>
        <w:pStyle w:val="Heading2"/>
      </w:pPr>
      <w:r>
        <w:t>5.4 Timeline Logic</w:t>
      </w:r>
    </w:p>
    <w:p>
      <w:r>
        <w:t>## المنطق الزمني للمشروع — النسخة النهائية المُحسَّنة</w:t>
        <w:br/>
        <w:t xml:space="preserve"> ---</w:t>
        <w:br/>
        <w:t xml:space="preserve"> ### السياق الزمني والقيد الحاكم</w:t>
        <w:br/>
        <w:t xml:space="preserve"> تنص وثيقة المنافسة على أن «تنفيذ الأعمال وفق المراحل الرئيسية والمخرجات المذكورة في نطاق العمل وذلك حسب المدة المذكورة في الجدول» [DIRECT_RFP_FACT]. يُشير هذا النص إلى جدول زمني تفصيلي محدد في وثيقة المنافسة لم يُستخرج ضمن البيانات المتاحة — وهذه فجوة معلوماتية حرجة مصنفة ضمن أعلى ٥ مخاطر في سجل المخاطر (الخطر ٥). الإجراء المطلوب: تقديم استفسار رسمي قبل الموعد النهائي للاستفسارات للحصول على: (أ) المدة الإجمالية بالأشهر؛ (ب) مدة كل مرحلة؛ (ج) المعالم الرئيسية ومواعيدها. في غياب هذه المعلومة، يُصمم المنطق الزمني أدناه وفق نسب مئوية مرنة قابلة للتحويل الفوري إلى تواريخ محددة بمجرد تأكيد المدة الفعلية. ### الهيكل المرحلي الموحد — ٣ مراحل رئيسية + مسار متقاطع مستمر</w:t>
        <w:br/>
        <w:t xml:space="preserve"> يتبع المشروع هيكلاً موحداً من ثلاث مراحل رئيسية متتابعة تتوافق مباشرة مع بنود النطاق الثلاثة (SI-1, SI-2, SI-3) والمخرجات الإلزامية الثلاثة (D-1, D-2, D-3)، مع مسار متقاطع لنقل المعرفة يمتد عبر كامل دورة المشروع. هذا الهيكل يُطبَّق بشكل متسق عبر جميع أقسام العرض — المنهجية، الحوكمة، الجدول الزمني، والشرائح — دون أي تناقض في عدد المراحل أو تسمياتها أو تسلسلها. **التسمية الموحدة المُلزمة:**</w:t>
        <w:br/>
        <w:t xml:space="preserve"> - المرحلة ١ — التقييم الشامل (Assessment)</w:t>
        <w:br/>
        <w:t xml:space="preserve"> - المرحلة ٢ — تطوير البرامج (Program Development)</w:t>
        <w:br/>
        <w:t xml:space="preserve"> - المرحلة ٣ — التدريب ونقل المعرفة المكثف (Training &amp; Knowledge Transfer)</w:t>
        <w:br/>
        <w:t xml:space="preserve"> - المسار المتقاطع — نقل المعرفة المستمر (Continuous KT Stream)</w:t>
        <w:br/>
        <w:t xml:space="preserve"> #### الجدول الزمني الرئيسي — نسب مئوية مع بوابات الموافقة</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المرحلة</w:t>
            </w:r>
          </w:p>
        </w:tc>
        <w:tc>
          <w:tcPr>
            <w:tcW w:type="dxa" w:w="1080"/>
          </w:tcPr>
          <w:p>
            <w:r>
              <w:rPr>
                <w:b/>
                <w:sz w:val="18"/>
              </w:rPr>
              <w:t>النسبة من المدة الإجمالية</w:t>
            </w:r>
          </w:p>
        </w:tc>
        <w:tc>
          <w:tcPr>
            <w:tcW w:type="dxa" w:w="1080"/>
          </w:tcPr>
          <w:p>
            <w:r>
              <w:rPr>
                <w:b/>
                <w:sz w:val="18"/>
              </w:rPr>
              <w:t>بوابة الدخول</w:t>
            </w:r>
          </w:p>
        </w:tc>
        <w:tc>
          <w:tcPr>
            <w:tcW w:type="dxa" w:w="1080"/>
          </w:tcPr>
          <w:p>
            <w:r>
              <w:rPr>
                <w:b/>
                <w:sz w:val="18"/>
              </w:rPr>
              <w:t>بوابة الخروج</w:t>
            </w:r>
          </w:p>
        </w:tc>
        <w:tc>
          <w:tcPr>
            <w:tcW w:type="dxa" w:w="1080"/>
          </w:tcPr>
          <w:p>
            <w:r>
              <w:rPr>
                <w:b/>
                <w:sz w:val="18"/>
              </w:rPr>
              <w:t>الأنشطة الرئيسية</w:t>
            </w:r>
          </w:p>
        </w:tc>
        <w:tc>
          <w:tcPr>
            <w:tcW w:type="dxa" w:w="1080"/>
          </w:tcPr>
          <w:p>
            <w:r>
              <w:rPr>
                <w:b/>
                <w:sz w:val="18"/>
              </w:rPr>
              <w:t>المخرج الإلزامي</w:t>
            </w:r>
          </w:p>
        </w:tc>
        <w:tc>
          <w:tcPr>
            <w:tcW w:type="dxa" w:w="1080"/>
          </w:tcPr>
          <w:p>
            <w:r>
              <w:rPr>
                <w:b/>
                <w:sz w:val="18"/>
              </w:rPr>
              <w:t>التبعيات الحرجة من سدايا</w:t>
            </w:r>
          </w:p>
        </w:tc>
        <w:tc>
          <w:tcPr>
            <w:tcW w:type="dxa" w:w="1080"/>
          </w:tcPr>
          <w:p>
            <w:r>
              <w:rPr>
                <w:b/>
                <w:sz w:val="18"/>
              </w:rPr>
              <w:t>خطة الطوارئ عند فشل التبعية</w:t>
            </w:r>
          </w:p>
        </w:tc>
      </w:tr>
      <w:tr>
        <w:tc>
          <w:tcPr>
            <w:tcW w:type="dxa" w:w="1080"/>
          </w:tcPr>
          <w:p>
            <w:r>
              <w:rPr>
                <w:sz w:val="18"/>
              </w:rPr>
              <w:t>**المرحلة ١ — التقييم الشامل**</w:t>
            </w:r>
          </w:p>
        </w:tc>
        <w:tc>
          <w:tcPr>
            <w:tcW w:type="dxa" w:w="1080"/>
          </w:tcPr>
          <w:p>
            <w:r>
              <w:rPr>
                <w:sz w:val="18"/>
              </w:rPr>
              <w:t>٣٠-٣٥٪</w:t>
            </w:r>
          </w:p>
        </w:tc>
        <w:tc>
          <w:tcPr>
            <w:tcW w:type="dxa" w:w="1080"/>
          </w:tcPr>
          <w:p>
            <w:r>
              <w:rPr>
                <w:sz w:val="18"/>
              </w:rPr>
              <w:t>توقيع العقد + اجتماع الانطلاق</w:t>
            </w:r>
          </w:p>
        </w:tc>
        <w:tc>
          <w:tcPr>
            <w:tcW w:type="dxa" w:w="1080"/>
          </w:tcPr>
          <w:p>
            <w:r>
              <w:rPr>
                <w:sz w:val="18"/>
              </w:rPr>
              <w:t>موافقة اللجنة التوجيهية على D-1</w:t>
            </w:r>
          </w:p>
        </w:tc>
        <w:tc>
          <w:tcPr>
            <w:tcW w:type="dxa" w:w="1080"/>
          </w:tcPr>
          <w:p>
            <w:r>
              <w:rPr>
                <w:sz w:val="18"/>
              </w:rPr>
              <w:t>الانطلاق والتخطيط التفصيلي؛ جمع البيانات الثانوية؛ المقابلات المنظمة؛ تحليل الأداء وقياس النضج [EXT-007] [EXT-008]؛ المقارنة المعيارية الدولية [EXT-003]؛ تحديد الفجوات؛ صياغة التوصيات وخارطة الطريق ومؤشرات M&amp;E</w:t>
            </w:r>
          </w:p>
        </w:tc>
        <w:tc>
          <w:tcPr>
            <w:tcW w:type="dxa" w:w="1080"/>
          </w:tcPr>
          <w:p>
            <w:r>
              <w:rPr>
                <w:sz w:val="18"/>
              </w:rPr>
              <w:t>D-1</w:t>
            </w:r>
          </w:p>
        </w:tc>
        <w:tc>
          <w:tcPr>
            <w:tcW w:type="dxa" w:w="1080"/>
          </w:tcPr>
          <w:p>
            <w:r>
              <w:rPr>
                <w:sz w:val="18"/>
              </w:rPr>
              <w:t>I-1: حزمة الوثائق (الأسبوع ١)؛ I-2: قائمة أصحاب المصلحة في اليونسكو (الأسبوع ٢)</w:t>
            </w:r>
          </w:p>
        </w:tc>
        <w:tc>
          <w:tcPr>
            <w:tcW w:type="dxa" w:w="1080"/>
          </w:tcPr>
          <w:p>
            <w:r>
              <w:rPr>
                <w:sz w:val="18"/>
              </w:rPr>
              <w:t>التحول إلى تقييم قائم على الوثائق المتاحة + استبيانات مكتوبة تُيسرها سدايا + تحقق مرحلي لاحق</w:t>
            </w:r>
          </w:p>
        </w:tc>
      </w:tr>
      <w:tr>
        <w:tc>
          <w:tcPr>
            <w:tcW w:type="dxa" w:w="1080"/>
          </w:tcPr>
          <w:p>
            <w:r>
              <w:rPr>
                <w:sz w:val="18"/>
              </w:rPr>
              <w:t>**المرحلة ٢ — تطوير البرامج**</w:t>
            </w:r>
          </w:p>
        </w:tc>
        <w:tc>
          <w:tcPr>
            <w:tcW w:type="dxa" w:w="1080"/>
          </w:tcPr>
          <w:p>
            <w:r>
              <w:rPr>
                <w:sz w:val="18"/>
              </w:rPr>
              <w:t>٢٥-٣٠٪</w:t>
            </w:r>
          </w:p>
        </w:tc>
        <w:tc>
          <w:tcPr>
            <w:tcW w:type="dxa" w:w="1080"/>
          </w:tcPr>
          <w:p>
            <w:r>
              <w:rPr>
                <w:sz w:val="18"/>
              </w:rPr>
              <w:t>موافقة اللجنة التوجيهية على D-1 (بوابة الموافقة ١)</w:t>
            </w:r>
          </w:p>
        </w:tc>
        <w:tc>
          <w:tcPr>
            <w:tcW w:type="dxa" w:w="1080"/>
          </w:tcPr>
          <w:p>
            <w:r>
              <w:rPr>
                <w:sz w:val="18"/>
              </w:rPr>
              <w:t>موافقة اللجنة التوجيهية على D-2</w:t>
            </w:r>
          </w:p>
        </w:tc>
        <w:tc>
          <w:tcPr>
            <w:tcW w:type="dxa" w:w="1080"/>
          </w:tcPr>
          <w:p>
            <w:r>
              <w:rPr>
                <w:sz w:val="18"/>
              </w:rPr>
              <w:t>تصميم المبادرات وأطر العمل [EXT-004]؛ تحديد نطاق العمل والمخرجات لكل مبادرة؛ تصميم آليات التعاون الدولي؛ ربط البرامج بأهداف التنمية المستدامة [EXT-013]؛ تصميم إطار M&amp;E القائم على نظرية التغيير [EXT-012]</w:t>
            </w:r>
          </w:p>
        </w:tc>
        <w:tc>
          <w:tcPr>
            <w:tcW w:type="dxa" w:w="1080"/>
          </w:tcPr>
          <w:p>
            <w:r>
              <w:rPr>
                <w:sz w:val="18"/>
              </w:rPr>
              <w:t>D-2</w:t>
            </w:r>
          </w:p>
        </w:tc>
        <w:tc>
          <w:tcPr>
            <w:tcW w:type="dxa" w:w="1080"/>
          </w:tcPr>
          <w:p>
            <w:r>
              <w:rPr>
                <w:sz w:val="18"/>
              </w:rPr>
              <w:t>I-4: مراجعة D-1 (٧-١٠ أيام عمل)؛ مشاركة خبراء سدايا في التصميم التشاركي</w:t>
            </w:r>
          </w:p>
        </w:tc>
        <w:tc>
          <w:tcPr>
            <w:tcW w:type="dxa" w:w="1080"/>
          </w:tcPr>
          <w:p>
            <w:r>
              <w:rPr>
                <w:sz w:val="18"/>
              </w:rPr>
              <w:t>بدء الأنشطة التحضيرية (مراجعة أدبيات نماذج التعاون الدولي) بالتوازي مع مراجعة العميل لـ D-1</w:t>
            </w:r>
          </w:p>
        </w:tc>
      </w:tr>
      <w:tr>
        <w:tc>
          <w:tcPr>
            <w:tcW w:type="dxa" w:w="1080"/>
          </w:tcPr>
          <w:p>
            <w:r>
              <w:rPr>
                <w:sz w:val="18"/>
              </w:rPr>
              <w:t>**المرحلة ٣ — التدريب ونقل المعرفة المكثف**</w:t>
            </w:r>
          </w:p>
        </w:tc>
        <w:tc>
          <w:tcPr>
            <w:tcW w:type="dxa" w:w="1080"/>
          </w:tcPr>
          <w:p>
            <w:r>
              <w:rPr>
                <w:sz w:val="18"/>
              </w:rPr>
              <w:t>٢٠-٢٥٪</w:t>
            </w:r>
          </w:p>
        </w:tc>
        <w:tc>
          <w:tcPr>
            <w:tcW w:type="dxa" w:w="1080"/>
          </w:tcPr>
          <w:p>
            <w:r>
              <w:rPr>
                <w:sz w:val="18"/>
              </w:rPr>
              <w:t>موافقة اللجنة التوجيهية على D-2 (بوابة الموافقة ٢)</w:t>
            </w:r>
          </w:p>
        </w:tc>
        <w:tc>
          <w:tcPr>
            <w:tcW w:type="dxa" w:w="1080"/>
          </w:tcPr>
          <w:p>
            <w:r>
              <w:rPr>
                <w:sz w:val="18"/>
              </w:rPr>
              <w:t>موافقة اللجنة التوجيهية على D-3 + التسليم النهائي</w:t>
            </w:r>
          </w:p>
        </w:tc>
        <w:tc>
          <w:tcPr>
            <w:tcW w:type="dxa" w:w="1080"/>
          </w:tcPr>
          <w:p>
            <w:r>
              <w:rPr>
                <w:sz w:val="18"/>
              </w:rPr>
              <w:t>ورش العمل التدريبية المتخصصة؛ التدريب على رأس العمل والعمل جنباً إلى جنب [DIRECT_RFP_FACT — SI-3]؛ تأسيس فريق المقيّمين الداخليين [EXT-014]؛ تقييم الكفاءات البعدي [EXT-009]؛ تسليم المواد التدريبية والأدلة المرجعية</w:t>
            </w:r>
          </w:p>
        </w:tc>
        <w:tc>
          <w:tcPr>
            <w:tcW w:type="dxa" w:w="1080"/>
          </w:tcPr>
          <w:p>
            <w:r>
              <w:rPr>
                <w:sz w:val="18"/>
              </w:rPr>
              <w:t>D-3</w:t>
            </w:r>
          </w:p>
        </w:tc>
        <w:tc>
          <w:tcPr>
            <w:tcW w:type="dxa" w:w="1080"/>
          </w:tcPr>
          <w:p>
            <w:r>
              <w:rPr>
                <w:sz w:val="18"/>
              </w:rPr>
              <w:t>I-3: ترشيح فريق المتدربين (الأسبوع ٣)؛ I-5: مراجعة D-2 (٧-١٠ أيام عمل)</w:t>
            </w:r>
          </w:p>
        </w:tc>
        <w:tc>
          <w:tcPr>
            <w:tcW w:type="dxa" w:w="1080"/>
          </w:tcPr>
          <w:p>
            <w:r>
              <w:rPr>
                <w:sz w:val="18"/>
              </w:rPr>
              <w:t>تكثيف الجلسات في فترات أقصر + مواد تعلم ذاتي مرجعية</w:t>
            </w:r>
          </w:p>
        </w:tc>
      </w:tr>
      <w:tr>
        <w:tc>
          <w:tcPr>
            <w:tcW w:type="dxa" w:w="1080"/>
          </w:tcPr>
          <w:p>
            <w:r>
              <w:rPr>
                <w:sz w:val="18"/>
              </w:rPr>
              <w:t>**المسار المتقاطع — نقل المعرفة المستمر**</w:t>
            </w:r>
          </w:p>
        </w:tc>
        <w:tc>
          <w:tcPr>
            <w:tcW w:type="dxa" w:w="1080"/>
          </w:tcPr>
          <w:p>
            <w:r>
              <w:rPr>
                <w:sz w:val="18"/>
              </w:rPr>
              <w:t>١٠٪ من الجهد الإجمالي موزعة عبر المراحل الثلاث</w:t>
            </w:r>
          </w:p>
        </w:tc>
        <w:tc>
          <w:tcPr>
            <w:tcW w:type="dxa" w:w="1080"/>
          </w:tcPr>
          <w:p>
            <w:r>
              <w:rPr>
                <w:sz w:val="18"/>
              </w:rPr>
              <w:t>يبدأ مع المرحلة ١</w:t>
            </w:r>
          </w:p>
        </w:tc>
        <w:tc>
          <w:tcPr>
            <w:tcW w:type="dxa" w:w="1080"/>
          </w:tcPr>
          <w:p>
            <w:r>
              <w:rPr>
                <w:sz w:val="18"/>
              </w:rPr>
              <w:t>ينتهي مع المرحلة ٣</w:t>
            </w:r>
          </w:p>
        </w:tc>
        <w:tc>
          <w:tcPr>
            <w:tcW w:type="dxa" w:w="1080"/>
          </w:tcPr>
          <w:p>
            <w:r>
              <w:rPr>
                <w:sz w:val="18"/>
              </w:rPr>
              <w:t>جلسات توعوية في المرحلة ١؛ مشاركة تصميمية في المرحلة ٢؛ تدريب رسمي مكثف في المرحلة ٣ [EXT-006]</w:t>
            </w:r>
          </w:p>
        </w:tc>
        <w:tc>
          <w:tcPr>
            <w:tcW w:type="dxa" w:w="1080"/>
          </w:tcPr>
          <w:p>
            <w:r>
              <w:rPr>
                <w:sz w:val="18"/>
              </w:rPr>
              <w:t>مدمج في D-3</w:t>
            </w:r>
          </w:p>
        </w:tc>
        <w:tc>
          <w:tcPr>
            <w:tcW w:type="dxa" w:w="1080"/>
          </w:tcPr>
          <w:p>
            <w:r>
              <w:rPr>
                <w:sz w:val="18"/>
              </w:rPr>
              <w:t>مشاركة فريق سدايا المستمرة</w:t>
            </w:r>
          </w:p>
        </w:tc>
        <w:tc>
          <w:tcPr>
            <w:tcW w:type="dxa" w:w="1080"/>
          </w:tcPr>
          <w:p>
            <w:r>
              <w:rPr>
                <w:sz w:val="18"/>
              </w:rPr>
              <w:t>تعويض الجلسات الفائتة بمواد مسجلة وأدلة مرجعية</w:t>
            </w:r>
          </w:p>
        </w:tc>
      </w:tr>
    </w:tbl>
    <w:p/>
    <w:p>
      <w:r>
        <w:t>**ملاحظة:** النسب المئوية أعلاه مجموعها ٨٥-١٠٠٪ من المدة الإجمالية. النسبة المتبقية (٠-١٥٪) تُخصص لفترات مراجعة العميل عند بوابات الموافقة (٧-١٠ أيام عمل لكل بوابة) ولاجتماع الانطلاق والتسليم النهائي. ### سيناريو تخطيطي — لأغراض التخطيط الداخلي فقط</w:t>
        <w:br/>
        <w:t xml:space="preserve"> بما أن المدة الإجمالية غير مؤكدة، يُقدم السيناريو التالي لتوضيح كيفية تحويل النسب المئوية إلى أسابيع عند تأكيد المدة. هذا السيناريو لأغراض التخطيط الداخلي فقط ويُعاد معايرته فور تأكيد المدة الفعلية من سدايا:</w:t>
        <w:br/>
        <w:t xml:space="preserve"> **سيناريو ٢٤ أسبوعاً (٦ أشهر):**</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المرحلة</w:t>
            </w:r>
          </w:p>
        </w:tc>
        <w:tc>
          <w:tcPr>
            <w:tcW w:type="dxa" w:w="2160"/>
          </w:tcPr>
          <w:p>
            <w:r>
              <w:rPr>
                <w:b/>
                <w:sz w:val="18"/>
              </w:rPr>
              <w:t>المدة التقديرية</w:t>
            </w:r>
          </w:p>
        </w:tc>
        <w:tc>
          <w:tcPr>
            <w:tcW w:type="dxa" w:w="2160"/>
          </w:tcPr>
          <w:p>
            <w:r>
              <w:rPr>
                <w:b/>
                <w:sz w:val="18"/>
              </w:rPr>
              <w:t>الأسابيع</w:t>
            </w:r>
          </w:p>
        </w:tc>
        <w:tc>
          <w:tcPr>
            <w:tcW w:type="dxa" w:w="2160"/>
          </w:tcPr>
          <w:p>
            <w:r>
              <w:rPr>
                <w:b/>
                <w:sz w:val="18"/>
              </w:rPr>
              <w:t>ملاحظات</w:t>
            </w:r>
          </w:p>
        </w:tc>
      </w:tr>
      <w:tr>
        <w:tc>
          <w:tcPr>
            <w:tcW w:type="dxa" w:w="2160"/>
          </w:tcPr>
          <w:p>
            <w:r>
              <w:rPr>
                <w:sz w:val="18"/>
              </w:rPr>
              <w:t>الانطلاق والتخطيط</w:t>
            </w:r>
          </w:p>
        </w:tc>
        <w:tc>
          <w:tcPr>
            <w:tcW w:type="dxa" w:w="2160"/>
          </w:tcPr>
          <w:p>
            <w:r>
              <w:rPr>
                <w:sz w:val="18"/>
              </w:rPr>
              <w:t>الأسبوع ١</w:t>
            </w:r>
          </w:p>
        </w:tc>
        <w:tc>
          <w:tcPr>
            <w:tcW w:type="dxa" w:w="2160"/>
          </w:tcPr>
          <w:p>
            <w:r>
              <w:rPr>
                <w:sz w:val="18"/>
              </w:rPr>
              <w:t>١</w:t>
            </w:r>
          </w:p>
        </w:tc>
        <w:tc>
          <w:tcPr>
            <w:tcW w:type="dxa" w:w="2160"/>
          </w:tcPr>
          <w:p>
            <w:r>
              <w:rPr>
                <w:sz w:val="18"/>
              </w:rPr>
              <w:t>اجتماع الانطلاق، اعتماد خطة العمل، تأكيد التبعيات</w:t>
            </w:r>
          </w:p>
        </w:tc>
      </w:tr>
      <w:tr>
        <w:tc>
          <w:tcPr>
            <w:tcW w:type="dxa" w:w="2160"/>
          </w:tcPr>
          <w:p>
            <w:r>
              <w:rPr>
                <w:sz w:val="18"/>
              </w:rPr>
              <w:t>المرحلة ١ — التقييم</w:t>
            </w:r>
          </w:p>
        </w:tc>
        <w:tc>
          <w:tcPr>
            <w:tcW w:type="dxa" w:w="2160"/>
          </w:tcPr>
          <w:p>
            <w:r>
              <w:rPr>
                <w:sz w:val="18"/>
              </w:rPr>
              <w:t>الأسابيع ٢-٨</w:t>
            </w:r>
          </w:p>
        </w:tc>
        <w:tc>
          <w:tcPr>
            <w:tcW w:type="dxa" w:w="2160"/>
          </w:tcPr>
          <w:p>
            <w:r>
              <w:rPr>
                <w:sz w:val="18"/>
              </w:rPr>
              <w:t>٧</w:t>
            </w:r>
          </w:p>
        </w:tc>
        <w:tc>
          <w:tcPr>
            <w:tcW w:type="dxa" w:w="2160"/>
          </w:tcPr>
          <w:p>
            <w:r>
              <w:rPr>
                <w:sz w:val="18"/>
              </w:rPr>
              <w:t>جمع البيانات (أسبوعان)، المقابلات والتحليل (٣ أسابيع)، التوصيات وخارطة الطريق (أسبوعان)</w:t>
            </w:r>
          </w:p>
        </w:tc>
      </w:tr>
      <w:tr>
        <w:tc>
          <w:tcPr>
            <w:tcW w:type="dxa" w:w="2160"/>
          </w:tcPr>
          <w:p>
            <w:r>
              <w:rPr>
                <w:sz w:val="18"/>
              </w:rPr>
              <w:t>بوابة الموافقة ١</w:t>
            </w:r>
          </w:p>
        </w:tc>
        <w:tc>
          <w:tcPr>
            <w:tcW w:type="dxa" w:w="2160"/>
          </w:tcPr>
          <w:p>
            <w:r>
              <w:rPr>
                <w:sz w:val="18"/>
              </w:rPr>
              <w:t>الأسابيع ٩-١٠</w:t>
            </w:r>
          </w:p>
        </w:tc>
        <w:tc>
          <w:tcPr>
            <w:tcW w:type="dxa" w:w="2160"/>
          </w:tcPr>
          <w:p>
            <w:r>
              <w:rPr>
                <w:sz w:val="18"/>
              </w:rPr>
              <w:t>٢</w:t>
            </w:r>
          </w:p>
        </w:tc>
        <w:tc>
          <w:tcPr>
            <w:tcW w:type="dxa" w:w="2160"/>
          </w:tcPr>
          <w:p>
            <w:r>
              <w:rPr>
                <w:sz w:val="18"/>
              </w:rPr>
              <w:t>مراجعة العميل + جلسة عرض تفاعلية + تعديلات + توقيع</w:t>
            </w:r>
          </w:p>
        </w:tc>
      </w:tr>
      <w:tr>
        <w:tc>
          <w:tcPr>
            <w:tcW w:type="dxa" w:w="2160"/>
          </w:tcPr>
          <w:p>
            <w:r>
              <w:rPr>
                <w:sz w:val="18"/>
              </w:rPr>
              <w:t>المرحلة ٢ — تطوير البرامج</w:t>
            </w:r>
          </w:p>
        </w:tc>
        <w:tc>
          <w:tcPr>
            <w:tcW w:type="dxa" w:w="2160"/>
          </w:tcPr>
          <w:p>
            <w:r>
              <w:rPr>
                <w:sz w:val="18"/>
              </w:rPr>
              <w:t>الأسابيع ١١-١٦</w:t>
            </w:r>
          </w:p>
        </w:tc>
        <w:tc>
          <w:tcPr>
            <w:tcW w:type="dxa" w:w="2160"/>
          </w:tcPr>
          <w:p>
            <w:r>
              <w:rPr>
                <w:sz w:val="18"/>
              </w:rPr>
              <w:t>٦</w:t>
            </w:r>
          </w:p>
        </w:tc>
        <w:tc>
          <w:tcPr>
            <w:tcW w:type="dxa" w:w="2160"/>
          </w:tcPr>
          <w:p>
            <w:r>
              <w:rPr>
                <w:sz w:val="18"/>
              </w:rPr>
              <w:t>تصميم المبادرات (٣ أسابيع)، آليات التعاون وربط SDGs (٢ أسبوعان)، إطار M&amp;E (أسبوع)</w:t>
            </w:r>
          </w:p>
        </w:tc>
      </w:tr>
      <w:tr>
        <w:tc>
          <w:tcPr>
            <w:tcW w:type="dxa" w:w="2160"/>
          </w:tcPr>
          <w:p>
            <w:r>
              <w:rPr>
                <w:sz w:val="18"/>
              </w:rPr>
              <w:t>بوابة الموافقة ٢</w:t>
            </w:r>
          </w:p>
        </w:tc>
        <w:tc>
          <w:tcPr>
            <w:tcW w:type="dxa" w:w="2160"/>
          </w:tcPr>
          <w:p>
            <w:r>
              <w:rPr>
                <w:sz w:val="18"/>
              </w:rPr>
              <w:t>الأسابيع ١٧-١٨</w:t>
            </w:r>
          </w:p>
        </w:tc>
        <w:tc>
          <w:tcPr>
            <w:tcW w:type="dxa" w:w="2160"/>
          </w:tcPr>
          <w:p>
            <w:r>
              <w:rPr>
                <w:sz w:val="18"/>
              </w:rPr>
              <w:t>٢</w:t>
            </w:r>
          </w:p>
        </w:tc>
        <w:tc>
          <w:tcPr>
            <w:tcW w:type="dxa" w:w="2160"/>
          </w:tcPr>
          <w:p>
            <w:r>
              <w:rPr>
                <w:sz w:val="18"/>
              </w:rPr>
              <w:t>مراجعة العميل + جلسة عرض تفاعلية + تعديلات + توقيع</w:t>
            </w:r>
          </w:p>
        </w:tc>
      </w:tr>
      <w:tr>
        <w:tc>
          <w:tcPr>
            <w:tcW w:type="dxa" w:w="2160"/>
          </w:tcPr>
          <w:p>
            <w:r>
              <w:rPr>
                <w:sz w:val="18"/>
              </w:rPr>
              <w:t>المرحلة ٣ — التدريب ونقل المعرفة</w:t>
            </w:r>
          </w:p>
        </w:tc>
        <w:tc>
          <w:tcPr>
            <w:tcW w:type="dxa" w:w="2160"/>
          </w:tcPr>
          <w:p>
            <w:r>
              <w:rPr>
                <w:sz w:val="18"/>
              </w:rPr>
              <w:t>الأسابيع ١٩-٢٣</w:t>
            </w:r>
          </w:p>
        </w:tc>
        <w:tc>
          <w:tcPr>
            <w:tcW w:type="dxa" w:w="2160"/>
          </w:tcPr>
          <w:p>
            <w:r>
              <w:rPr>
                <w:sz w:val="18"/>
              </w:rPr>
              <w:t>٥</w:t>
            </w:r>
          </w:p>
        </w:tc>
        <w:tc>
          <w:tcPr>
            <w:tcW w:type="dxa" w:w="2160"/>
          </w:tcPr>
          <w:p>
            <w:r>
              <w:rPr>
                <w:sz w:val="18"/>
              </w:rPr>
              <w:t>ورش العمل (٢ أسبوعان)، التدريب على رأس العمل (أسبوعان)، التقييم البعدي والتوثيق (أسبوع)</w:t>
            </w:r>
          </w:p>
        </w:tc>
      </w:tr>
      <w:tr>
        <w:tc>
          <w:tcPr>
            <w:tcW w:type="dxa" w:w="2160"/>
          </w:tcPr>
          <w:p>
            <w:r>
              <w:rPr>
                <w:sz w:val="18"/>
              </w:rPr>
              <w:t>بوابة الموافقة ٣ + التسليم النهائي</w:t>
            </w:r>
          </w:p>
        </w:tc>
        <w:tc>
          <w:tcPr>
            <w:tcW w:type="dxa" w:w="2160"/>
          </w:tcPr>
          <w:p>
            <w:r>
              <w:rPr>
                <w:sz w:val="18"/>
              </w:rPr>
              <w:t>الأسبوع ٢٤</w:t>
            </w:r>
          </w:p>
        </w:tc>
        <w:tc>
          <w:tcPr>
            <w:tcW w:type="dxa" w:w="2160"/>
          </w:tcPr>
          <w:p>
            <w:r>
              <w:rPr>
                <w:sz w:val="18"/>
              </w:rPr>
              <w:t>١</w:t>
            </w:r>
          </w:p>
        </w:tc>
        <w:tc>
          <w:tcPr>
            <w:tcW w:type="dxa" w:w="2160"/>
          </w:tcPr>
          <w:p>
            <w:r>
              <w:rPr>
                <w:sz w:val="18"/>
              </w:rPr>
              <w:t>مراجعة نهائية + توقيع + تسليم</w:t>
            </w:r>
          </w:p>
        </w:tc>
      </w:tr>
    </w:tbl>
    <w:p/>
    <w:p>
      <w:r>
        <w:t>**سيناريو ١٦ أسبوعاً (٤ أشهر) — في حال كانت المدة أقصر:**</w:t>
        <w:br/>
        <w:t xml:space="preserve"> - تُضغط المرحلة ١ إلى ٥ أسابيع مع تقليص عدد الدول المقارنة من ٥-٨ إلى ٣-٤</w:t>
        <w:br/>
        <w:t xml:space="preserve"> - تُضغط المرحلة ٢ إلى ٤ أسابيع مع تكثيف جلسات التصميم التشاركي</w:t>
        <w:br/>
        <w:t xml:space="preserve"> - تُضغط المرحلة ٣ إلى ٣ أسابيع مع تكثيف ورش العمل (يومان كاملان بدلاً من نصف يوم أسبوعياً)</w:t>
        <w:br/>
        <w:t xml:space="preserve"> - تُقلص فترات مراجعة العميل إلى ٥ أيام عمل لكل بوابة</w:t>
        <w:br/>
        <w:t xml:space="preserve"> - يتطلب هذا السيناريو تكثيف الموارد المتزامنة بنسبة ٣٠-٤٠٪</w:t>
        <w:br/>
        <w:t xml:space="preserve"> ### التبعيات والمسار الحرج</w:t>
        <w:br/>
        <w:t xml:space="preserve"> **المسار الحرج:** الانطلاق → جمع البيانات وتحليلها → المقارنة المعيارية → التوصيات وخارطة الطريق → [بوابة الموافقة ١ — مراجعة العميل ٧-١٠ أيام عمل] → تصميم المبادرات → آليات التعاون → إطار M&amp;E → [بوابة الموافقة ٢ — مراجعة العميل ٧-١٠ أيام عمل] → التدريب المكثف → التقييم البعدي → [بوابة الموافقة ٣ — التسليم النهائي]. **التبعية الأكثر حساسية:** الانتقال من المرحلة الأولى إلى الثانية. تأخر الموافقة على نتائج التقييم (D-1) يؤخر بدء تصميم البرامج (D-2) بشكل مباشر لأن نتائج التقييم هي قاعدة الأدلة التي تُبنى عليها المبادرات. التخفيف: بدء الأنشطة التحضيرية للمرحلة الثانية (مراجعة أدبيات نماذج التعاون الدولي، تحليل أطر اليونسكو القائمة [EXT-002]) بالتوازي مع مراجعة العميل لمخرج D-1، مع تخصيص ٧-١٠ أيام عمل لمراجعة العميل ضمن الجدول الزمني. **التبعية الثانية:** توفر أصحاب المصلحة في اليونسكو للمقابلات المنظمة خلال المرحلة الأولى. خطة الطوارئ المفصلة: (أ) التحول إلى تقييم قائم على الوثائق المتاحة مع توثيق الفجوات؛ (ب) تصميم استبيانات مكتوبة تُيسرها سدايا كبديل للمقابلات المباشرة؛ (ج) إجراء تحقق مرحلي (phased validation) بمجرد توفر الوصول المباشر — بحيث تُحدَّث النتائج دون إعادة التقييم من الصفر. **التبعية الثالثة:** ترشيح فريق المتدربين من سدايا (I-3). يجب أن يتم الترشيح في الأسبوع الثالث بعد الانطلاق لإتاحة إجراء التقييم القبلي للكفاءات [EXT-009] قبل بدء المسار المتقاطع لنقل المعرفة. تأخر الترشيح يؤثر على جودة التقييم القبلي-البعدي ويُضعف القدرة على قياس أثر التدريب. ### تداعيات الموارد</w:t>
        <w:br/>
        <w:t xml:space="preserve"> المرحلة الأولى تتطلب أعلى كثافة في الخبرة التحليلية والموضوعية (تقييم النضج، المقارنة المعيارية الدولية، تحليل أدوات اليونسكو). المرحلة الثانية تتطلب خبرة في تصميم البرامج والتعاون الدولي وربط أهداف التنمية المستدامة. المرحلة الثالثة تتطلب مهارات تدريبية وتيسيرية وتصميم مواد تعليمية. يُصمم تشكيل الفريق ليعكس هذا التدرج: نواة ثابتة (مدير المشروع من SG، مدير المشاركة من SG) تضمن الاستمرارية المعرفية عبر المراحل، وخبراء متخصصون يُكثَّف حضورهم حسب متطلبات كل مرحلة. عند تأكيد المدة الإجمالية من سدايا، تُحوَّل النسب المئوية فوراً إلى تواريخ محددة مع تحديد المعالم الرئيسية وبوابات الموافقة على التقويم، ويُعاد تقدير الموارد المطلوبة بناءً على المدة الفعلية المتاحة.</w:t>
      </w:r>
    </w:p>
    <w:p>
      <w:pPr>
        <w:pStyle w:val="Heading1"/>
      </w:pPr>
      <w:r>
        <w:t>6. Slide-by-Slide Blueprint</w:t>
      </w:r>
    </w:p>
    <w:p>
      <w:pPr>
        <w:pStyle w:val="Heading2"/>
      </w:pPr>
      <w:r>
        <w:t>Slide 1: الخدمات الاحترافية في أبحاث وأخلاقيات الذكاء الاصطناعي مع اليونسكو</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الغلاف</w:t>
            </w:r>
          </w:p>
        </w:tc>
      </w:tr>
      <w:tr>
        <w:tc>
          <w:tcPr>
            <w:tcW w:type="dxa" w:w="2160"/>
          </w:tcPr>
          <w:p>
            <w:r>
              <w:t>Layout</w:t>
            </w:r>
          </w:p>
        </w:tc>
        <w:tc>
          <w:tcPr>
            <w:tcW w:type="dxa" w:w="7200"/>
          </w:tcPr>
          <w:p>
            <w:r>
              <w:t>غلاف رسمي — شعار سدايا + شعار ستراتيجيك جيرز + عنوان المنافسة</w:t>
            </w:r>
          </w:p>
        </w:tc>
      </w:tr>
      <w:tr>
        <w:tc>
          <w:tcPr>
            <w:tcW w:type="dxa" w:w="2160"/>
          </w:tcPr>
          <w:p>
            <w:r>
              <w:t>Purpose</w:t>
            </w:r>
          </w:p>
        </w:tc>
        <w:tc>
          <w:tcPr>
            <w:tcW w:type="dxa" w:w="7200"/>
          </w:tcPr>
          <w:p>
            <w:r>
              <w:t>تأسيس الهوية البصرية والمصداقية المؤسسية من اللحظة الأولى.</w:t>
            </w:r>
          </w:p>
        </w:tc>
      </w:tr>
      <w:tr>
        <w:tc>
          <w:tcPr>
            <w:tcW w:type="dxa" w:w="2160"/>
          </w:tcPr>
          <w:p>
            <w:r>
              <w:t>Key Message</w:t>
            </w:r>
          </w:p>
        </w:tc>
        <w:tc>
          <w:tcPr>
            <w:tcW w:type="dxa" w:w="7200"/>
          </w:tcPr>
          <w:p>
            <w:r>
              <w:t>ستراتيجيك جيرز شريك استشاري سعودي متخصص يقدم عرضه الفني لسدايا لتعزيز شراكتها الاستراتيجية مع اليونسكو.</w:t>
            </w:r>
          </w:p>
        </w:tc>
      </w:tr>
      <w:tr>
        <w:tc>
          <w:tcPr>
            <w:tcW w:type="dxa" w:w="2160"/>
          </w:tcPr>
          <w:p>
            <w:r>
              <w:t>Bullet Logic</w:t>
            </w:r>
          </w:p>
        </w:tc>
        <w:tc>
          <w:tcPr>
            <w:tcW w:type="dxa" w:w="7200"/>
          </w:tcPr>
          <w:p>
            <w:r>
              <w:t>اسم المنافسة الكامل باللغة العربية وفقاً لكراسة الشروط [CR-1]</w:t>
              <w:br/>
              <w:t>اسم الجهة المالكة: الهيئة السعودية للبيانات والذكاء الاصطناعي (سدايا)</w:t>
              <w:br/>
              <w:t>اسم مقدم العرض: ستراتيجيك جيرز — شركة استشارية سعودية المقر والتشغيل</w:t>
              <w:br/>
              <w:t>تاريخ التقديم: 1447/11/11 هـ [HR-L1-012]</w:t>
              <w:br/>
              <w:t>إشارة إلى السرية وفقاً لمتطلب CR-8 [HR-L1-008]</w:t>
            </w:r>
          </w:p>
        </w:tc>
      </w:tr>
      <w:tr>
        <w:tc>
          <w:tcPr>
            <w:tcW w:type="dxa" w:w="2160"/>
          </w:tcPr>
          <w:p>
            <w:r>
              <w:t>Proof Points</w:t>
            </w:r>
          </w:p>
        </w:tc>
        <w:tc>
          <w:tcPr>
            <w:tcW w:type="dxa" w:w="7200"/>
          </w:tcPr>
          <w:p>
            <w:r>
              <w:t>CR-1, HR-L1-008, HR-L1-012</w:t>
            </w:r>
          </w:p>
        </w:tc>
      </w:tr>
      <w:tr>
        <w:tc>
          <w:tcPr>
            <w:tcW w:type="dxa" w:w="2160"/>
          </w:tcPr>
          <w:p>
            <w:r>
              <w:t>Visual</w:t>
            </w:r>
          </w:p>
        </w:tc>
        <w:tc>
          <w:tcPr>
            <w:tcW w:type="dxa" w:w="7200"/>
          </w:tcPr>
          <w:p>
            <w:r>
              <w:t>تصميم احترافي بألوان سدايا الرسمية مع شعاري الجهتين. خلفية نظيفة بدون صور. خط عربي واضح.</w:t>
            </w:r>
          </w:p>
        </w:tc>
      </w:tr>
      <w:tr>
        <w:tc>
          <w:tcPr>
            <w:tcW w:type="dxa" w:w="2160"/>
          </w:tcPr>
          <w:p>
            <w:r>
              <w:t>Must-Have Evidence</w:t>
            </w:r>
          </w:p>
        </w:tc>
        <w:tc>
          <w:tcPr>
            <w:tcW w:type="dxa" w:w="7200"/>
          </w:tcPr>
          <w:p>
            <w:r>
              <w:t>CR-1</w:t>
            </w:r>
          </w:p>
        </w:tc>
      </w:tr>
      <w:tr>
        <w:tc>
          <w:tcPr>
            <w:tcW w:type="dxa" w:w="2160"/>
          </w:tcPr>
          <w:p>
            <w:r>
              <w:t>Forbidden</w:t>
            </w:r>
          </w:p>
        </w:tc>
        <w:tc>
          <w:tcPr>
            <w:tcW w:type="dxa" w:w="7200"/>
          </w:tcPr>
          <w:p>
            <w:r>
              <w:t>أي محتوى مالي أو إشارة للتسعير, شعارات جهات أخرى غير سدايا وستراتيجيك جيرز, ادعاءات تسويقية عامة</w:t>
            </w:r>
          </w:p>
        </w:tc>
      </w:tr>
    </w:tbl>
    <w:p/>
    <w:p>
      <w:pPr>
        <w:pStyle w:val="Heading2"/>
      </w:pPr>
      <w:r>
        <w:t>Slide 2: ملخص تنفيذي: تمكين سدايا من قيادة أخلاقيات الذكاء الاصطناعي دولياً</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الملخص التنفيذي</w:t>
            </w:r>
          </w:p>
        </w:tc>
      </w:tr>
      <w:tr>
        <w:tc>
          <w:tcPr>
            <w:tcW w:type="dxa" w:w="2160"/>
          </w:tcPr>
          <w:p>
            <w:r>
              <w:t>Layout</w:t>
            </w:r>
          </w:p>
        </w:tc>
        <w:tc>
          <w:tcPr>
            <w:tcW w:type="dxa" w:w="7200"/>
          </w:tcPr>
          <w:p>
            <w:r>
              <w:t>نص مُهيكل — ثلاث فقرات رئيسية مع أيقونات جانبية</w:t>
            </w:r>
          </w:p>
        </w:tc>
      </w:tr>
      <w:tr>
        <w:tc>
          <w:tcPr>
            <w:tcW w:type="dxa" w:w="2160"/>
          </w:tcPr>
          <w:p>
            <w:r>
              <w:t>Purpose</w:t>
            </w:r>
          </w:p>
        </w:tc>
        <w:tc>
          <w:tcPr>
            <w:tcW w:type="dxa" w:w="7200"/>
          </w:tcPr>
          <w:p>
            <w:r>
              <w:t>تقديم رؤية شاملة ومكثفة للعرض تُمكّن صانع القرار من فهم القيمة المقترحة في دقيقتين.</w:t>
            </w:r>
          </w:p>
        </w:tc>
      </w:tr>
      <w:tr>
        <w:tc>
          <w:tcPr>
            <w:tcW w:type="dxa" w:w="2160"/>
          </w:tcPr>
          <w:p>
            <w:r>
              <w:t>Key Message</w:t>
            </w:r>
          </w:p>
        </w:tc>
        <w:tc>
          <w:tcPr>
            <w:tcW w:type="dxa" w:w="7200"/>
          </w:tcPr>
          <w:p>
            <w:r>
              <w:t>نقدم منهجية رباعية المراحل تُنتج تقييماً شاملاً وأُطر تعاون عملية وقدرات مؤسسية مستدامة تُعزز موقع المملكة في منظومة اليونسكو.</w:t>
            </w:r>
          </w:p>
        </w:tc>
      </w:tr>
      <w:tr>
        <w:tc>
          <w:tcPr>
            <w:tcW w:type="dxa" w:w="2160"/>
          </w:tcPr>
          <w:p>
            <w:r>
              <w:t>Bullet Logic</w:t>
            </w:r>
          </w:p>
        </w:tc>
        <w:tc>
          <w:tcPr>
            <w:tcW w:type="dxa" w:w="7200"/>
          </w:tcPr>
          <w:p>
            <w:r>
              <w:t>الفرصة الاستراتيجية: دورات التقارير الدورية لليونسكو تُحدد المعايير المرجعية الآن — والمملكة تحتاج تقييماً منهجياً لتعزيز ثقلها [EXT-003]</w:t>
              <w:br/>
              <w:t>المنهجية: أربع مراحل متسلسلة (تقييم ← تصميم ← نقل معرفة ← تكامل) مبنية على أُطر دولية مُحكّمة [EXT-007] [EXT-008] [EXT-004]</w:t>
              <w:br/>
              <w:t>المخرجات الثلاثة: D-1 تقييم شامل بأبعاد ثمانية، D-2 مبادرات وأُطر تعاون مربوطة بأهداف التنمية المستدامة، D-3 فريق وطني مؤهل ومُقاس الكفاءات [EXT-006]</w:t>
              <w:br/>
              <w:t>الميزة التنافسية: خبرة سابقة مع سدايا واليونسكو في المجال ذاته [PRJ-001]، إنتاج عربي أصيل، تعبئة سريعة</w:t>
            </w:r>
          </w:p>
        </w:tc>
      </w:tr>
      <w:tr>
        <w:tc>
          <w:tcPr>
            <w:tcW w:type="dxa" w:w="2160"/>
          </w:tcPr>
          <w:p>
            <w:r>
              <w:t>Proof Points</w:t>
            </w:r>
          </w:p>
        </w:tc>
        <w:tc>
          <w:tcPr>
            <w:tcW w:type="dxa" w:w="7200"/>
          </w:tcPr>
          <w:p>
            <w:r>
              <w:t>EXT-003, EXT-007, EXT-008, EXT-004, EXT-006, PRJ-001</w:t>
            </w:r>
          </w:p>
        </w:tc>
      </w:tr>
      <w:tr>
        <w:tc>
          <w:tcPr>
            <w:tcW w:type="dxa" w:w="2160"/>
          </w:tcPr>
          <w:p>
            <w:r>
              <w:t>Visual</w:t>
            </w:r>
          </w:p>
        </w:tc>
        <w:tc>
          <w:tcPr>
            <w:tcW w:type="dxa" w:w="7200"/>
          </w:tcPr>
          <w:p>
            <w:r>
              <w:t>تخطيط ثلاثي الأعمدة يعكس المخرجات الثلاثة (D-1, D-2, D-3) مع أيقونات مميزة لكل مخرج. شريط زمني مُبسّط في الأسفل.</w:t>
            </w:r>
          </w:p>
        </w:tc>
      </w:tr>
      <w:tr>
        <w:tc>
          <w:tcPr>
            <w:tcW w:type="dxa" w:w="2160"/>
          </w:tcPr>
          <w:p>
            <w:r>
              <w:t>Must-Have Evidence</w:t>
            </w:r>
          </w:p>
        </w:tc>
        <w:tc>
          <w:tcPr>
            <w:tcW w:type="dxa" w:w="7200"/>
          </w:tcPr>
          <w:p>
            <w:r>
              <w:t>EXT-003, PRJ-001</w:t>
            </w:r>
          </w:p>
        </w:tc>
      </w:tr>
      <w:tr>
        <w:tc>
          <w:tcPr>
            <w:tcW w:type="dxa" w:w="2160"/>
          </w:tcPr>
          <w:p>
            <w:r>
              <w:t>Forbidden</w:t>
            </w:r>
          </w:p>
        </w:tc>
        <w:tc>
          <w:tcPr>
            <w:tcW w:type="dxa" w:w="7200"/>
          </w:tcPr>
          <w:p>
            <w:r>
              <w:t>تفاصيل منهجية مُعمّقة — تُترك للأقسام اللاحقة, ادعاءات غير مدعومة بمراجع, إشارات مالية</w:t>
            </w:r>
          </w:p>
        </w:tc>
      </w:tr>
    </w:tbl>
    <w:p/>
    <w:p>
      <w:pPr>
        <w:pStyle w:val="Heading2"/>
      </w:pPr>
      <w:r>
        <w:t>Slide 3: مصفوفة تغطية نطاق العمل: كل متطلب مربوط بمخرج</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الملخص التنفيذي</w:t>
            </w:r>
          </w:p>
        </w:tc>
      </w:tr>
      <w:tr>
        <w:tc>
          <w:tcPr>
            <w:tcW w:type="dxa" w:w="2160"/>
          </w:tcPr>
          <w:p>
            <w:r>
              <w:t>Layout</w:t>
            </w:r>
          </w:p>
        </w:tc>
        <w:tc>
          <w:tcPr>
            <w:tcW w:type="dxa" w:w="7200"/>
          </w:tcPr>
          <w:p>
            <w:r>
              <w:t>جدول ملخص — مصفوفة المخرجات مقابل المتطلبات</w:t>
            </w:r>
          </w:p>
        </w:tc>
      </w:tr>
      <w:tr>
        <w:tc>
          <w:tcPr>
            <w:tcW w:type="dxa" w:w="2160"/>
          </w:tcPr>
          <w:p>
            <w:r>
              <w:t>Purpose</w:t>
            </w:r>
          </w:p>
        </w:tc>
        <w:tc>
          <w:tcPr>
            <w:tcW w:type="dxa" w:w="7200"/>
          </w:tcPr>
          <w:p>
            <w:r>
              <w:t>إثبات التغطية الكاملة لنطاق العمل عبر مصفوفة تتبع واضحة تربط كل متطلب بمخرج محدد.</w:t>
            </w:r>
          </w:p>
        </w:tc>
      </w:tr>
      <w:tr>
        <w:tc>
          <w:tcPr>
            <w:tcW w:type="dxa" w:w="2160"/>
          </w:tcPr>
          <w:p>
            <w:r>
              <w:t>Key Message</w:t>
            </w:r>
          </w:p>
        </w:tc>
        <w:tc>
          <w:tcPr>
            <w:tcW w:type="dxa" w:w="7200"/>
          </w:tcPr>
          <w:p>
            <w:r>
              <w:t>كل بند من بنود نطاق العمل الثلاثة (SI-1, SI-2, SI-3) مُغطى بمخرج إلزامي محدد ومنهجية واضحة ومؤشرات قياس.</w:t>
            </w:r>
          </w:p>
        </w:tc>
      </w:tr>
      <w:tr>
        <w:tc>
          <w:tcPr>
            <w:tcW w:type="dxa" w:w="2160"/>
          </w:tcPr>
          <w:p>
            <w:r>
              <w:t>Bullet Logic</w:t>
            </w:r>
          </w:p>
        </w:tc>
        <w:tc>
          <w:tcPr>
            <w:tcW w:type="dxa" w:w="7200"/>
          </w:tcPr>
          <w:p>
            <w:r>
              <w:t>SI-1 → D-1: تقييم شامل يغطي ستة عناصر فرعية (تحليل الأداء، قياس النضج، الفجوات، التوصيات، خارطة الطريق، مؤشرات M&amp;E) [EXT-007] [EXT-012]</w:t>
              <w:br/>
              <w:t>SI-2 → D-2: تطوير البرامج عبر مبادرات مُصمّمة وأُطر تعاون دولي وربط بأهداف التنمية المستدامة [EXT-004] [EXT-013]</w:t>
              <w:br/>
              <w:t>SI-3 → D-3: ثلاث آليات نقل معرفة منصوص عليها (تدريب على رأس العمل، عمل جنباً إلى جنب، ورش عمل) [EXT-006] [EXT-009]</w:t>
              <w:br/>
              <w:t>مسار حوكمة مستمر يضمن الجودة والشفافية والمساءلة عبر جميع المراحل [EXT-003]</w:t>
            </w:r>
          </w:p>
        </w:tc>
      </w:tr>
      <w:tr>
        <w:tc>
          <w:tcPr>
            <w:tcW w:type="dxa" w:w="2160"/>
          </w:tcPr>
          <w:p>
            <w:r>
              <w:t>Proof Points</w:t>
            </w:r>
          </w:p>
        </w:tc>
        <w:tc>
          <w:tcPr>
            <w:tcW w:type="dxa" w:w="7200"/>
          </w:tcPr>
          <w:p>
            <w:r>
              <w:t>EXT-007, EXT-012, EXT-004, EXT-013, EXT-006, EXT-009, EXT-003</w:t>
            </w:r>
          </w:p>
        </w:tc>
      </w:tr>
      <w:tr>
        <w:tc>
          <w:tcPr>
            <w:tcW w:type="dxa" w:w="2160"/>
          </w:tcPr>
          <w:p>
            <w:r>
              <w:t>Visual</w:t>
            </w:r>
          </w:p>
        </w:tc>
        <w:tc>
          <w:tcPr>
            <w:tcW w:type="dxa" w:w="7200"/>
          </w:tcPr>
          <w:p>
            <w:r>
              <w:t>مصفوفة ٣×٦ تربط بنود النطاق (SI-1, SI-2, SI-3) بالمخرجات الفرعية مع علامات تحقق خضراء. أيقونات للأُطر المنهجية المستخدمة.</w:t>
            </w:r>
          </w:p>
        </w:tc>
      </w:tr>
      <w:tr>
        <w:tc>
          <w:tcPr>
            <w:tcW w:type="dxa" w:w="2160"/>
          </w:tcPr>
          <w:p>
            <w:r>
              <w:t>Must-Have Evidence</w:t>
            </w:r>
          </w:p>
        </w:tc>
        <w:tc>
          <w:tcPr>
            <w:tcW w:type="dxa" w:w="7200"/>
          </w:tcPr>
          <w:p>
            <w:r>
              <w:t>EXT-007, EXT-004, EXT-006</w:t>
            </w:r>
          </w:p>
        </w:tc>
      </w:tr>
      <w:tr>
        <w:tc>
          <w:tcPr>
            <w:tcW w:type="dxa" w:w="2160"/>
          </w:tcPr>
          <w:p>
            <w:r>
              <w:t>Forbidden</w:t>
            </w:r>
          </w:p>
        </w:tc>
        <w:tc>
          <w:tcPr>
            <w:tcW w:type="dxa" w:w="7200"/>
          </w:tcPr>
          <w:p>
            <w:r>
              <w:t>ترك أي بند من بنود النطاق بدون ربط بمخرج, ادعاءات عامة بدون مرجع منهجي</w:t>
            </w:r>
          </w:p>
        </w:tc>
      </w:tr>
    </w:tbl>
    <w:p/>
    <w:p>
      <w:pPr>
        <w:pStyle w:val="Heading2"/>
      </w:pPr>
      <w:r>
        <w:t>Slide 4: التحدي المؤسسي: ستة أسباب جذرية مترابطة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فهم المشكلة وتأطيرها</w:t>
            </w:r>
          </w:p>
        </w:tc>
      </w:tr>
      <w:tr>
        <w:tc>
          <w:tcPr>
            <w:tcW w:type="dxa" w:w="2160"/>
          </w:tcPr>
          <w:p>
            <w:r>
              <w:t>Layout</w:t>
            </w:r>
          </w:p>
        </w:tc>
        <w:tc>
          <w:tcPr>
            <w:tcW w:type="dxa" w:w="7200"/>
          </w:tcPr>
          <w:p>
            <w:r>
              <w:t>سردي تحليلي — نص مع رسم بياني للأسباب الجذرية</w:t>
            </w:r>
          </w:p>
        </w:tc>
      </w:tr>
      <w:tr>
        <w:tc>
          <w:tcPr>
            <w:tcW w:type="dxa" w:w="2160"/>
          </w:tcPr>
          <w:p>
            <w:r>
              <w:t>Purpose</w:t>
            </w:r>
          </w:p>
        </w:tc>
        <w:tc>
          <w:tcPr>
            <w:tcW w:type="dxa" w:w="7200"/>
          </w:tcPr>
          <w:p>
            <w:r>
              <w:t>إثبات الفهم العميق لتحدي سدايا المؤسسي وربطه بالسياق الدولي لأخلاقيات الذكاء الاصطناعي.</w:t>
            </w:r>
          </w:p>
        </w:tc>
      </w:tr>
      <w:tr>
        <w:tc>
          <w:tcPr>
            <w:tcW w:type="dxa" w:w="2160"/>
          </w:tcPr>
          <w:p>
            <w:r>
              <w:t>Key Message</w:t>
            </w:r>
          </w:p>
        </w:tc>
        <w:tc>
          <w:tcPr>
            <w:tcW w:type="dxa" w:w="7200"/>
          </w:tcPr>
          <w:p>
            <w:r>
              <w:t>تواجه سدايا تحدياً مُركّباً في إدارة شراكتها مع اليونسكو يتجلى في ستة أسباب جذرية تتطلب تدخلاً منهجياً متكاملاً.</w:t>
            </w:r>
          </w:p>
        </w:tc>
      </w:tr>
      <w:tr>
        <w:tc>
          <w:tcPr>
            <w:tcW w:type="dxa" w:w="2160"/>
          </w:tcPr>
          <w:p>
            <w:r>
              <w:t>Bullet Logic</w:t>
            </w:r>
          </w:p>
        </w:tc>
        <w:tc>
          <w:tcPr>
            <w:tcW w:type="dxa" w:w="7200"/>
          </w:tcPr>
          <w:p>
            <w:r>
              <w:t>غياب إطار تقييم أداء موحّد ومتعدد الأبعاد — قرارات تخصيص الموارد غير مبنية على بيانات مقارنة [EXT-008]</w:t>
              <w:br/>
              <w:t>عدم وجود خريطة نضج مؤسسي مُقارنة دولياً — مقارنات وصفية بدلاً من تحليل كمّي مُهيكل [EXT-007]</w:t>
              <w:br/>
              <w:t>غياب آليات تعاون مُقنّنة مع الدول الشريكة — تفاوض من الصفر لكل مبادرة [EXT-004]</w:t>
              <w:br/>
              <w:t>ضعف الربط المنهجي بأهداف التنمية المستدامة — عجز عن إثبات الأثر التنموي بلغة كمية [EXT-013]</w:t>
              <w:br/>
              <w:t>فجوة القدرات المؤسسية الداخلية — اعتماد على خبرات خارجية في كل دورة عمل [EXT-006]</w:t>
            </w:r>
          </w:p>
        </w:tc>
      </w:tr>
      <w:tr>
        <w:tc>
          <w:tcPr>
            <w:tcW w:type="dxa" w:w="2160"/>
          </w:tcPr>
          <w:p>
            <w:r>
              <w:t>Proof Points</w:t>
            </w:r>
          </w:p>
        </w:tc>
        <w:tc>
          <w:tcPr>
            <w:tcW w:type="dxa" w:w="7200"/>
          </w:tcPr>
          <w:p>
            <w:r>
              <w:t>EXT-008, EXT-007, EXT-004, EXT-013, EXT-006</w:t>
            </w:r>
          </w:p>
        </w:tc>
      </w:tr>
      <w:tr>
        <w:tc>
          <w:tcPr>
            <w:tcW w:type="dxa" w:w="2160"/>
          </w:tcPr>
          <w:p>
            <w:r>
              <w:t>Visual</w:t>
            </w:r>
          </w:p>
        </w:tc>
        <w:tc>
          <w:tcPr>
            <w:tcW w:type="dxa" w:w="7200"/>
          </w:tcPr>
          <w:p>
            <w:r>
              <w:t>مخطط شجرة أسباب جذرية (Root Cause Tree) يربط الأسباب الستة بالمخرجات الإلزامية الثلاثة. ألوان مُتدرجة حسب الخطورة.</w:t>
            </w:r>
          </w:p>
        </w:tc>
      </w:tr>
      <w:tr>
        <w:tc>
          <w:tcPr>
            <w:tcW w:type="dxa" w:w="2160"/>
          </w:tcPr>
          <w:p>
            <w:r>
              <w:t>Must-Have Evidence</w:t>
            </w:r>
          </w:p>
        </w:tc>
        <w:tc>
          <w:tcPr>
            <w:tcW w:type="dxa" w:w="7200"/>
          </w:tcPr>
          <w:p>
            <w:r>
              <w:t>EXT-008, EXT-007</w:t>
            </w:r>
          </w:p>
        </w:tc>
      </w:tr>
      <w:tr>
        <w:tc>
          <w:tcPr>
            <w:tcW w:type="dxa" w:w="2160"/>
          </w:tcPr>
          <w:p>
            <w:r>
              <w:t>Forbidden</w:t>
            </w:r>
          </w:p>
        </w:tc>
        <w:tc>
          <w:tcPr>
            <w:tcW w:type="dxa" w:w="7200"/>
          </w:tcPr>
          <w:p>
            <w:r>
              <w:t>انتقاد مباشر لأداء سدايا الحالي, افتراضات غير مُسندة عن الوضع الداخلي, معلومات سرية عن سدايا</w:t>
            </w:r>
          </w:p>
        </w:tc>
      </w:tr>
    </w:tbl>
    <w:p/>
    <w:p>
      <w:pPr>
        <w:pStyle w:val="Heading2"/>
      </w:pPr>
      <w:r>
        <w:t>Slide 5: لماذا الآن: ثلاث موجات ضغط تجعل التأخير مُكلفاً</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فهم المشكلة وتأطيرها</w:t>
            </w:r>
          </w:p>
        </w:tc>
      </w:tr>
      <w:tr>
        <w:tc>
          <w:tcPr>
            <w:tcW w:type="dxa" w:w="2160"/>
          </w:tcPr>
          <w:p>
            <w:r>
              <w:t>Layout</w:t>
            </w:r>
          </w:p>
        </w:tc>
        <w:tc>
          <w:tcPr>
            <w:tcW w:type="dxa" w:w="7200"/>
          </w:tcPr>
          <w:p>
            <w:r>
              <w:t>تحليلي — رسم بياني زمني مع نقاط ضغط</w:t>
            </w:r>
          </w:p>
        </w:tc>
      </w:tr>
      <w:tr>
        <w:tc>
          <w:tcPr>
            <w:tcW w:type="dxa" w:w="2160"/>
          </w:tcPr>
          <w:p>
            <w:r>
              <w:t>Purpose</w:t>
            </w:r>
          </w:p>
        </w:tc>
        <w:tc>
          <w:tcPr>
            <w:tcW w:type="dxa" w:w="7200"/>
          </w:tcPr>
          <w:p>
            <w:r>
              <w:t>تبرير الإلحاح الزمني للمشروع عبر ربطه بثلاث موجات ضغط متزامنة.</w:t>
            </w:r>
          </w:p>
        </w:tc>
      </w:tr>
      <w:tr>
        <w:tc>
          <w:tcPr>
            <w:tcW w:type="dxa" w:w="2160"/>
          </w:tcPr>
          <w:p>
            <w:r>
              <w:t>Key Message</w:t>
            </w:r>
          </w:p>
        </w:tc>
        <w:tc>
          <w:tcPr>
            <w:tcW w:type="dxa" w:w="7200"/>
          </w:tcPr>
          <w:p>
            <w:r>
              <w:t>تتضافر ثلاث موجات ضغط — دورات تقارير اليونسكو، الضغط المؤسسي على بناء القدرات، ورؤية 2030 — تجعل التنفيذ الفوري أمراً حاسماً. — يتطلب تأكيد التعيينات من المحرك الثاني</w:t>
            </w:r>
          </w:p>
        </w:tc>
      </w:tr>
      <w:tr>
        <w:tc>
          <w:tcPr>
            <w:tcW w:type="dxa" w:w="2160"/>
          </w:tcPr>
          <w:p>
            <w:r>
              <w:t>Bullet Logic</w:t>
            </w:r>
          </w:p>
        </w:tc>
        <w:tc>
          <w:tcPr>
            <w:tcW w:type="dxa" w:w="7200"/>
          </w:tcPr>
          <w:p>
            <w:r>
              <w:t>الموجة الأولى: دورات التقارير الدورية لليونسكو تُحدد المعايير المرجعية — الدول المبكرة تكتسب ثقلاً أكبر في توجيه المراجعات المستقبلية [EXT-003]</w:t>
              <w:br/>
              <w:t>الموجة الثانية: اشتراط D-3 لثلاثة أساليب مكثفة لنقل المعرفة يكشف عن إدراك مؤسسي بأن الفجوة هيكلية [EXT-006]</w:t>
              <w:br/>
              <w:t>الموجة الثالثة: البُعد الأخلاقي أصبح شرطاً للمصداقية الدولية في القيادة التكنولوجية [EXT-002]</w:t>
              <w:br/>
              <w:t>الجدول الزمني المضغوط (شهر واحد بين الترسية وبدء التنفيذ) يعكس وعي سدايا بتكلفة التأخير الاستراتيجية</w:t>
            </w:r>
          </w:p>
        </w:tc>
      </w:tr>
      <w:tr>
        <w:tc>
          <w:tcPr>
            <w:tcW w:type="dxa" w:w="2160"/>
          </w:tcPr>
          <w:p>
            <w:r>
              <w:t>Proof Points</w:t>
            </w:r>
          </w:p>
        </w:tc>
        <w:tc>
          <w:tcPr>
            <w:tcW w:type="dxa" w:w="7200"/>
          </w:tcPr>
          <w:p>
            <w:r>
              <w:t>EXT-003, EXT-006, EXT-002</w:t>
            </w:r>
          </w:p>
        </w:tc>
      </w:tr>
      <w:tr>
        <w:tc>
          <w:tcPr>
            <w:tcW w:type="dxa" w:w="2160"/>
          </w:tcPr>
          <w:p>
            <w:r>
              <w:t>Visual</w:t>
            </w:r>
          </w:p>
        </w:tc>
        <w:tc>
          <w:tcPr>
            <w:tcW w:type="dxa" w:w="7200"/>
          </w:tcPr>
          <w:p>
            <w:r>
              <w:t>خط زمني أفقي يُظهر الموجات الثلاث المتقاطعة مع نقطة 'الآن' مُبرزة. أسهم تُشير إلى نوافذ الفرص المحدودة زمنياً.</w:t>
            </w:r>
          </w:p>
        </w:tc>
      </w:tr>
      <w:tr>
        <w:tc>
          <w:tcPr>
            <w:tcW w:type="dxa" w:w="2160"/>
          </w:tcPr>
          <w:p>
            <w:r>
              <w:t>Must-Have Evidence</w:t>
            </w:r>
          </w:p>
        </w:tc>
        <w:tc>
          <w:tcPr>
            <w:tcW w:type="dxa" w:w="7200"/>
          </w:tcPr>
          <w:p>
            <w:r>
              <w:t>EXT-003, EXT-002</w:t>
            </w:r>
          </w:p>
        </w:tc>
      </w:tr>
      <w:tr>
        <w:tc>
          <w:tcPr>
            <w:tcW w:type="dxa" w:w="2160"/>
          </w:tcPr>
          <w:p>
            <w:r>
              <w:t>Forbidden</w:t>
            </w:r>
          </w:p>
        </w:tc>
        <w:tc>
          <w:tcPr>
            <w:tcW w:type="dxa" w:w="7200"/>
          </w:tcPr>
          <w:p>
            <w:r>
              <w:t>تواريخ ميلادية محددة لدورات تقارير اليونسكو بدون مصدر مؤكد, مقارنات مع دول بعينها بدون بيانات</w:t>
            </w:r>
          </w:p>
        </w:tc>
      </w:tr>
    </w:tbl>
    <w:p/>
    <w:p>
      <w:pPr>
        <w:pStyle w:val="Heading2"/>
      </w:pPr>
      <w:r>
        <w:t>Slide 6: تكلفة عدم التحرك: أربعة مستويات مخاطر مترابطة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فهم المشكلة وتأطيرها</w:t>
            </w:r>
          </w:p>
        </w:tc>
      </w:tr>
      <w:tr>
        <w:tc>
          <w:tcPr>
            <w:tcW w:type="dxa" w:w="2160"/>
          </w:tcPr>
          <w:p>
            <w:r>
              <w:t>Layout</w:t>
            </w:r>
          </w:p>
        </w:tc>
        <w:tc>
          <w:tcPr>
            <w:tcW w:type="dxa" w:w="7200"/>
          </w:tcPr>
          <w:p>
            <w:r>
              <w:t>جدول مخاطر — أربعة مستويات مع مؤشرات اتجاهية</w:t>
            </w:r>
          </w:p>
        </w:tc>
      </w:tr>
      <w:tr>
        <w:tc>
          <w:tcPr>
            <w:tcW w:type="dxa" w:w="2160"/>
          </w:tcPr>
          <w:p>
            <w:r>
              <w:t>Purpose</w:t>
            </w:r>
          </w:p>
        </w:tc>
        <w:tc>
          <w:tcPr>
            <w:tcW w:type="dxa" w:w="7200"/>
          </w:tcPr>
          <w:p>
            <w:r>
              <w:t>تحديد تكلفة عدم التحرك عبر أربعة مستويات مخاطر مترابطة مع مؤشرات قابلة للقياس.</w:t>
            </w:r>
          </w:p>
        </w:tc>
      </w:tr>
      <w:tr>
        <w:tc>
          <w:tcPr>
            <w:tcW w:type="dxa" w:w="2160"/>
          </w:tcPr>
          <w:p>
            <w:r>
              <w:t>Key Message</w:t>
            </w:r>
          </w:p>
        </w:tc>
        <w:tc>
          <w:tcPr>
            <w:tcW w:type="dxa" w:w="7200"/>
          </w:tcPr>
          <w:p>
            <w:r>
              <w:t>التأخير يُنتج دورة سلبية: ضعف القدرات ← تقارير أقل جودة ← تراجع التموضع ← قلة فرص التعاون ← بطء بناء القدرات.</w:t>
            </w:r>
          </w:p>
        </w:tc>
      </w:tr>
      <w:tr>
        <w:tc>
          <w:tcPr>
            <w:tcW w:type="dxa" w:w="2160"/>
          </w:tcPr>
          <w:p>
            <w:r>
              <w:t>Bullet Logic</w:t>
            </w:r>
          </w:p>
        </w:tc>
        <w:tc>
          <w:tcPr>
            <w:tcW w:type="dxa" w:w="7200"/>
          </w:tcPr>
          <w:p>
            <w:r>
              <w:t>تراجع التموضع الدولي: تقارير دورية أقل عمقاً تُقلّص القدرة على التأثير في صياغة الأجندة البحثية [EXT-003]</w:t>
              <w:br/>
              <w:t>سوء تخصيص الموارد: استثمارات في برامج دون بيانات أداء تُبرر استمرارها [EXT-008]</w:t>
              <w:br/>
              <w:t>تسرّب المعرفة: فقدان الخبرة الضمنية مع دوران الموظفين — فجوة تراكمية لا يمكن استرجاعها [EXT-006]</w:t>
              <w:br/>
              <w:t>فجوة المصداقية: تباعد بين الطموحات المُعلنة والممارسة الموثّقة أمام المجتمع الدولي [EXT-002]</w:t>
            </w:r>
          </w:p>
        </w:tc>
      </w:tr>
      <w:tr>
        <w:tc>
          <w:tcPr>
            <w:tcW w:type="dxa" w:w="2160"/>
          </w:tcPr>
          <w:p>
            <w:r>
              <w:t>Proof Points</w:t>
            </w:r>
          </w:p>
        </w:tc>
        <w:tc>
          <w:tcPr>
            <w:tcW w:type="dxa" w:w="7200"/>
          </w:tcPr>
          <w:p>
            <w:r>
              <w:t>EXT-003, EXT-008, EXT-006, EXT-002</w:t>
            </w:r>
          </w:p>
        </w:tc>
      </w:tr>
      <w:tr>
        <w:tc>
          <w:tcPr>
            <w:tcW w:type="dxa" w:w="2160"/>
          </w:tcPr>
          <w:p>
            <w:r>
              <w:t>Visual</w:t>
            </w:r>
          </w:p>
        </w:tc>
        <w:tc>
          <w:tcPr>
            <w:tcW w:type="dxa" w:w="7200"/>
          </w:tcPr>
          <w:p>
            <w:r>
              <w:t>مخطط دائري يُظهر الدورة السلبية المتشابكة بين المستويات الأربعة. أسهم تربط بين المخاطر. ألوان تحذيرية.</w:t>
            </w:r>
          </w:p>
        </w:tc>
      </w:tr>
      <w:tr>
        <w:tc>
          <w:tcPr>
            <w:tcW w:type="dxa" w:w="2160"/>
          </w:tcPr>
          <w:p>
            <w:r>
              <w:t>Must-Have Evidence</w:t>
            </w:r>
          </w:p>
        </w:tc>
        <w:tc>
          <w:tcPr>
            <w:tcW w:type="dxa" w:w="7200"/>
          </w:tcPr>
          <w:p>
            <w:r>
              <w:t>EXT-003, EXT-006</w:t>
            </w:r>
          </w:p>
        </w:tc>
      </w:tr>
      <w:tr>
        <w:tc>
          <w:tcPr>
            <w:tcW w:type="dxa" w:w="2160"/>
          </w:tcPr>
          <w:p>
            <w:r>
              <w:t>Forbidden</w:t>
            </w:r>
          </w:p>
        </w:tc>
        <w:tc>
          <w:tcPr>
            <w:tcW w:type="dxa" w:w="7200"/>
          </w:tcPr>
          <w:p>
            <w:r>
              <w:t>أرقام مالية محددة لتكلفة التأخير بدون مصدر, تهويل غير مُسند, مقارنات سلبية مع دول محددة</w:t>
            </w:r>
          </w:p>
        </w:tc>
      </w:tr>
    </w:tbl>
    <w:p/>
    <w:p>
      <w:pPr>
        <w:pStyle w:val="Heading2"/>
      </w:pPr>
      <w:r>
        <w:t>Slide 7: رحلة التحوّل: من شراكة غير مُهيكلة إلى قيادة دولية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فهم المشكلة وتأطيرها</w:t>
            </w:r>
          </w:p>
        </w:tc>
      </w:tr>
      <w:tr>
        <w:tc>
          <w:tcPr>
            <w:tcW w:type="dxa" w:w="2160"/>
          </w:tcPr>
          <w:p>
            <w:r>
              <w:t>Layout</w:t>
            </w:r>
          </w:p>
        </w:tc>
        <w:tc>
          <w:tcPr>
            <w:tcW w:type="dxa" w:w="7200"/>
          </w:tcPr>
          <w:p>
            <w:r>
              <w:t>رسم بياني تحويلي — من الوضع الراهن إلى الوضع المستهدف</w:t>
            </w:r>
          </w:p>
        </w:tc>
      </w:tr>
      <w:tr>
        <w:tc>
          <w:tcPr>
            <w:tcW w:type="dxa" w:w="2160"/>
          </w:tcPr>
          <w:p>
            <w:r>
              <w:t>Purpose</w:t>
            </w:r>
          </w:p>
        </w:tc>
        <w:tc>
          <w:tcPr>
            <w:tcW w:type="dxa" w:w="7200"/>
          </w:tcPr>
          <w:p>
            <w:r>
              <w:t>رسم صورة واضحة للتحول المؤسسي المستهدف مع تعريف النجاح بأربع نتائج قابلة للقياس.</w:t>
            </w:r>
          </w:p>
        </w:tc>
      </w:tr>
      <w:tr>
        <w:tc>
          <w:tcPr>
            <w:tcW w:type="dxa" w:w="2160"/>
          </w:tcPr>
          <w:p>
            <w:r>
              <w:t>Key Message</w:t>
            </w:r>
          </w:p>
        </w:tc>
        <w:tc>
          <w:tcPr>
            <w:tcW w:type="dxa" w:w="7200"/>
          </w:tcPr>
          <w:p>
            <w:r>
              <w:t>ينقل المشروع سدايا من شراكة تفتقر إلى تقييم منهجي إلى شراكة استراتيجية مُدارة بأدوات متقدمة وفريق وطني مؤهل.</w:t>
            </w:r>
          </w:p>
        </w:tc>
      </w:tr>
      <w:tr>
        <w:tc>
          <w:tcPr>
            <w:tcW w:type="dxa" w:w="2160"/>
          </w:tcPr>
          <w:p>
            <w:r>
              <w:t>Bullet Logic</w:t>
            </w:r>
          </w:p>
        </w:tc>
        <w:tc>
          <w:tcPr>
            <w:tcW w:type="dxa" w:w="7200"/>
          </w:tcPr>
          <w:p>
            <w:r>
              <w:t>الوضع الراهن: قرارات غير مبنية على بيانات، آليات تعاون غير مُقنّنة، اعتماد على خبرات خارجية [EXT-008]</w:t>
              <w:br/>
              <w:t>الوضع المستهدف: تقييم شامل مُحدّث، أُطر تعاون جاهزة للتفعيل، فريق مؤهل ومُقاس الكفاءات [EXT-007] [EXT-009]</w:t>
              <w:br/>
              <w:t>أربع نتائج قابلة للقياس: بطاقة نضج مُقارنة دولياً، أُطر تعاون مربوطة بـ SDGs، فريق مُقيّم قبلياً وبعدياً، منظومة M&amp;E مبنية على نظرية التغيير [EXT-012]</w:t>
              <w:br/>
              <w:t>المسار: ثلاث مراحل متسلسلة (تقييم ← تصميم ← تمكين) مع نقل معرفة مستمر من اليوم الأول [EXT-006]</w:t>
            </w:r>
          </w:p>
        </w:tc>
      </w:tr>
      <w:tr>
        <w:tc>
          <w:tcPr>
            <w:tcW w:type="dxa" w:w="2160"/>
          </w:tcPr>
          <w:p>
            <w:r>
              <w:t>Proof Points</w:t>
            </w:r>
          </w:p>
        </w:tc>
        <w:tc>
          <w:tcPr>
            <w:tcW w:type="dxa" w:w="7200"/>
          </w:tcPr>
          <w:p>
            <w:r>
              <w:t>EXT-008, EXT-007, EXT-009, EXT-012, EXT-006</w:t>
            </w:r>
          </w:p>
        </w:tc>
      </w:tr>
      <w:tr>
        <w:tc>
          <w:tcPr>
            <w:tcW w:type="dxa" w:w="2160"/>
          </w:tcPr>
          <w:p>
            <w:r>
              <w:t>Visual</w:t>
            </w:r>
          </w:p>
        </w:tc>
        <w:tc>
          <w:tcPr>
            <w:tcW w:type="dxa" w:w="7200"/>
          </w:tcPr>
          <w:p>
            <w:r>
              <w:t>رسم بياني 'قبل وبعد' مع سهم تحويلي في المنتصف يمر عبر ثلاث مراحل. الوضع الراهن بألوان باهتة والمستهدف بألوان زاهية.</w:t>
            </w:r>
          </w:p>
        </w:tc>
      </w:tr>
      <w:tr>
        <w:tc>
          <w:tcPr>
            <w:tcW w:type="dxa" w:w="2160"/>
          </w:tcPr>
          <w:p>
            <w:r>
              <w:t>Must-Have Evidence</w:t>
            </w:r>
          </w:p>
        </w:tc>
        <w:tc>
          <w:tcPr>
            <w:tcW w:type="dxa" w:w="7200"/>
          </w:tcPr>
          <w:p>
            <w:r>
              <w:t>EXT-007, EXT-012</w:t>
            </w:r>
          </w:p>
        </w:tc>
      </w:tr>
      <w:tr>
        <w:tc>
          <w:tcPr>
            <w:tcW w:type="dxa" w:w="2160"/>
          </w:tcPr>
          <w:p>
            <w:r>
              <w:t>Forbidden</w:t>
            </w:r>
          </w:p>
        </w:tc>
        <w:tc>
          <w:tcPr>
            <w:tcW w:type="dxa" w:w="7200"/>
          </w:tcPr>
          <w:p>
            <w:r>
              <w:t>وعود مطلقة بنتائج محددة, تقليل من الجهود الحالية لسدايا</w:t>
            </w:r>
          </w:p>
        </w:tc>
      </w:tr>
    </w:tbl>
    <w:p/>
    <w:p>
      <w:pPr>
        <w:pStyle w:val="Heading2"/>
      </w:pPr>
      <w:r>
        <w:t>Slide 8: خريطة القدرات: تصميم مُستهدَف لاستيفاء كل متطلب مُحدَّد</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لماذا ستراتيجيك جيرز</w:t>
            </w:r>
          </w:p>
        </w:tc>
      </w:tr>
      <w:tr>
        <w:tc>
          <w:tcPr>
            <w:tcW w:type="dxa" w:w="2160"/>
          </w:tcPr>
          <w:p>
            <w:r>
              <w:t>Layout</w:t>
            </w:r>
          </w:p>
        </w:tc>
        <w:tc>
          <w:tcPr>
            <w:tcW w:type="dxa" w:w="7200"/>
          </w:tcPr>
          <w:p>
            <w:r>
              <w:t>خريطة قدرات — مصفوفة المتطلبات مقابل القدرات</w:t>
            </w:r>
          </w:p>
        </w:tc>
      </w:tr>
      <w:tr>
        <w:tc>
          <w:tcPr>
            <w:tcW w:type="dxa" w:w="2160"/>
          </w:tcPr>
          <w:p>
            <w:r>
              <w:t>Purpose</w:t>
            </w:r>
          </w:p>
        </w:tc>
        <w:tc>
          <w:tcPr>
            <w:tcW w:type="dxa" w:w="7200"/>
          </w:tcPr>
          <w:p>
            <w:r>
              <w:t>إثبات التوافق بين متطلبات نطاق العمل والقدرات المنهجية المقترحة مع الشفافية حول فجوات الأدلة.</w:t>
            </w:r>
          </w:p>
        </w:tc>
      </w:tr>
      <w:tr>
        <w:tc>
          <w:tcPr>
            <w:tcW w:type="dxa" w:w="2160"/>
          </w:tcPr>
          <w:p>
            <w:r>
              <w:t>Key Message</w:t>
            </w:r>
          </w:p>
        </w:tc>
        <w:tc>
          <w:tcPr>
            <w:tcW w:type="dxa" w:w="7200"/>
          </w:tcPr>
          <w:p>
            <w:r>
              <w:t>كل متطلب مُحدَّد في نطاق العمل مربوط بقدرة منهجية مُصمَّمة ومدعومة بأُطر دولية مُحكّمة وخبرة سابقة قابلة للاستكمال. — يتطلب تأكيد التعيينات من المحرك الثاني</w:t>
            </w:r>
          </w:p>
        </w:tc>
      </w:tr>
      <w:tr>
        <w:tc>
          <w:tcPr>
            <w:tcW w:type="dxa" w:w="2160"/>
          </w:tcPr>
          <w:p>
            <w:r>
              <w:t>Bullet Logic</w:t>
            </w:r>
          </w:p>
        </w:tc>
        <w:tc>
          <w:tcPr>
            <w:tcW w:type="dxa" w:w="7200"/>
          </w:tcPr>
          <w:p>
            <w:r>
              <w:t>D-1 التقييم: منهجية ثلاثية الطبقات تدمج مؤشرات اليونسكو [EXT-003] ونموذج TOE [EXT-007] ومنهجية WHO الهرمية [EXT-008]</w:t>
              <w:br/>
              <w:t>D-2 تطوير البرامج: تصميم مبني على منطق CISF [EXT-004] مع ربط SDGs عبر B4SDGs [EXT-013] ونظرية التغيير [EXT-012]</w:t>
              <w:br/>
              <w:t>D-3 نقل المعرفة: إطار APQC رباعي الخطوات [EXT-006] مع تقييم كفاءات قبلي-بعدي [EXT-009] وفريق مُقيّمين داخلي [EXT-014]</w:t>
              <w:br/>
              <w:t>خبرة سابقة مع سدايا واليونسكو في المجال ذاته [PRJ-001] — التفاصيل الكمية قيد الاستكمال من سجلات المشروع</w:t>
            </w:r>
          </w:p>
        </w:tc>
      </w:tr>
      <w:tr>
        <w:tc>
          <w:tcPr>
            <w:tcW w:type="dxa" w:w="2160"/>
          </w:tcPr>
          <w:p>
            <w:r>
              <w:t>Proof Points</w:t>
            </w:r>
          </w:p>
        </w:tc>
        <w:tc>
          <w:tcPr>
            <w:tcW w:type="dxa" w:w="7200"/>
          </w:tcPr>
          <w:p>
            <w:r>
              <w:t>EXT-003, EXT-007, EXT-008, EXT-004, EXT-013, EXT-012, EXT-006, EXT-009, EXT-014, PRJ-001</w:t>
            </w:r>
          </w:p>
        </w:tc>
      </w:tr>
      <w:tr>
        <w:tc>
          <w:tcPr>
            <w:tcW w:type="dxa" w:w="2160"/>
          </w:tcPr>
          <w:p>
            <w:r>
              <w:t>Visual</w:t>
            </w:r>
          </w:p>
        </w:tc>
        <w:tc>
          <w:tcPr>
            <w:tcW w:type="dxa" w:w="7200"/>
          </w:tcPr>
          <w:p>
            <w:r>
              <w:t>مصفوفة ثلاثية الأعمدة (D-1, D-2, D-3) مع صفوف للأُطر المنهجية. أيقونات للأُطر الدولية. إشارة بصرية لـ PRJ-001.</w:t>
            </w:r>
          </w:p>
        </w:tc>
      </w:tr>
      <w:tr>
        <w:tc>
          <w:tcPr>
            <w:tcW w:type="dxa" w:w="2160"/>
          </w:tcPr>
          <w:p>
            <w:r>
              <w:t>Must-Have Evidence</w:t>
            </w:r>
          </w:p>
        </w:tc>
        <w:tc>
          <w:tcPr>
            <w:tcW w:type="dxa" w:w="7200"/>
          </w:tcPr>
          <w:p>
            <w:r>
              <w:t>EXT-007, EXT-004, EXT-006, PRJ-001</w:t>
            </w:r>
          </w:p>
        </w:tc>
      </w:tr>
      <w:tr>
        <w:tc>
          <w:tcPr>
            <w:tcW w:type="dxa" w:w="2160"/>
          </w:tcPr>
          <w:p>
            <w:r>
              <w:t>Forbidden</w:t>
            </w:r>
          </w:p>
        </w:tc>
        <w:tc>
          <w:tcPr>
            <w:tcW w:type="dxa" w:w="7200"/>
          </w:tcPr>
          <w:p>
            <w:r>
              <w:t>ادعاء 'كل متطلب مغطى بقدرة مثبتة', ادعاء 'خبرة مباشرة موثقة' بدون تفاصيل كمية من Engine 2, ادعاء 'استيفاء كامل'</w:t>
            </w:r>
          </w:p>
        </w:tc>
      </w:tr>
    </w:tbl>
    <w:p/>
    <w:p>
      <w:pPr>
        <w:pStyle w:val="Heading2"/>
      </w:pPr>
      <w:r>
        <w:t>Slide 9: ثلاث مزايا هيكلية: خبرة سابقة، إنتاج عربي، تعبئة فورية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لماذا ستراتيجيك جيرز</w:t>
            </w:r>
          </w:p>
        </w:tc>
      </w:tr>
      <w:tr>
        <w:tc>
          <w:tcPr>
            <w:tcW w:type="dxa" w:w="2160"/>
          </w:tcPr>
          <w:p>
            <w:r>
              <w:t>Layout</w:t>
            </w:r>
          </w:p>
        </w:tc>
        <w:tc>
          <w:tcPr>
            <w:tcW w:type="dxa" w:w="7200"/>
          </w:tcPr>
          <w:p>
            <w:r>
              <w:t>نقاط تمايز — ثلاثة أعمدة مع أيقونات</w:t>
            </w:r>
          </w:p>
        </w:tc>
      </w:tr>
      <w:tr>
        <w:tc>
          <w:tcPr>
            <w:tcW w:type="dxa" w:w="2160"/>
          </w:tcPr>
          <w:p>
            <w:r>
              <w:t>Purpose</w:t>
            </w:r>
          </w:p>
        </w:tc>
        <w:tc>
          <w:tcPr>
            <w:tcW w:type="dxa" w:w="7200"/>
          </w:tcPr>
          <w:p>
            <w:r>
              <w:t>إبراز المزايا التنافسية الهيكلية لستراتيجيك جيرز في سياق هذا المشروع تحديداً.</w:t>
            </w:r>
          </w:p>
        </w:tc>
      </w:tr>
      <w:tr>
        <w:tc>
          <w:tcPr>
            <w:tcW w:type="dxa" w:w="2160"/>
          </w:tcPr>
          <w:p>
            <w:r>
              <w:t>Key Message</w:t>
            </w:r>
          </w:p>
        </w:tc>
        <w:tc>
          <w:tcPr>
            <w:tcW w:type="dxa" w:w="7200"/>
          </w:tcPr>
          <w:p>
            <w:r>
              <w:t>ستراتيجيك جيرز تجمع بين خبرة سابقة مع العميل ذاته، وإنتاج عربي أصيل، وقدرة تعبئة فورية — مزيج يصعب تكراره. — يتطلب تأكيد التعيينات من المحرك الثاني</w:t>
            </w:r>
          </w:p>
        </w:tc>
      </w:tr>
      <w:tr>
        <w:tc>
          <w:tcPr>
            <w:tcW w:type="dxa" w:w="2160"/>
          </w:tcPr>
          <w:p>
            <w:r>
              <w:t>Bullet Logic</w:t>
            </w:r>
          </w:p>
        </w:tc>
        <w:tc>
          <w:tcPr>
            <w:tcW w:type="dxa" w:w="7200"/>
          </w:tcPr>
          <w:p>
            <w:r>
              <w:t>خبرة سابقة مع سدايا واليونسكو: مشروع PRJ-001 في المجال ذاته يُثبت فهم السياق المؤسسي والعلاقة القائمة [PRJ-001]</w:t>
              <w:br/>
              <w:t>إنتاج عربي أصيل: جميع المخرجات تُنتج بالعربية أصالةً — دقة مصطلحية وملاءمة ثقافية تتجاوز الترجمة [CR-1]</w:t>
              <w:br/>
              <w:t>تعبئة فورية: شركة سعودية المقر لا تحتاج تأشيرات أو نقل فرق — جاهزية للبدء خلال الفترة المضغوطة بين الترسية والتنفيذ</w:t>
              <w:br/>
              <w:t>فهم المشتريات الحكومية السعودية: امتثال مُصمَّم لنظام المنافسات والمشتريات [HR-L1-001]</w:t>
            </w:r>
          </w:p>
        </w:tc>
      </w:tr>
      <w:tr>
        <w:tc>
          <w:tcPr>
            <w:tcW w:type="dxa" w:w="2160"/>
          </w:tcPr>
          <w:p>
            <w:r>
              <w:t>Proof Points</w:t>
            </w:r>
          </w:p>
        </w:tc>
        <w:tc>
          <w:tcPr>
            <w:tcW w:type="dxa" w:w="7200"/>
          </w:tcPr>
          <w:p>
            <w:r>
              <w:t>PRJ-001, CR-1, HR-L1-001</w:t>
            </w:r>
          </w:p>
        </w:tc>
      </w:tr>
      <w:tr>
        <w:tc>
          <w:tcPr>
            <w:tcW w:type="dxa" w:w="2160"/>
          </w:tcPr>
          <w:p>
            <w:r>
              <w:t>Visual</w:t>
            </w:r>
          </w:p>
        </w:tc>
        <w:tc>
          <w:tcPr>
            <w:tcW w:type="dxa" w:w="7200"/>
          </w:tcPr>
          <w:p>
            <w:r>
              <w:t>ثلاثة أعمدة متساوية بأيقونات كبيرة (مصافحة، لغة عربية، ساعة). كل عمود يحتوي على عنوان فرعي ونقطتين.</w:t>
            </w:r>
          </w:p>
        </w:tc>
      </w:tr>
      <w:tr>
        <w:tc>
          <w:tcPr>
            <w:tcW w:type="dxa" w:w="2160"/>
          </w:tcPr>
          <w:p>
            <w:r>
              <w:t>Must-Have Evidence</w:t>
            </w:r>
          </w:p>
        </w:tc>
        <w:tc>
          <w:tcPr>
            <w:tcW w:type="dxa" w:w="7200"/>
          </w:tcPr>
          <w:p>
            <w:r>
              <w:t>PRJ-001</w:t>
            </w:r>
          </w:p>
        </w:tc>
      </w:tr>
      <w:tr>
        <w:tc>
          <w:tcPr>
            <w:tcW w:type="dxa" w:w="2160"/>
          </w:tcPr>
          <w:p>
            <w:r>
              <w:t>Forbidden</w:t>
            </w:r>
          </w:p>
        </w:tc>
        <w:tc>
          <w:tcPr>
            <w:tcW w:type="dxa" w:w="7200"/>
          </w:tcPr>
          <w:p>
            <w:r>
              <w:t>ادعاء 'قدرات مثبتة بالكامل', مقارنات سلبية مع منافسين محددين, ادعاءات تسويقية عامة غير مرتبطة بالمشروع</w:t>
            </w:r>
          </w:p>
        </w:tc>
      </w:tr>
    </w:tbl>
    <w:p/>
    <w:p>
      <w:pPr>
        <w:pStyle w:val="Heading2"/>
      </w:pPr>
      <w:r>
        <w:t>Slide 10: سجل العملاء والشراكات: مصداقية مؤسسية مُوثّقة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لماذا ستراتيجيك جيرز</w:t>
            </w:r>
          </w:p>
        </w:tc>
      </w:tr>
      <w:tr>
        <w:tc>
          <w:tcPr>
            <w:tcW w:type="dxa" w:w="2160"/>
          </w:tcPr>
          <w:p>
            <w:r>
              <w:t>Layout</w:t>
            </w:r>
          </w:p>
        </w:tc>
        <w:tc>
          <w:tcPr>
            <w:tcW w:type="dxa" w:w="7200"/>
          </w:tcPr>
          <w:p>
            <w:r>
              <w:t>إطار مؤسسي — شعارات عملاء مع وصف موجز</w:t>
            </w:r>
          </w:p>
        </w:tc>
      </w:tr>
      <w:tr>
        <w:tc>
          <w:tcPr>
            <w:tcW w:type="dxa" w:w="2160"/>
          </w:tcPr>
          <w:p>
            <w:r>
              <w:t>Purpose</w:t>
            </w:r>
          </w:p>
        </w:tc>
        <w:tc>
          <w:tcPr>
            <w:tcW w:type="dxa" w:w="7200"/>
          </w:tcPr>
          <w:p>
            <w:r>
              <w:t>إثبات المصداقية المؤسسية عبر سجل العملاء والشراكات ذات الصلة.</w:t>
            </w:r>
          </w:p>
        </w:tc>
      </w:tr>
      <w:tr>
        <w:tc>
          <w:tcPr>
            <w:tcW w:type="dxa" w:w="2160"/>
          </w:tcPr>
          <w:p>
            <w:r>
              <w:t>Key Message</w:t>
            </w:r>
          </w:p>
        </w:tc>
        <w:tc>
          <w:tcPr>
            <w:tcW w:type="dxa" w:w="7200"/>
          </w:tcPr>
          <w:p>
            <w:r>
              <w:t>ستراتيجيك جيرز تمتلك سجل عمل مع جهات حكومية سعودية مركزية ومنظمات دولية ذات صلة مباشرة بنطاق المشروع. — يتطلب تأكيد التعيينات من المحرك الثاني</w:t>
            </w:r>
          </w:p>
        </w:tc>
      </w:tr>
      <w:tr>
        <w:tc>
          <w:tcPr>
            <w:tcW w:type="dxa" w:w="2160"/>
          </w:tcPr>
          <w:p>
            <w:r>
              <w:t>Bullet Logic</w:t>
            </w:r>
          </w:p>
        </w:tc>
        <w:tc>
          <w:tcPr>
            <w:tcW w:type="dxa" w:w="7200"/>
          </w:tcPr>
          <w:p>
            <w:r>
              <w:t>سدايا: خبرة عمل سابقة مع العميل المباشر في مجال أبحاث وأخلاقيات الذكاء الاصطناعي مع اليونسكو [PRJ-001]</w:t>
              <w:br/>
              <w:t>اليونسكو: تعاون موثق مع الشريك الدولي الرئيسي في نطاق العمل [PRJ-001]</w:t>
              <w:br/>
              <w:t>وزارة المالية: خبرة مع جهات حكومية سعودية مركزية تُثبت القدرة على التعامل مع السياق المؤسسي الحكومي [PRJ-001]</w:t>
              <w:br/>
              <w:t>شهادات وشراكات إضافية: قيد الاستكمال من سجلات الشركة — تشمل شهادات ISO وشراكات أكاديمية وتقنية</w:t>
            </w:r>
          </w:p>
        </w:tc>
      </w:tr>
      <w:tr>
        <w:tc>
          <w:tcPr>
            <w:tcW w:type="dxa" w:w="2160"/>
          </w:tcPr>
          <w:p>
            <w:r>
              <w:t>Proof Points</w:t>
            </w:r>
          </w:p>
        </w:tc>
        <w:tc>
          <w:tcPr>
            <w:tcW w:type="dxa" w:w="7200"/>
          </w:tcPr>
          <w:p>
            <w:r>
              <w:t>PRJ-001</w:t>
            </w:r>
          </w:p>
        </w:tc>
      </w:tr>
      <w:tr>
        <w:tc>
          <w:tcPr>
            <w:tcW w:type="dxa" w:w="2160"/>
          </w:tcPr>
          <w:p>
            <w:r>
              <w:t>Visual</w:t>
            </w:r>
          </w:p>
        </w:tc>
        <w:tc>
          <w:tcPr>
            <w:tcW w:type="dxa" w:w="7200"/>
          </w:tcPr>
          <w:p>
            <w:r>
              <w:t>شعارات العملاء الثلاثة (سدايا، اليونسكو، وزارة المالية) مع وصف موجز لطبيعة العلاقة. مساحة مخصصة للشهادات والشراكات.</w:t>
            </w:r>
          </w:p>
        </w:tc>
      </w:tr>
      <w:tr>
        <w:tc>
          <w:tcPr>
            <w:tcW w:type="dxa" w:w="2160"/>
          </w:tcPr>
          <w:p>
            <w:r>
              <w:t>Must-Have Evidence</w:t>
            </w:r>
          </w:p>
        </w:tc>
        <w:tc>
          <w:tcPr>
            <w:tcW w:type="dxa" w:w="7200"/>
          </w:tcPr>
          <w:p>
            <w:r>
              <w:t>PRJ-001</w:t>
            </w:r>
          </w:p>
        </w:tc>
      </w:tr>
      <w:tr>
        <w:tc>
          <w:tcPr>
            <w:tcW w:type="dxa" w:w="2160"/>
          </w:tcPr>
          <w:p>
            <w:r>
              <w:t>Forbidden</w:t>
            </w:r>
          </w:p>
        </w:tc>
        <w:tc>
          <w:tcPr>
            <w:tcW w:type="dxa" w:w="7200"/>
          </w:tcPr>
          <w:p>
            <w:r>
              <w:t>ادعاء شراكات غير مؤكدة, شعارات عملاء بدون علاقة عمل فعلية, أرقام مالية للعقود</w:t>
            </w:r>
          </w:p>
        </w:tc>
      </w:tr>
    </w:tbl>
    <w:p/>
    <w:p>
      <w:pPr>
        <w:pStyle w:val="Heading2"/>
      </w:pPr>
      <w:r>
        <w:t>Slide 11: إلمام مؤسسي: أدوات اليونسكو المعيارية مُدمجة في المنهجية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لماذا ستراتيجيك جيرز</w:t>
            </w:r>
          </w:p>
        </w:tc>
      </w:tr>
      <w:tr>
        <w:tc>
          <w:tcPr>
            <w:tcW w:type="dxa" w:w="2160"/>
          </w:tcPr>
          <w:p>
            <w:r>
              <w:t>Layout</w:t>
            </w:r>
          </w:p>
        </w:tc>
        <w:tc>
          <w:tcPr>
            <w:tcW w:type="dxa" w:w="7200"/>
          </w:tcPr>
          <w:p>
            <w:r>
              <w:t>مصفوفة فهم — أدوات اليونسكو المعيارية</w:t>
            </w:r>
          </w:p>
        </w:tc>
      </w:tr>
      <w:tr>
        <w:tc>
          <w:tcPr>
            <w:tcW w:type="dxa" w:w="2160"/>
          </w:tcPr>
          <w:p>
            <w:r>
              <w:t>Purpose</w:t>
            </w:r>
          </w:p>
        </w:tc>
        <w:tc>
          <w:tcPr>
            <w:tcW w:type="dxa" w:w="7200"/>
          </w:tcPr>
          <w:p>
            <w:r>
              <w:t>إثبات الإلمام بالبنية المؤسسية لليونسكو في أخلاقيات الذكاء الاصطناعي كمعيار تمييزي.</w:t>
            </w:r>
          </w:p>
        </w:tc>
      </w:tr>
      <w:tr>
        <w:tc>
          <w:tcPr>
            <w:tcW w:type="dxa" w:w="2160"/>
          </w:tcPr>
          <w:p>
            <w:r>
              <w:t>Key Message</w:t>
            </w:r>
          </w:p>
        </w:tc>
        <w:tc>
          <w:tcPr>
            <w:tcW w:type="dxa" w:w="7200"/>
          </w:tcPr>
          <w:p>
            <w:r>
              <w:t>المنهجية المقترحة مُرسّخة في أدوات اليونسكو المعيارية وتستخدمها كأدوات عمل مُدمجة في كل مرحلة. — يتطلب تأكيد التعيينات من المحرك الثاني</w:t>
            </w:r>
          </w:p>
        </w:tc>
      </w:tr>
      <w:tr>
        <w:tc>
          <w:tcPr>
            <w:tcW w:type="dxa" w:w="2160"/>
          </w:tcPr>
          <w:p>
            <w:r>
              <w:t>Bullet Logic</w:t>
            </w:r>
          </w:p>
        </w:tc>
        <w:tc>
          <w:tcPr>
            <w:tcW w:type="dxa" w:w="7200"/>
          </w:tcPr>
          <w:p>
            <w:r>
              <w:t>توصية أخلاقيات الذكاء الاصطناعي (2021): المبادئ العشرة والمجالات السياسية الأحد عشر كإطار مرجعي أساسي [EXT-002]</w:t>
              <w:br/>
              <w:t>دورات التقارير الدورية ومؤشرات الرصد: هيكل القياس المعتمد لتصميم مؤشرات M&amp;E [EXT-003]</w:t>
              <w:br/>
              <w:t>برامج EEP وABC وGEObs: نماذج تشغيلية مطلوبة لتصميم المبادرات وأُطر التعاون [EXT-002]</w:t>
              <w:br/>
              <w:t>منهجية تقييم الجاهزية RAM: أداة تقييم مُعتمدة تُكمّل نموذج TOE في المرحلة الأولى [EXT-007]</w:t>
            </w:r>
          </w:p>
        </w:tc>
      </w:tr>
      <w:tr>
        <w:tc>
          <w:tcPr>
            <w:tcW w:type="dxa" w:w="2160"/>
          </w:tcPr>
          <w:p>
            <w:r>
              <w:t>Proof Points</w:t>
            </w:r>
          </w:p>
        </w:tc>
        <w:tc>
          <w:tcPr>
            <w:tcW w:type="dxa" w:w="7200"/>
          </w:tcPr>
          <w:p>
            <w:r>
              <w:t>EXT-002, EXT-003, EXT-007</w:t>
            </w:r>
          </w:p>
        </w:tc>
      </w:tr>
      <w:tr>
        <w:tc>
          <w:tcPr>
            <w:tcW w:type="dxa" w:w="2160"/>
          </w:tcPr>
          <w:p>
            <w:r>
              <w:t>Visual</w:t>
            </w:r>
          </w:p>
        </w:tc>
        <w:tc>
          <w:tcPr>
            <w:tcW w:type="dxa" w:w="7200"/>
          </w:tcPr>
          <w:p>
            <w:r>
              <w:t>خريطة ذهنية تُظهر أدوات اليونسكو في المركز مع فروع تربطها بمراحل المنهجية. ألوان اليونسكو الرسمية.</w:t>
            </w:r>
          </w:p>
        </w:tc>
      </w:tr>
      <w:tr>
        <w:tc>
          <w:tcPr>
            <w:tcW w:type="dxa" w:w="2160"/>
          </w:tcPr>
          <w:p>
            <w:r>
              <w:t>Must-Have Evidence</w:t>
            </w:r>
          </w:p>
        </w:tc>
        <w:tc>
          <w:tcPr>
            <w:tcW w:type="dxa" w:w="7200"/>
          </w:tcPr>
          <w:p>
            <w:r>
              <w:t>EXT-002, EXT-003</w:t>
            </w:r>
          </w:p>
        </w:tc>
      </w:tr>
      <w:tr>
        <w:tc>
          <w:tcPr>
            <w:tcW w:type="dxa" w:w="2160"/>
          </w:tcPr>
          <w:p>
            <w:r>
              <w:t>Forbidden</w:t>
            </w:r>
          </w:p>
        </w:tc>
        <w:tc>
          <w:tcPr>
            <w:tcW w:type="dxa" w:w="7200"/>
          </w:tcPr>
          <w:p>
            <w:r>
              <w:t>ادعاء خبرة مباشرة في تطبيق RAM بدون إثبات من Engine 2, معلومات غير دقيقة عن برامج اليونسكو</w:t>
            </w:r>
          </w:p>
        </w:tc>
      </w:tr>
    </w:tbl>
    <w:p/>
    <w:p>
      <w:pPr>
        <w:pStyle w:val="Heading2"/>
      </w:pPr>
      <w:r>
        <w:t>Slide 12: هيكل الفريق المقترح: خمسة أدوار مُصمَّمة لتغطية النطاق</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الفريق</w:t>
            </w:r>
          </w:p>
        </w:tc>
      </w:tr>
      <w:tr>
        <w:tc>
          <w:tcPr>
            <w:tcW w:type="dxa" w:w="2160"/>
          </w:tcPr>
          <w:p>
            <w:r>
              <w:t>Layout</w:t>
            </w:r>
          </w:p>
        </w:tc>
        <w:tc>
          <w:tcPr>
            <w:tcW w:type="dxa" w:w="7200"/>
          </w:tcPr>
          <w:p>
            <w:r>
              <w:t>هيكل تنظيمي — مخطط هرمي مع ملفات أدوار</w:t>
            </w:r>
          </w:p>
        </w:tc>
      </w:tr>
      <w:tr>
        <w:tc>
          <w:tcPr>
            <w:tcW w:type="dxa" w:w="2160"/>
          </w:tcPr>
          <w:p>
            <w:r>
              <w:t>Purpose</w:t>
            </w:r>
          </w:p>
        </w:tc>
        <w:tc>
          <w:tcPr>
            <w:tcW w:type="dxa" w:w="7200"/>
          </w:tcPr>
          <w:p>
            <w:r>
              <w:t>عرض هيكل الفريق المقترح مع تحديد الأدوار والمسؤوليات والمؤهلات المستهدفة لكل دور.</w:t>
            </w:r>
          </w:p>
        </w:tc>
      </w:tr>
      <w:tr>
        <w:tc>
          <w:tcPr>
            <w:tcW w:type="dxa" w:w="2160"/>
          </w:tcPr>
          <w:p>
            <w:r>
              <w:t>Key Message</w:t>
            </w:r>
          </w:p>
        </w:tc>
        <w:tc>
          <w:tcPr>
            <w:tcW w:type="dxa" w:w="7200"/>
          </w:tcPr>
          <w:p>
            <w:r>
              <w:t>فريق من خمسة أدوار متخصصة مُصمَّم لتغطية متطلبات التقييم والتصميم ونقل المعرفة مع ملفات أدوار مفتوحة لحين تأكيد التعيينات. — يتطلب تأكيد التعيينات من المحرك الثاني</w:t>
            </w:r>
          </w:p>
        </w:tc>
      </w:tr>
      <w:tr>
        <w:tc>
          <w:tcPr>
            <w:tcW w:type="dxa" w:w="2160"/>
          </w:tcPr>
          <w:p>
            <w:r>
              <w:t>Bullet Logic</w:t>
            </w:r>
          </w:p>
        </w:tc>
        <w:tc>
          <w:tcPr>
            <w:tcW w:type="dxa" w:w="7200"/>
          </w:tcPr>
          <w:p>
            <w:r>
              <w:t>مدير المشروع: 15+ سنة خبرة، PMP، 5+ مشاريع حكومية سعودية — يقود التنسيق بين المسارات الثلاثة [EXT-008]</w:t>
              <w:br/>
              <w:t>خبير أخلاقيات الذكاء الاصطناعي: 10+ سنوات، 3+ منشورات محكّمة — يقود الجانب الموضوعي والتوافق مع اليونسكو [EXT-002]</w:t>
              <w:br/>
              <w:t>مستشار التقييم المؤسسي: 12+ سنة، PgMP — يقود تصميم إطار التقييم وأُطر التعاون [EXT-004] [EXT-007]</w:t>
              <w:br/>
              <w:t>خبير نقل المعرفة: 8+ سنوات، CPTD — يقود برنامج بناء القدرات بآلياته الثلاث [EXT-006] [EXT-009]</w:t>
              <w:br/>
              <w:t>محلل الأبحاث: 5+ سنوات، ماجستير — يدعم المقارنة المعيارية الدولية وجمع البيانات [EXT-003]</w:t>
            </w:r>
          </w:p>
        </w:tc>
      </w:tr>
      <w:tr>
        <w:tc>
          <w:tcPr>
            <w:tcW w:type="dxa" w:w="2160"/>
          </w:tcPr>
          <w:p>
            <w:r>
              <w:t>Proof Points</w:t>
            </w:r>
          </w:p>
        </w:tc>
        <w:tc>
          <w:tcPr>
            <w:tcW w:type="dxa" w:w="7200"/>
          </w:tcPr>
          <w:p>
            <w:r>
              <w:t>EXT-008, EXT-002, EXT-004, EXT-007, EXT-006, EXT-009, EXT-003</w:t>
            </w:r>
          </w:p>
        </w:tc>
      </w:tr>
      <w:tr>
        <w:tc>
          <w:tcPr>
            <w:tcW w:type="dxa" w:w="2160"/>
          </w:tcPr>
          <w:p>
            <w:r>
              <w:t>Visual</w:t>
            </w:r>
          </w:p>
        </w:tc>
        <w:tc>
          <w:tcPr>
            <w:tcW w:type="dxa" w:w="7200"/>
          </w:tcPr>
          <w:p>
            <w:r>
              <w:t>مخطط هرمي يُظهر الأدوار الخمسة مع أيقونات تخصصية. كل دور مربوط بالمخرج الإلزامي الذي يقوده. إشارة واضحة إلى 'ملفات أدوار مفتوحة'.</w:t>
            </w:r>
          </w:p>
        </w:tc>
      </w:tr>
      <w:tr>
        <w:tc>
          <w:tcPr>
            <w:tcW w:type="dxa" w:w="2160"/>
          </w:tcPr>
          <w:p>
            <w:r>
              <w:t>Must-Have Evidence</w:t>
            </w:r>
          </w:p>
        </w:tc>
        <w:tc>
          <w:tcPr>
            <w:tcW w:type="dxa" w:w="7200"/>
          </w:tcPr>
          <w:p>
            <w:r>
              <w:t>EXT-002, EXT-006</w:t>
            </w:r>
          </w:p>
        </w:tc>
      </w:tr>
      <w:tr>
        <w:tc>
          <w:tcPr>
            <w:tcW w:type="dxa" w:w="2160"/>
          </w:tcPr>
          <w:p>
            <w:r>
              <w:t>Forbidden</w:t>
            </w:r>
          </w:p>
        </w:tc>
        <w:tc>
          <w:tcPr>
            <w:tcW w:type="dxa" w:w="7200"/>
          </w:tcPr>
          <w:p>
            <w:r>
              <w:t>ادعاء 'فريق مؤكد' أو 'تعيينات نهائية', ادعاء 'يستوفي كل عضو جميع الشروط', أسماء مستشارين بدون تأكيد من Engine 2</w:t>
            </w:r>
          </w:p>
        </w:tc>
      </w:tr>
    </w:tbl>
    <w:p/>
    <w:p>
      <w:pPr>
        <w:pStyle w:val="Heading2"/>
      </w:pPr>
      <w:r>
        <w:t>Slide 13: ملفات الأدوار الرئيسية: المؤهلات المستهدفة والخبرات المطلوبة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الفريق</w:t>
            </w:r>
          </w:p>
        </w:tc>
      </w:tr>
      <w:tr>
        <w:tc>
          <w:tcPr>
            <w:tcW w:type="dxa" w:w="2160"/>
          </w:tcPr>
          <w:p>
            <w:r>
              <w:t>Layout</w:t>
            </w:r>
          </w:p>
        </w:tc>
        <w:tc>
          <w:tcPr>
            <w:tcW w:type="dxa" w:w="7200"/>
          </w:tcPr>
          <w:p>
            <w:r>
              <w:t>بطاقات ملفات — ملف دور لكل مستشار رئيسي</w:t>
            </w:r>
          </w:p>
        </w:tc>
      </w:tr>
      <w:tr>
        <w:tc>
          <w:tcPr>
            <w:tcW w:type="dxa" w:w="2160"/>
          </w:tcPr>
          <w:p>
            <w:r>
              <w:t>Purpose</w:t>
            </w:r>
          </w:p>
        </w:tc>
        <w:tc>
          <w:tcPr>
            <w:tcW w:type="dxa" w:w="7200"/>
          </w:tcPr>
          <w:p>
            <w:r>
              <w:t>تفصيل المؤهلات المستهدفة للأدوار الثلاثة الأكثر حساسية تنافسياً.</w:t>
            </w:r>
          </w:p>
        </w:tc>
      </w:tr>
      <w:tr>
        <w:tc>
          <w:tcPr>
            <w:tcW w:type="dxa" w:w="2160"/>
          </w:tcPr>
          <w:p>
            <w:r>
              <w:t>Key Message</w:t>
            </w:r>
          </w:p>
        </w:tc>
        <w:tc>
          <w:tcPr>
            <w:tcW w:type="dxa" w:w="7200"/>
          </w:tcPr>
          <w:p>
            <w:r>
              <w:t>كل دور رئيسي مُحدد بمؤهلات إلزامية ومرغوبة ومسارات توظيف واضحة لضمان أعلى جودة تنفيذ. — يتطلب تأكيد التعيينات من المحرك الثاني</w:t>
            </w:r>
          </w:p>
        </w:tc>
      </w:tr>
      <w:tr>
        <w:tc>
          <w:tcPr>
            <w:tcW w:type="dxa" w:w="2160"/>
          </w:tcPr>
          <w:p>
            <w:r>
              <w:t>Bullet Logic</w:t>
            </w:r>
          </w:p>
        </w:tc>
        <w:tc>
          <w:tcPr>
            <w:tcW w:type="dxa" w:w="7200"/>
          </w:tcPr>
          <w:p>
            <w:r>
              <w:t>خبير أخلاقيات الذكاء الاصطناعي: إلزامي — 3+ منشورات محكّمة؛ مرغوب بشدة — خبرة مطلوبة في RAM أو توصية اليونسكو 2021 [EXT-002]</w:t>
              <w:br/>
              <w:t>مستشار التقييم المؤسسي: إلزامي — 3+ مشاريع تقييم مؤسسي حكومي؛ خبرة في أُطر CISF وWHO [EXT-004] [EXT-008]</w:t>
              <w:br/>
              <w:t>خبير نقل المعرفة: إلزامي — 3+ مشاريع نقل معرفة حكومي؛ خبرة في إطار APQC والتقييم القائم على الكفاءات [EXT-006] [EXT-009]</w:t>
              <w:br/>
              <w:t>جميع الأدوار: ملفات مفتوحة لحين تأكيد التعيينات من قاعدة بيانات الموارد البشرية وشبكة الشراكات</w:t>
            </w:r>
          </w:p>
        </w:tc>
      </w:tr>
      <w:tr>
        <w:tc>
          <w:tcPr>
            <w:tcW w:type="dxa" w:w="2160"/>
          </w:tcPr>
          <w:p>
            <w:r>
              <w:t>Proof Points</w:t>
            </w:r>
          </w:p>
        </w:tc>
        <w:tc>
          <w:tcPr>
            <w:tcW w:type="dxa" w:w="7200"/>
          </w:tcPr>
          <w:p>
            <w:r>
              <w:t>EXT-002, EXT-004, EXT-008, EXT-006, EXT-009</w:t>
            </w:r>
          </w:p>
        </w:tc>
      </w:tr>
      <w:tr>
        <w:tc>
          <w:tcPr>
            <w:tcW w:type="dxa" w:w="2160"/>
          </w:tcPr>
          <w:p>
            <w:r>
              <w:t>Visual</w:t>
            </w:r>
          </w:p>
        </w:tc>
        <w:tc>
          <w:tcPr>
            <w:tcW w:type="dxa" w:w="7200"/>
          </w:tcPr>
          <w:p>
            <w:r>
              <w:t>ثلاث بطاقات ملف شخصي (بدون صور) تتضمن: عنوان الدور، المؤهلات الإلزامية، المؤهلات المرغوبة، المخرج المملوك.</w:t>
            </w:r>
          </w:p>
        </w:tc>
      </w:tr>
      <w:tr>
        <w:tc>
          <w:tcPr>
            <w:tcW w:type="dxa" w:w="2160"/>
          </w:tcPr>
          <w:p>
            <w:r>
              <w:t>Must-Have Evidence</w:t>
            </w:r>
          </w:p>
        </w:tc>
        <w:tc>
          <w:tcPr>
            <w:tcW w:type="dxa" w:w="7200"/>
          </w:tcPr>
          <w:p>
            <w:r>
              <w:t>EXT-002, EXT-006</w:t>
            </w:r>
          </w:p>
        </w:tc>
      </w:tr>
      <w:tr>
        <w:tc>
          <w:tcPr>
            <w:tcW w:type="dxa" w:w="2160"/>
          </w:tcPr>
          <w:p>
            <w:r>
              <w:t>Forbidden</w:t>
            </w:r>
          </w:p>
        </w:tc>
        <w:tc>
          <w:tcPr>
            <w:tcW w:type="dxa" w:w="7200"/>
          </w:tcPr>
          <w:p>
            <w:r>
              <w:t>أسماء مستشارين غير مؤكدين, ادعاء 'مطابقة 100%', سير ذاتية بدون تأكيد من Engine 2</w:t>
            </w:r>
          </w:p>
        </w:tc>
      </w:tr>
    </w:tbl>
    <w:p/>
    <w:p>
      <w:pPr>
        <w:pStyle w:val="Heading2"/>
      </w:pPr>
      <w:r>
        <w:t>Slide 14: مصفوفة المسؤوليات: أدوار واضحة لكل مخرج</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الفريق</w:t>
            </w:r>
          </w:p>
        </w:tc>
      </w:tr>
      <w:tr>
        <w:tc>
          <w:tcPr>
            <w:tcW w:type="dxa" w:w="2160"/>
          </w:tcPr>
          <w:p>
            <w:r>
              <w:t>Layout</w:t>
            </w:r>
          </w:p>
        </w:tc>
        <w:tc>
          <w:tcPr>
            <w:tcW w:type="dxa" w:w="7200"/>
          </w:tcPr>
          <w:p>
            <w:r>
              <w:t>مصفوفة RACI مُبسّطة</w:t>
            </w:r>
          </w:p>
        </w:tc>
      </w:tr>
      <w:tr>
        <w:tc>
          <w:tcPr>
            <w:tcW w:type="dxa" w:w="2160"/>
          </w:tcPr>
          <w:p>
            <w:r>
              <w:t>Purpose</w:t>
            </w:r>
          </w:p>
        </w:tc>
        <w:tc>
          <w:tcPr>
            <w:tcW w:type="dxa" w:w="7200"/>
          </w:tcPr>
          <w:p>
            <w:r>
              <w:t>توضيح توزيع المسؤوليات بين فريق ستراتيجيك جيرز وفريق سدايا عبر المخرجات الثلاثة.</w:t>
            </w:r>
          </w:p>
        </w:tc>
      </w:tr>
      <w:tr>
        <w:tc>
          <w:tcPr>
            <w:tcW w:type="dxa" w:w="2160"/>
          </w:tcPr>
          <w:p>
            <w:r>
              <w:t>Key Message</w:t>
            </w:r>
          </w:p>
        </w:tc>
        <w:tc>
          <w:tcPr>
            <w:tcW w:type="dxa" w:w="7200"/>
          </w:tcPr>
          <w:p>
            <w:r>
              <w:t>كل مخرج له مسؤول تنفيذ ومعتمد ومستشار ومُطّلع محددون بدقة لضمان المساءلة والشفافية. — يتطلب تأكيد التعيينات من المحرك الثاني</w:t>
            </w:r>
          </w:p>
        </w:tc>
      </w:tr>
      <w:tr>
        <w:tc>
          <w:tcPr>
            <w:tcW w:type="dxa" w:w="2160"/>
          </w:tcPr>
          <w:p>
            <w:r>
              <w:t>Bullet Logic</w:t>
            </w:r>
          </w:p>
        </w:tc>
        <w:tc>
          <w:tcPr>
            <w:tcW w:type="dxa" w:w="7200"/>
          </w:tcPr>
          <w:p>
            <w:r>
              <w:t>D-1 التقييم: فريق SG ينفذ (R)، مدير المشاركة يعتمد (A)، خبراء سدايا يُستشارون (C)، اللجنة التوجيهية تُطّلع (I) [EXT-008]</w:t>
              <w:br/>
              <w:t>D-2 تطوير البرامج: فريق SG ينفذ مع مشاركة تصميمية من سدايا (R مشترك) لبناء الملكية المؤسسية [EXT-004]</w:t>
              <w:br/>
              <w:t>D-3 نقل المعرفة: مسؤولية مشتركة — SG يقدم المحتوى والمنهجية، سدايا يوفر الدعم اللوجستي والمتدربين [EXT-006]</w:t>
              <w:br/>
              <w:t>الحوكمة: مدير المشروع SG مسؤول عن التقارير والمخاطر، مدير مشروع سدايا مشارك في تحديد المخاطر [EXT-003]</w:t>
            </w:r>
          </w:p>
        </w:tc>
      </w:tr>
      <w:tr>
        <w:tc>
          <w:tcPr>
            <w:tcW w:type="dxa" w:w="2160"/>
          </w:tcPr>
          <w:p>
            <w:r>
              <w:t>Proof Points</w:t>
            </w:r>
          </w:p>
        </w:tc>
        <w:tc>
          <w:tcPr>
            <w:tcW w:type="dxa" w:w="7200"/>
          </w:tcPr>
          <w:p>
            <w:r>
              <w:t>EXT-008, EXT-004, EXT-006, EXT-003</w:t>
            </w:r>
          </w:p>
        </w:tc>
      </w:tr>
      <w:tr>
        <w:tc>
          <w:tcPr>
            <w:tcW w:type="dxa" w:w="2160"/>
          </w:tcPr>
          <w:p>
            <w:r>
              <w:t>Visual</w:t>
            </w:r>
          </w:p>
        </w:tc>
        <w:tc>
          <w:tcPr>
            <w:tcW w:type="dxa" w:w="7200"/>
          </w:tcPr>
          <w:p>
            <w:r>
              <w:t>مصفوفة RACI ملونة بأربعة ألوان (R أزرق، A أخضر، C أصفر، I رمادي). صفوف للمخرجات وأعمدة للأدوار.</w:t>
            </w:r>
          </w:p>
        </w:tc>
      </w:tr>
      <w:tr>
        <w:tc>
          <w:tcPr>
            <w:tcW w:type="dxa" w:w="2160"/>
          </w:tcPr>
          <w:p>
            <w:r>
              <w:t>Must-Have Evidence</w:t>
            </w:r>
          </w:p>
        </w:tc>
        <w:tc>
          <w:tcPr>
            <w:tcW w:type="dxa" w:w="7200"/>
          </w:tcPr>
          <w:p>
            <w:r>
              <w:t>EXT-008</w:t>
            </w:r>
          </w:p>
        </w:tc>
      </w:tr>
      <w:tr>
        <w:tc>
          <w:tcPr>
            <w:tcW w:type="dxa" w:w="2160"/>
          </w:tcPr>
          <w:p>
            <w:r>
              <w:t>Forbidden</w:t>
            </w:r>
          </w:p>
        </w:tc>
        <w:tc>
          <w:tcPr>
            <w:tcW w:type="dxa" w:w="7200"/>
          </w:tcPr>
          <w:p>
            <w:r>
              <w:t>غموض في توزيع المسؤوليات, تحميل سدايا مسؤوليات تنفيذية أساسية</w:t>
            </w:r>
          </w:p>
        </w:tc>
      </w:tr>
    </w:tbl>
    <w:p/>
    <w:p>
      <w:pPr>
        <w:pStyle w:val="Heading2"/>
      </w:pPr>
      <w:r>
        <w:t>Slide 15: المنهجية: أربع مراحل متسلسلة مع حوكمة مستمرة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نظرة عامة على المنهجية</w:t>
            </w:r>
          </w:p>
        </w:tc>
      </w:tr>
      <w:tr>
        <w:tc>
          <w:tcPr>
            <w:tcW w:type="dxa" w:w="2160"/>
          </w:tcPr>
          <w:p>
            <w:r>
              <w:t>Layout</w:t>
            </w:r>
          </w:p>
        </w:tc>
        <w:tc>
          <w:tcPr>
            <w:tcW w:type="dxa" w:w="7200"/>
          </w:tcPr>
          <w:p>
            <w:r>
              <w:t>مخطط تدفق — أربع مراحل مع مسار مستمر</w:t>
            </w:r>
          </w:p>
        </w:tc>
      </w:tr>
      <w:tr>
        <w:tc>
          <w:tcPr>
            <w:tcW w:type="dxa" w:w="2160"/>
          </w:tcPr>
          <w:p>
            <w:r>
              <w:t>Purpose</w:t>
            </w:r>
          </w:p>
        </w:tc>
        <w:tc>
          <w:tcPr>
            <w:tcW w:type="dxa" w:w="7200"/>
          </w:tcPr>
          <w:p>
            <w:r>
              <w:t>تقديم الهيكل المنهجي الشامل بصورة بصرية واضحة تُظهر التسلسل المنطقي والتكامل بين المراحل.</w:t>
            </w:r>
          </w:p>
        </w:tc>
      </w:tr>
      <w:tr>
        <w:tc>
          <w:tcPr>
            <w:tcW w:type="dxa" w:w="2160"/>
          </w:tcPr>
          <w:p>
            <w:r>
              <w:t>Key Message</w:t>
            </w:r>
          </w:p>
        </w:tc>
        <w:tc>
          <w:tcPr>
            <w:tcW w:type="dxa" w:w="7200"/>
          </w:tcPr>
          <w:p>
            <w:r>
              <w:t>منهجية رباعية المراحل مبنية على ثلاثة أُطر دولية مُحكّمة تضمن تسلسلاً منطقياً من التشخيص إلى التمكين.</w:t>
            </w:r>
          </w:p>
        </w:tc>
      </w:tr>
      <w:tr>
        <w:tc>
          <w:tcPr>
            <w:tcW w:type="dxa" w:w="2160"/>
          </w:tcPr>
          <w:p>
            <w:r>
              <w:t>Bullet Logic</w:t>
            </w:r>
          </w:p>
        </w:tc>
        <w:tc>
          <w:tcPr>
            <w:tcW w:type="dxa" w:w="7200"/>
          </w:tcPr>
          <w:p>
            <w:r>
              <w:t>المرحلة ١ — التقييم الشامل: تشخيص متعدد الأبعاد عبر نموذج TOE [EXT-007] ومنهجية WHO [EXT-008] ومؤشرات اليونسكو [EXT-003]</w:t>
              <w:br/>
              <w:t>المرحلة ٢ — تطوير البرامج: تصميم مبادرات وأُطر تعاون مبنية على نتائج التقييم عبر منطق CISF [EXT-004]</w:t>
              <w:br/>
              <w:t>المرحلة ٣ — التدريب ونقل المعرفة: بناء قدرات مستدامة عبر إطار APQC [EXT-006] بآليات SI-3 الثلاث</w:t>
              <w:br/>
              <w:t>المرحلة ٤ — التكامل والتسليم: ضمان الجودة والاتساق والتسليم النهائي مع خارطة طريق ما بعد المشروع</w:t>
              <w:br/>
              <w:t>مسار مستمر: نقل المعرفة يبدأ من اليوم الأول ولا ينتظر المرحلة الثالثة [EXT-006]</w:t>
            </w:r>
          </w:p>
        </w:tc>
      </w:tr>
      <w:tr>
        <w:tc>
          <w:tcPr>
            <w:tcW w:type="dxa" w:w="2160"/>
          </w:tcPr>
          <w:p>
            <w:r>
              <w:t>Proof Points</w:t>
            </w:r>
          </w:p>
        </w:tc>
        <w:tc>
          <w:tcPr>
            <w:tcW w:type="dxa" w:w="7200"/>
          </w:tcPr>
          <w:p>
            <w:r>
              <w:t>EXT-007, EXT-008, EXT-003, EXT-004, EXT-006</w:t>
            </w:r>
          </w:p>
        </w:tc>
      </w:tr>
      <w:tr>
        <w:tc>
          <w:tcPr>
            <w:tcW w:type="dxa" w:w="2160"/>
          </w:tcPr>
          <w:p>
            <w:r>
              <w:t>Visual</w:t>
            </w:r>
          </w:p>
        </w:tc>
        <w:tc>
          <w:tcPr>
            <w:tcW w:type="dxa" w:w="7200"/>
          </w:tcPr>
          <w:p>
            <w:r>
              <w:t>مخطط تدفق أفقي بأربع مراحل متصلة بأسهم. مسار نقل المعرفة المستمر كشريط سفلي يمتد عبر جميع المراحل. بوابات اعتماد بين المراحل.</w:t>
            </w:r>
          </w:p>
        </w:tc>
      </w:tr>
      <w:tr>
        <w:tc>
          <w:tcPr>
            <w:tcW w:type="dxa" w:w="2160"/>
          </w:tcPr>
          <w:p>
            <w:r>
              <w:t>Must-Have Evidence</w:t>
            </w:r>
          </w:p>
        </w:tc>
        <w:tc>
          <w:tcPr>
            <w:tcW w:type="dxa" w:w="7200"/>
          </w:tcPr>
          <w:p>
            <w:r>
              <w:t>EXT-007, EXT-004, EXT-006</w:t>
            </w:r>
          </w:p>
        </w:tc>
      </w:tr>
      <w:tr>
        <w:tc>
          <w:tcPr>
            <w:tcW w:type="dxa" w:w="2160"/>
          </w:tcPr>
          <w:p>
            <w:r>
              <w:t>Forbidden</w:t>
            </w:r>
          </w:p>
        </w:tc>
        <w:tc>
          <w:tcPr>
            <w:tcW w:type="dxa" w:w="7200"/>
          </w:tcPr>
          <w:p>
            <w:r>
              <w:t>تفاصيل أنشطة فرعية — تُترك لشرائح المراحل, تواريخ محددة بدون تأكيد المدة الإجمالية</w:t>
            </w:r>
          </w:p>
        </w:tc>
      </w:tr>
    </w:tbl>
    <w:p/>
    <w:p>
      <w:pPr>
        <w:pStyle w:val="Heading2"/>
      </w:pPr>
      <w:r>
        <w:t>Slide 16: لماذا أربع مراحل: تفوق على البدائل المنهجية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نظرة عامة على المنهجية</w:t>
            </w:r>
          </w:p>
        </w:tc>
      </w:tr>
      <w:tr>
        <w:tc>
          <w:tcPr>
            <w:tcW w:type="dxa" w:w="2160"/>
          </w:tcPr>
          <w:p>
            <w:r>
              <w:t>Layout</w:t>
            </w:r>
          </w:p>
        </w:tc>
        <w:tc>
          <w:tcPr>
            <w:tcW w:type="dxa" w:w="7200"/>
          </w:tcPr>
          <w:p>
            <w:r>
              <w:t>مقارنة منهجية — لماذا هذا الهيكل وليس غيره</w:t>
            </w:r>
          </w:p>
        </w:tc>
      </w:tr>
      <w:tr>
        <w:tc>
          <w:tcPr>
            <w:tcW w:type="dxa" w:w="2160"/>
          </w:tcPr>
          <w:p>
            <w:r>
              <w:t>Purpose</w:t>
            </w:r>
          </w:p>
        </w:tc>
        <w:tc>
          <w:tcPr>
            <w:tcW w:type="dxa" w:w="7200"/>
          </w:tcPr>
          <w:p>
            <w:r>
              <w:t>تبرير اختيار الهيكل المنهجي الرباعي مقابل البدائل المتاحة.</w:t>
            </w:r>
          </w:p>
        </w:tc>
      </w:tr>
      <w:tr>
        <w:tc>
          <w:tcPr>
            <w:tcW w:type="dxa" w:w="2160"/>
          </w:tcPr>
          <w:p>
            <w:r>
              <w:t>Key Message</w:t>
            </w:r>
          </w:p>
        </w:tc>
        <w:tc>
          <w:tcPr>
            <w:tcW w:type="dxa" w:w="7200"/>
          </w:tcPr>
          <w:p>
            <w:r>
              <w:t>الهيكل الرباعي يتفوق على البديل الثلاثي (يدمج نقل المعرفة في التسليم) والتكراري (يُضعف التسلسل المنطقي) والخطي (يفتقر للمراجعة). — يتطلب تأكيد التعيينات من المحرك الثاني</w:t>
            </w:r>
          </w:p>
        </w:tc>
      </w:tr>
      <w:tr>
        <w:tc>
          <w:tcPr>
            <w:tcW w:type="dxa" w:w="2160"/>
          </w:tcPr>
          <w:p>
            <w:r>
              <w:t>Bullet Logic</w:t>
            </w:r>
          </w:p>
        </w:tc>
        <w:tc>
          <w:tcPr>
            <w:tcW w:type="dxa" w:w="7200"/>
          </w:tcPr>
          <w:p>
            <w:r>
              <w:t>البديل الثلاثي: يُحوّل نقل المعرفة إلى نشاط ختامي — يتعارض مع متطلب SI-3 بالتدريب على رأس العمل من المراحل المبكرة [EXT-006]</w:t>
              <w:br/>
              <w:t>البديل التكراري (Agile): يُناسب المنتجات الرقمية لكنه يُضعف التسلسل المطلوب حيث يجب أن يبني D-2 على نتائج D-1 صراحةً [EXT-004]</w:t>
              <w:br/>
              <w:t>البديل الخطي (Waterfall): يفتقر لآليات المراجعة التكرارية والحوكمة المستمرة في مشروع متعدد الأطراف [EXT-008]</w:t>
              <w:br/>
              <w:t>الهيكل المُختار: يجمع التسلسل المنطقي مع المرونة التكرارية عبر بوابات الاعتماد ومسار نقل المعرفة المستمر</w:t>
            </w:r>
          </w:p>
        </w:tc>
      </w:tr>
      <w:tr>
        <w:tc>
          <w:tcPr>
            <w:tcW w:type="dxa" w:w="2160"/>
          </w:tcPr>
          <w:p>
            <w:r>
              <w:t>Proof Points</w:t>
            </w:r>
          </w:p>
        </w:tc>
        <w:tc>
          <w:tcPr>
            <w:tcW w:type="dxa" w:w="7200"/>
          </w:tcPr>
          <w:p>
            <w:r>
              <w:t>EXT-006, EXT-004, EXT-008</w:t>
            </w:r>
          </w:p>
        </w:tc>
      </w:tr>
      <w:tr>
        <w:tc>
          <w:tcPr>
            <w:tcW w:type="dxa" w:w="2160"/>
          </w:tcPr>
          <w:p>
            <w:r>
              <w:t>Visual</w:t>
            </w:r>
          </w:p>
        </w:tc>
        <w:tc>
          <w:tcPr>
            <w:tcW w:type="dxa" w:w="7200"/>
          </w:tcPr>
          <w:p>
            <w:r>
              <w:t>جدول مقارنة ثلاثي الأعمدة (البديل الثلاثي، التكراري، الخطي) مقابل الهيكل المُختار. علامات ✓ و✗ لكل معيار.</w:t>
            </w:r>
          </w:p>
        </w:tc>
      </w:tr>
      <w:tr>
        <w:tc>
          <w:tcPr>
            <w:tcW w:type="dxa" w:w="2160"/>
          </w:tcPr>
          <w:p>
            <w:r>
              <w:t>Must-Have Evidence</w:t>
            </w:r>
          </w:p>
        </w:tc>
        <w:tc>
          <w:tcPr>
            <w:tcW w:type="dxa" w:w="7200"/>
          </w:tcPr>
          <w:p>
            <w:r>
              <w:t>EXT-006</w:t>
            </w:r>
          </w:p>
        </w:tc>
      </w:tr>
      <w:tr>
        <w:tc>
          <w:tcPr>
            <w:tcW w:type="dxa" w:w="2160"/>
          </w:tcPr>
          <w:p>
            <w:r>
              <w:t>Forbidden</w:t>
            </w:r>
          </w:p>
        </w:tc>
        <w:tc>
          <w:tcPr>
            <w:tcW w:type="dxa" w:w="7200"/>
          </w:tcPr>
          <w:p>
            <w:r>
              <w:t>انتقاد منهجيات بعينها بشكل مطلق, ادعاء أن المنهجية المقترحة مثالية بدون قيود</w:t>
            </w:r>
          </w:p>
        </w:tc>
      </w:tr>
    </w:tbl>
    <w:p/>
    <w:p>
      <w:pPr>
        <w:pStyle w:val="Heading2"/>
      </w:pPr>
      <w:r>
        <w:t>Slide 17: المرحلة ١: التقييم الشامل — ثلاث طبقات منهجية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w:t>
            </w:r>
          </w:p>
        </w:tc>
      </w:tr>
      <w:tr>
        <w:tc>
          <w:tcPr>
            <w:tcW w:type="dxa" w:w="2160"/>
          </w:tcPr>
          <w:p>
            <w:r>
              <w:t>Layout</w:t>
            </w:r>
          </w:p>
        </w:tc>
        <w:tc>
          <w:tcPr>
            <w:tcW w:type="dxa" w:w="7200"/>
          </w:tcPr>
          <w:p>
            <w:r>
              <w:t>تفصيلي — أنشطة ومخرجات المرحلة الأولى</w:t>
            </w:r>
          </w:p>
        </w:tc>
      </w:tr>
      <w:tr>
        <w:tc>
          <w:tcPr>
            <w:tcW w:type="dxa" w:w="2160"/>
          </w:tcPr>
          <w:p>
            <w:r>
              <w:t>Purpose</w:t>
            </w:r>
          </w:p>
        </w:tc>
        <w:tc>
          <w:tcPr>
            <w:tcW w:type="dxa" w:w="7200"/>
          </w:tcPr>
          <w:p>
            <w:r>
              <w:t>تفصيل منهجية التقييم الشامل (D-1) بأنشطتها الفرعية وأدواتها ومخرجاتها.</w:t>
            </w:r>
          </w:p>
        </w:tc>
      </w:tr>
      <w:tr>
        <w:tc>
          <w:tcPr>
            <w:tcW w:type="dxa" w:w="2160"/>
          </w:tcPr>
          <w:p>
            <w:r>
              <w:t>Key Message</w:t>
            </w:r>
          </w:p>
        </w:tc>
        <w:tc>
          <w:tcPr>
            <w:tcW w:type="dxa" w:w="7200"/>
          </w:tcPr>
          <w:p>
            <w:r>
              <w:t>تقييم متعدد الأبعاد يدمج مؤشرات اليونسكو ونموذج TOE ومنهجية WHO لإنتاج بطاقة نضج وخريطة فجوات ومؤشرات M&amp;E.</w:t>
            </w:r>
          </w:p>
        </w:tc>
      </w:tr>
      <w:tr>
        <w:tc>
          <w:tcPr>
            <w:tcW w:type="dxa" w:w="2160"/>
          </w:tcPr>
          <w:p>
            <w:r>
              <w:t>Bullet Logic</w:t>
            </w:r>
          </w:p>
        </w:tc>
        <w:tc>
          <w:tcPr>
            <w:tcW w:type="dxa" w:w="7200"/>
          </w:tcPr>
          <w:p>
            <w:r>
              <w:t>الطبقة الأولى: مؤشرات التقارير الدورية لليونسكو [EXT-003] — تضمن توافق المخرجات مع لغة اليونسكو المؤسسية</w:t>
              <w:br/>
              <w:t>الطبقة الثانية: نموذج TOE ذو الأبعاد الثمانية [EXT-007] — يُقيّم النضج عبر البنية التحتية والحوكمة والكوادر والبيانات والأخلاقيات والابتكار والتنظيم والبيئة</w:t>
              <w:br/>
              <w:t>الطبقة الثالثة: منهجية WHO الهرمية [EXT-008] — الوظائف ← الأدوار ← متطلبات القدرات لعمق تشغيلي</w:t>
              <w:br/>
              <w:t>المخرجات: بطاقة نضج كمية، خريطة فجوات مُصنّفة، مصفوفة أولويات، خارطة طريق، إطار M&amp;E مبني على نظرية التغيير [EXT-012]</w:t>
            </w:r>
          </w:p>
        </w:tc>
      </w:tr>
      <w:tr>
        <w:tc>
          <w:tcPr>
            <w:tcW w:type="dxa" w:w="2160"/>
          </w:tcPr>
          <w:p>
            <w:r>
              <w:t>Proof Points</w:t>
            </w:r>
          </w:p>
        </w:tc>
        <w:tc>
          <w:tcPr>
            <w:tcW w:type="dxa" w:w="7200"/>
          </w:tcPr>
          <w:p>
            <w:r>
              <w:t>EXT-003, EXT-007, EXT-008, EXT-012</w:t>
            </w:r>
          </w:p>
        </w:tc>
      </w:tr>
      <w:tr>
        <w:tc>
          <w:tcPr>
            <w:tcW w:type="dxa" w:w="2160"/>
          </w:tcPr>
          <w:p>
            <w:r>
              <w:t>Visual</w:t>
            </w:r>
          </w:p>
        </w:tc>
        <w:tc>
          <w:tcPr>
            <w:tcW w:type="dxa" w:w="7200"/>
          </w:tcPr>
          <w:p>
            <w:r>
              <w:t>مخطط طبقات ثلاثي يُظهر الأُطر الثلاثة المتكاملة. أسهم تربط الطبقات بالمخرجات. رسم بياني رادار مُصغّر كمثال على بطاقة النضج.</w:t>
            </w:r>
          </w:p>
        </w:tc>
      </w:tr>
      <w:tr>
        <w:tc>
          <w:tcPr>
            <w:tcW w:type="dxa" w:w="2160"/>
          </w:tcPr>
          <w:p>
            <w:r>
              <w:t>Must-Have Evidence</w:t>
            </w:r>
          </w:p>
        </w:tc>
        <w:tc>
          <w:tcPr>
            <w:tcW w:type="dxa" w:w="7200"/>
          </w:tcPr>
          <w:p>
            <w:r>
              <w:t>EXT-007, EXT-008, EXT-003</w:t>
            </w:r>
          </w:p>
        </w:tc>
      </w:tr>
      <w:tr>
        <w:tc>
          <w:tcPr>
            <w:tcW w:type="dxa" w:w="2160"/>
          </w:tcPr>
          <w:p>
            <w:r>
              <w:t>Forbidden</w:t>
            </w:r>
          </w:p>
        </w:tc>
        <w:tc>
          <w:tcPr>
            <w:tcW w:type="dxa" w:w="7200"/>
          </w:tcPr>
          <w:p>
            <w:r>
              <w:t>نتائج تقييم افتراضية, ادعاء معرفة مسبقة بنتائج التقييم</w:t>
            </w:r>
          </w:p>
        </w:tc>
      </w:tr>
    </w:tbl>
    <w:p/>
    <w:p>
      <w:pPr>
        <w:pStyle w:val="Heading2"/>
      </w:pPr>
      <w:r>
        <w:t>Slide 18: المرحلة ١ (تابع): المقارنة المعيارية الدولية مع 5-8 دول</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w:t>
            </w:r>
          </w:p>
        </w:tc>
      </w:tr>
      <w:tr>
        <w:tc>
          <w:tcPr>
            <w:tcW w:type="dxa" w:w="2160"/>
          </w:tcPr>
          <w:p>
            <w:r>
              <w:t>Layout</w:t>
            </w:r>
          </w:p>
        </w:tc>
        <w:tc>
          <w:tcPr>
            <w:tcW w:type="dxa" w:w="7200"/>
          </w:tcPr>
          <w:p>
            <w:r>
              <w:t>تفصيلي — أنشطة جمع البيانات والمقارنة المعيارية</w:t>
            </w:r>
          </w:p>
        </w:tc>
      </w:tr>
      <w:tr>
        <w:tc>
          <w:tcPr>
            <w:tcW w:type="dxa" w:w="2160"/>
          </w:tcPr>
          <w:p>
            <w:r>
              <w:t>Purpose</w:t>
            </w:r>
          </w:p>
        </w:tc>
        <w:tc>
          <w:tcPr>
            <w:tcW w:type="dxa" w:w="7200"/>
          </w:tcPr>
          <w:p>
            <w:r>
              <w:t>تفصيل منهجية جمع البيانات والمقارنة المعيارية الدولية مع 5-8 دول.</w:t>
            </w:r>
          </w:p>
        </w:tc>
      </w:tr>
      <w:tr>
        <w:tc>
          <w:tcPr>
            <w:tcW w:type="dxa" w:w="2160"/>
          </w:tcPr>
          <w:p>
            <w:r>
              <w:t>Key Message</w:t>
            </w:r>
          </w:p>
        </w:tc>
        <w:tc>
          <w:tcPr>
            <w:tcW w:type="dxa" w:w="7200"/>
          </w:tcPr>
          <w:p>
            <w:r>
              <w:t>مقارنة معيارية مُهيكلة عبر 5-8 دول مرجعية باستخدام منهجية التقييم المقارن عبر الدول لتحديد موقع المملكة.</w:t>
            </w:r>
          </w:p>
        </w:tc>
      </w:tr>
      <w:tr>
        <w:tc>
          <w:tcPr>
            <w:tcW w:type="dxa" w:w="2160"/>
          </w:tcPr>
          <w:p>
            <w:r>
              <w:t>Bullet Logic</w:t>
            </w:r>
          </w:p>
        </w:tc>
        <w:tc>
          <w:tcPr>
            <w:tcW w:type="dxa" w:w="7200"/>
          </w:tcPr>
          <w:p>
            <w:r>
              <w:t>اختيار الدول: بالتشاور مع سدايا بناءً على نضج برامج أخلاقيات الذكاء الاصطناعي وحجم التعاون مع اليونسكو والتنوع الجغرافي [EXT-003]</w:t>
              <w:br/>
              <w:t>جمع البيانات: مسح مكتبي مُهيكل + 15-20 مقابلة مُعمّقة مع ثلاث فئات (سدايا، اليونسكو، خبراء) [EXT-008]</w:t>
              <w:br/>
              <w:t>التحليل المقارن: منهجية WHO للتقييم عبر الدول [EXT-008] مع إطار TOE [EXT-007] لضمان قابلية المقارنة</w:t>
              <w:br/>
              <w:t>المخرج: تقرير مقارنة معيارية مع مصفوفة تحديد المواقع التنافسية للمملكة</w:t>
            </w:r>
          </w:p>
        </w:tc>
      </w:tr>
      <w:tr>
        <w:tc>
          <w:tcPr>
            <w:tcW w:type="dxa" w:w="2160"/>
          </w:tcPr>
          <w:p>
            <w:r>
              <w:t>Proof Points</w:t>
            </w:r>
          </w:p>
        </w:tc>
        <w:tc>
          <w:tcPr>
            <w:tcW w:type="dxa" w:w="7200"/>
          </w:tcPr>
          <w:p>
            <w:r>
              <w:t>EXT-003, EXT-008, EXT-007</w:t>
            </w:r>
          </w:p>
        </w:tc>
      </w:tr>
      <w:tr>
        <w:tc>
          <w:tcPr>
            <w:tcW w:type="dxa" w:w="2160"/>
          </w:tcPr>
          <w:p>
            <w:r>
              <w:t>Visual</w:t>
            </w:r>
          </w:p>
        </w:tc>
        <w:tc>
          <w:tcPr>
            <w:tcW w:type="dxa" w:w="7200"/>
          </w:tcPr>
          <w:p>
            <w:r>
              <w:t>خريطة عالمية مُبسّطة تُظهر الدول المرجعية المحتملة. جدول مقارنة مُصغّر بالأبعاد الثمانية. أيقونات لأنواع البيانات.</w:t>
            </w:r>
          </w:p>
        </w:tc>
      </w:tr>
      <w:tr>
        <w:tc>
          <w:tcPr>
            <w:tcW w:type="dxa" w:w="2160"/>
          </w:tcPr>
          <w:p>
            <w:r>
              <w:t>Must-Have Evidence</w:t>
            </w:r>
          </w:p>
        </w:tc>
        <w:tc>
          <w:tcPr>
            <w:tcW w:type="dxa" w:w="7200"/>
          </w:tcPr>
          <w:p>
            <w:r>
              <w:t>EXT-008, EXT-003</w:t>
            </w:r>
          </w:p>
        </w:tc>
      </w:tr>
      <w:tr>
        <w:tc>
          <w:tcPr>
            <w:tcW w:type="dxa" w:w="2160"/>
          </w:tcPr>
          <w:p>
            <w:r>
              <w:t>Forbidden</w:t>
            </w:r>
          </w:p>
        </w:tc>
        <w:tc>
          <w:tcPr>
            <w:tcW w:type="dxa" w:w="7200"/>
          </w:tcPr>
          <w:p>
            <w:r>
              <w:t>تحديد دول مرجعية نهائية بدون تشاور مع سدايا, بيانات مقارنة افتراضية</w:t>
            </w:r>
          </w:p>
        </w:tc>
      </w:tr>
    </w:tbl>
    <w:p/>
    <w:p>
      <w:pPr>
        <w:pStyle w:val="Heading2"/>
      </w:pPr>
      <w:r>
        <w:t>Slide 19: المرحلة ٢: تصميم المبادرات وأُطر التعاون الدولي</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w:t>
            </w:r>
          </w:p>
        </w:tc>
      </w:tr>
      <w:tr>
        <w:tc>
          <w:tcPr>
            <w:tcW w:type="dxa" w:w="2160"/>
          </w:tcPr>
          <w:p>
            <w:r>
              <w:t>Layout</w:t>
            </w:r>
          </w:p>
        </w:tc>
        <w:tc>
          <w:tcPr>
            <w:tcW w:type="dxa" w:w="7200"/>
          </w:tcPr>
          <w:p>
            <w:r>
              <w:t>تفصيلي — أنشطة ومخرجات المرحلة الثانية</w:t>
            </w:r>
          </w:p>
        </w:tc>
      </w:tr>
      <w:tr>
        <w:tc>
          <w:tcPr>
            <w:tcW w:type="dxa" w:w="2160"/>
          </w:tcPr>
          <w:p>
            <w:r>
              <w:t>Purpose</w:t>
            </w:r>
          </w:p>
        </w:tc>
        <w:tc>
          <w:tcPr>
            <w:tcW w:type="dxa" w:w="7200"/>
          </w:tcPr>
          <w:p>
            <w:r>
              <w:t>تفصيل منهجية تطوير البرامج وتصميم أُطر التعاون (D-2).</w:t>
            </w:r>
          </w:p>
        </w:tc>
      </w:tr>
      <w:tr>
        <w:tc>
          <w:tcPr>
            <w:tcW w:type="dxa" w:w="2160"/>
          </w:tcPr>
          <w:p>
            <w:r>
              <w:t>Key Message</w:t>
            </w:r>
          </w:p>
        </w:tc>
        <w:tc>
          <w:tcPr>
            <w:tcW w:type="dxa" w:w="7200"/>
          </w:tcPr>
          <w:p>
            <w:r>
              <w:t>تصميم 3-5 مبادرات بحثية وأُطر تعاون دولي مبنية على نتائج التقييم ومرتبطة بأهداف التنمية المستدامة.</w:t>
            </w:r>
          </w:p>
        </w:tc>
      </w:tr>
      <w:tr>
        <w:tc>
          <w:tcPr>
            <w:tcW w:type="dxa" w:w="2160"/>
          </w:tcPr>
          <w:p>
            <w:r>
              <w:t>Bullet Logic</w:t>
            </w:r>
          </w:p>
        </w:tc>
        <w:tc>
          <w:tcPr>
            <w:tcW w:type="dxa" w:w="7200"/>
          </w:tcPr>
          <w:p>
            <w:r>
              <w:t>منطق الأولوية: إطار CISF [EXT-004] يُرتب المبادرات حسب الأثر الاستراتيجي والجاهزية المؤسسية — برامج منخفضة النضج ← تدخلات تأسيسية، متوسطة ← تطويرية، ناضجة ← ابتكارية</w:t>
              <w:br/>
              <w:t>تصميم المبادرات: 3-5 مبادرات بحثية بنظرية تغيير واضحة [EXT-012] ونطاق عمل ومخرجات ومؤشرات أداء لكل مبادرة</w:t>
              <w:br/>
              <w:t>آليات التعاون: تصنيف الدول الشريكة + نماذج اتفاقيات مُعيّرة + آليات تنسيق تشغيلي مُستلهمة من منصات ترجمة المعرفة [EXT-015]</w:t>
              <w:br/>
              <w:t>ربط SDGs: منهجية B4SDGs [EXT-013] لوسم كل مبادرة بأهداف التنمية المستدامة ذات الصلة بمؤشرات مزدوجة</w:t>
            </w:r>
          </w:p>
        </w:tc>
      </w:tr>
      <w:tr>
        <w:tc>
          <w:tcPr>
            <w:tcW w:type="dxa" w:w="2160"/>
          </w:tcPr>
          <w:p>
            <w:r>
              <w:t>Proof Points</w:t>
            </w:r>
          </w:p>
        </w:tc>
        <w:tc>
          <w:tcPr>
            <w:tcW w:type="dxa" w:w="7200"/>
          </w:tcPr>
          <w:p>
            <w:r>
              <w:t>EXT-004, EXT-012, EXT-015, EXT-013</w:t>
            </w:r>
          </w:p>
        </w:tc>
      </w:tr>
      <w:tr>
        <w:tc>
          <w:tcPr>
            <w:tcW w:type="dxa" w:w="2160"/>
          </w:tcPr>
          <w:p>
            <w:r>
              <w:t>Visual</w:t>
            </w:r>
          </w:p>
        </w:tc>
        <w:tc>
          <w:tcPr>
            <w:tcW w:type="dxa" w:w="7200"/>
          </w:tcPr>
          <w:p>
            <w:r>
              <w:t>مخطط تدفق يربط نتائج التقييم (D-1) بتصميم المبادرات (D-2). مصفوفة أثر-جاهزية مُصغّرة. أيقونات SDGs.</w:t>
            </w:r>
          </w:p>
        </w:tc>
      </w:tr>
      <w:tr>
        <w:tc>
          <w:tcPr>
            <w:tcW w:type="dxa" w:w="2160"/>
          </w:tcPr>
          <w:p>
            <w:r>
              <w:t>Must-Have Evidence</w:t>
            </w:r>
          </w:p>
        </w:tc>
        <w:tc>
          <w:tcPr>
            <w:tcW w:type="dxa" w:w="7200"/>
          </w:tcPr>
          <w:p>
            <w:r>
              <w:t>EXT-004, EXT-013</w:t>
            </w:r>
          </w:p>
        </w:tc>
      </w:tr>
      <w:tr>
        <w:tc>
          <w:tcPr>
            <w:tcW w:type="dxa" w:w="2160"/>
          </w:tcPr>
          <w:p>
            <w:r>
              <w:t>Forbidden</w:t>
            </w:r>
          </w:p>
        </w:tc>
        <w:tc>
          <w:tcPr>
            <w:tcW w:type="dxa" w:w="7200"/>
          </w:tcPr>
          <w:p>
            <w:r>
              <w:t>تصميم مبادرات محددة قبل إجراء التقييم, ربط عشوائي بأهداف SDGs بدون منهجية</w:t>
            </w:r>
          </w:p>
        </w:tc>
      </w:tr>
    </w:tbl>
    <w:p/>
    <w:p>
      <w:pPr>
        <w:pStyle w:val="Heading2"/>
      </w:pPr>
      <w:r>
        <w:t>Slide 20: المرحلة ٢ (تابع): آليات التعاون وربط أهداف التنمية المستدامة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w:t>
            </w:r>
          </w:p>
        </w:tc>
      </w:tr>
      <w:tr>
        <w:tc>
          <w:tcPr>
            <w:tcW w:type="dxa" w:w="2160"/>
          </w:tcPr>
          <w:p>
            <w:r>
              <w:t>Layout</w:t>
            </w:r>
          </w:p>
        </w:tc>
        <w:tc>
          <w:tcPr>
            <w:tcW w:type="dxa" w:w="7200"/>
          </w:tcPr>
          <w:p>
            <w:r>
              <w:t>تفصيلي — آليات التعاون الدولي وربط SDGs</w:t>
            </w:r>
          </w:p>
        </w:tc>
      </w:tr>
      <w:tr>
        <w:tc>
          <w:tcPr>
            <w:tcW w:type="dxa" w:w="2160"/>
          </w:tcPr>
          <w:p>
            <w:r>
              <w:t>Purpose</w:t>
            </w:r>
          </w:p>
        </w:tc>
        <w:tc>
          <w:tcPr>
            <w:tcW w:type="dxa" w:w="7200"/>
          </w:tcPr>
          <w:p>
            <w:r>
              <w:t>تفصيل تصميم آليات التعاون الدولي ومنهجية ربط البرامج بأهداف التنمية المستدامة.</w:t>
            </w:r>
          </w:p>
        </w:tc>
      </w:tr>
      <w:tr>
        <w:tc>
          <w:tcPr>
            <w:tcW w:type="dxa" w:w="2160"/>
          </w:tcPr>
          <w:p>
            <w:r>
              <w:t>Key Message</w:t>
            </w:r>
          </w:p>
        </w:tc>
        <w:tc>
          <w:tcPr>
            <w:tcW w:type="dxa" w:w="7200"/>
          </w:tcPr>
          <w:p>
            <w:r>
              <w:t>إطار تعاون دولي شامل يُحدد آليات العمل المشترك مع الدول الشريكة ويربط كل مبادرة بأهداف التنمية المستدامة بمنهجية مُهيكلة.</w:t>
            </w:r>
          </w:p>
        </w:tc>
      </w:tr>
      <w:tr>
        <w:tc>
          <w:tcPr>
            <w:tcW w:type="dxa" w:w="2160"/>
          </w:tcPr>
          <w:p>
            <w:r>
              <w:t>Bullet Logic</w:t>
            </w:r>
          </w:p>
        </w:tc>
        <w:tc>
          <w:tcPr>
            <w:tcW w:type="dxa" w:w="7200"/>
          </w:tcPr>
          <w:p>
            <w:r>
              <w:t>تصنيف الدول: ثلاثة مستويات (شراكة استراتيجية، تعاون بحثي، تبادل معرفي) مع نماذج اتفاقيات مُعيّرة لكل مستوى [EXT-004]</w:t>
              <w:br/>
              <w:t>آليات التنسيق: لجان مشتركة، اجتماعات دورية، منصات تبادل معرفة مُستلهمة من نموذج الإنتاج المشترك [EXT-015]</w:t>
              <w:br/>
              <w:t>ربط SDGs: مصفوفة مواءمة بصرية تربط كل مبادرة بالأهداف 4 و9 و17 مع مؤشرات أداء مزدوجة [EXT-013]</w:t>
              <w:br/>
              <w:t>التوافق مع اليونسكو: تصميم متوافق مع برامج EEP وABC وGEObs القائمة لتجنب المسارات الموازية [EXT-002]</w:t>
            </w:r>
          </w:p>
        </w:tc>
      </w:tr>
      <w:tr>
        <w:tc>
          <w:tcPr>
            <w:tcW w:type="dxa" w:w="2160"/>
          </w:tcPr>
          <w:p>
            <w:r>
              <w:t>Proof Points</w:t>
            </w:r>
          </w:p>
        </w:tc>
        <w:tc>
          <w:tcPr>
            <w:tcW w:type="dxa" w:w="7200"/>
          </w:tcPr>
          <w:p>
            <w:r>
              <w:t>EXT-004, EXT-015, EXT-013, EXT-002</w:t>
            </w:r>
          </w:p>
        </w:tc>
      </w:tr>
      <w:tr>
        <w:tc>
          <w:tcPr>
            <w:tcW w:type="dxa" w:w="2160"/>
          </w:tcPr>
          <w:p>
            <w:r>
              <w:t>Visual</w:t>
            </w:r>
          </w:p>
        </w:tc>
        <w:tc>
          <w:tcPr>
            <w:tcW w:type="dxa" w:w="7200"/>
          </w:tcPr>
          <w:p>
            <w:r>
              <w:t>مخطط شبكي يُظهر سدايا في المركز مع خطوط تعاون متعددة المستويات. مصفوفة SDGs مُصغّرة. شعارات برامج اليونسكو.</w:t>
            </w:r>
          </w:p>
        </w:tc>
      </w:tr>
      <w:tr>
        <w:tc>
          <w:tcPr>
            <w:tcW w:type="dxa" w:w="2160"/>
          </w:tcPr>
          <w:p>
            <w:r>
              <w:t>Must-Have Evidence</w:t>
            </w:r>
          </w:p>
        </w:tc>
        <w:tc>
          <w:tcPr>
            <w:tcW w:type="dxa" w:w="7200"/>
          </w:tcPr>
          <w:p>
            <w:r>
              <w:t>EXT-013, EXT-002</w:t>
            </w:r>
          </w:p>
        </w:tc>
      </w:tr>
      <w:tr>
        <w:tc>
          <w:tcPr>
            <w:tcW w:type="dxa" w:w="2160"/>
          </w:tcPr>
          <w:p>
            <w:r>
              <w:t>Forbidden</w:t>
            </w:r>
          </w:p>
        </w:tc>
        <w:tc>
          <w:tcPr>
            <w:tcW w:type="dxa" w:w="7200"/>
          </w:tcPr>
          <w:p>
            <w:r>
              <w:t>تحديد دول شريكة محددة بدون تشاور مع سدايا, ادعاء علاقات قائمة مع دول بعينها</w:t>
            </w:r>
          </w:p>
        </w:tc>
      </w:tr>
    </w:tbl>
    <w:p/>
    <w:p>
      <w:pPr>
        <w:pStyle w:val="Heading2"/>
      </w:pPr>
      <w:r>
        <w:t>Slide 21: المرحلة ٣: بناء القدرات المستدامة — ثلاث آليات مُهيكلة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w:t>
            </w:r>
          </w:p>
        </w:tc>
      </w:tr>
      <w:tr>
        <w:tc>
          <w:tcPr>
            <w:tcW w:type="dxa" w:w="2160"/>
          </w:tcPr>
          <w:p>
            <w:r>
              <w:t>Layout</w:t>
            </w:r>
          </w:p>
        </w:tc>
        <w:tc>
          <w:tcPr>
            <w:tcW w:type="dxa" w:w="7200"/>
          </w:tcPr>
          <w:p>
            <w:r>
              <w:t>تفصيلي — أنشطة ومخرجات المرحلة الثالثة</w:t>
            </w:r>
          </w:p>
        </w:tc>
      </w:tr>
      <w:tr>
        <w:tc>
          <w:tcPr>
            <w:tcW w:type="dxa" w:w="2160"/>
          </w:tcPr>
          <w:p>
            <w:r>
              <w:t>Purpose</w:t>
            </w:r>
          </w:p>
        </w:tc>
        <w:tc>
          <w:tcPr>
            <w:tcW w:type="dxa" w:w="7200"/>
          </w:tcPr>
          <w:p>
            <w:r>
              <w:t>تفصيل برنامج التدريب ونقل المعرفة (D-3) بآلياته الثلاث المنصوص عليها.</w:t>
            </w:r>
          </w:p>
        </w:tc>
      </w:tr>
      <w:tr>
        <w:tc>
          <w:tcPr>
            <w:tcW w:type="dxa" w:w="2160"/>
          </w:tcPr>
          <w:p>
            <w:r>
              <w:t>Key Message</w:t>
            </w:r>
          </w:p>
        </w:tc>
        <w:tc>
          <w:tcPr>
            <w:tcW w:type="dxa" w:w="7200"/>
          </w:tcPr>
          <w:p>
            <w:r>
              <w:t>برنامج نقل معرفة ثنائي المسار يُنتج فريقاً وطنياً مؤهلاً ومُقاس الكفاءات قادراً على إدارة دورة التقييم التالية بشكل مستقل. — يتطلب تأكيد التعيينات من المحرك الثاني</w:t>
            </w:r>
          </w:p>
        </w:tc>
      </w:tr>
      <w:tr>
        <w:tc>
          <w:tcPr>
            <w:tcW w:type="dxa" w:w="2160"/>
          </w:tcPr>
          <w:p>
            <w:r>
              <w:t>Bullet Logic</w:t>
            </w:r>
          </w:p>
        </w:tc>
        <w:tc>
          <w:tcPr>
            <w:tcW w:type="dxa" w:w="7200"/>
          </w:tcPr>
          <w:p>
            <w:r>
              <w:t>المسار الأول — تطوير الموارد البشرية: إطار APQC [EXT-006] (تخطيط ← تصميم ← تنفيذ ← قياس) مع تقييم كفاءات قبلي-بعدي [EXT-009]</w:t>
              <w:br/>
              <w:t>الآليات الثلاث المطلوبة: (1) ورش عمل تخصصية 4-6 ورش، (2) عمل جنباً إلى جنب بتدرج استقلالية، (3) تدريب على رأس العمل من المرحلة الأولى</w:t>
              <w:br/>
              <w:t>المسار الثاني — التعزيز المؤسسي: تأسيس فريق مُقيّمين داخلي 3-5 أعضاء [EXT-014] مع تقييم تجريبي مُشرَف عليه</w:t>
              <w:br/>
              <w:t>قياس الأثر: مقارنة كفاءات قبل/بعد لكل متدرب + تقييم جاهزية الفريق للعمل المستقل + خطة تطوير مستمر 12 شهراً</w:t>
            </w:r>
          </w:p>
        </w:tc>
      </w:tr>
      <w:tr>
        <w:tc>
          <w:tcPr>
            <w:tcW w:type="dxa" w:w="2160"/>
          </w:tcPr>
          <w:p>
            <w:r>
              <w:t>Proof Points</w:t>
            </w:r>
          </w:p>
        </w:tc>
        <w:tc>
          <w:tcPr>
            <w:tcW w:type="dxa" w:w="7200"/>
          </w:tcPr>
          <w:p>
            <w:r>
              <w:t>EXT-006, EXT-009, EXT-014</w:t>
            </w:r>
          </w:p>
        </w:tc>
      </w:tr>
      <w:tr>
        <w:tc>
          <w:tcPr>
            <w:tcW w:type="dxa" w:w="2160"/>
          </w:tcPr>
          <w:p>
            <w:r>
              <w:t>Visual</w:t>
            </w:r>
          </w:p>
        </w:tc>
        <w:tc>
          <w:tcPr>
            <w:tcW w:type="dxa" w:w="7200"/>
          </w:tcPr>
          <w:p>
            <w:r>
              <w:t>مخطط مسارين متوازيين (تطوير بشري + تعزيز مؤسسي) مع نقاط تقاطع. مقياس تدرج الاستقلالية. رسم بياني قبلي-بعدي مُصغّر.</w:t>
            </w:r>
          </w:p>
        </w:tc>
      </w:tr>
      <w:tr>
        <w:tc>
          <w:tcPr>
            <w:tcW w:type="dxa" w:w="2160"/>
          </w:tcPr>
          <w:p>
            <w:r>
              <w:t>Must-Have Evidence</w:t>
            </w:r>
          </w:p>
        </w:tc>
        <w:tc>
          <w:tcPr>
            <w:tcW w:type="dxa" w:w="7200"/>
          </w:tcPr>
          <w:p>
            <w:r>
              <w:t>EXT-006, EXT-009, EXT-014</w:t>
            </w:r>
          </w:p>
        </w:tc>
      </w:tr>
      <w:tr>
        <w:tc>
          <w:tcPr>
            <w:tcW w:type="dxa" w:w="2160"/>
          </w:tcPr>
          <w:p>
            <w:r>
              <w:t>Forbidden</w:t>
            </w:r>
          </w:p>
        </w:tc>
        <w:tc>
          <w:tcPr>
            <w:tcW w:type="dxa" w:w="7200"/>
          </w:tcPr>
          <w:p>
            <w:r>
              <w:t>تدريب عام غير مرتبط بمخرجات المشروع, ادعاء نتائج تدريب محددة قبل التنفيذ</w:t>
            </w:r>
          </w:p>
        </w:tc>
      </w:tr>
    </w:tbl>
    <w:p/>
    <w:p>
      <w:pPr>
        <w:pStyle w:val="Heading2"/>
      </w:pPr>
      <w:r>
        <w:t>Slide 22: المرحلة ٤: التكامل والتسليم — ضمان الجودة والاستدامة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تفاصيل المراحل</w:t>
            </w:r>
          </w:p>
        </w:tc>
      </w:tr>
      <w:tr>
        <w:tc>
          <w:tcPr>
            <w:tcW w:type="dxa" w:w="2160"/>
          </w:tcPr>
          <w:p>
            <w:r>
              <w:t>Layout</w:t>
            </w:r>
          </w:p>
        </w:tc>
        <w:tc>
          <w:tcPr>
            <w:tcW w:type="dxa" w:w="7200"/>
          </w:tcPr>
          <w:p>
            <w:r>
              <w:t>تفصيلي — المرحلة الرابعة والتكامل</w:t>
            </w:r>
          </w:p>
        </w:tc>
      </w:tr>
      <w:tr>
        <w:tc>
          <w:tcPr>
            <w:tcW w:type="dxa" w:w="2160"/>
          </w:tcPr>
          <w:p>
            <w:r>
              <w:t>Purpose</w:t>
            </w:r>
          </w:p>
        </w:tc>
        <w:tc>
          <w:tcPr>
            <w:tcW w:type="dxa" w:w="7200"/>
          </w:tcPr>
          <w:p>
            <w:r>
              <w:t>تفصيل مرحلة التكامل والتسليم النهائي مع ضمان الجودة وخارطة طريق ما بعد المشروع.</w:t>
            </w:r>
          </w:p>
        </w:tc>
      </w:tr>
      <w:tr>
        <w:tc>
          <w:tcPr>
            <w:tcW w:type="dxa" w:w="2160"/>
          </w:tcPr>
          <w:p>
            <w:r>
              <w:t>Key Message</w:t>
            </w:r>
          </w:p>
        </w:tc>
        <w:tc>
          <w:tcPr>
            <w:tcW w:type="dxa" w:w="7200"/>
          </w:tcPr>
          <w:p>
            <w:r>
              <w:t>مراجعة تكامل شاملة تضمن اتساق المخرجات الثلاثة مع تسليم حزمة متكاملة وخارطة طريق ما بعد المشروع.</w:t>
            </w:r>
          </w:p>
        </w:tc>
      </w:tr>
      <w:tr>
        <w:tc>
          <w:tcPr>
            <w:tcW w:type="dxa" w:w="2160"/>
          </w:tcPr>
          <w:p>
            <w:r>
              <w:t>Bullet Logic</w:t>
            </w:r>
          </w:p>
        </w:tc>
        <w:tc>
          <w:tcPr>
            <w:tcW w:type="dxa" w:w="7200"/>
          </w:tcPr>
          <w:p>
            <w:r>
              <w:t>مراجعة التكامل: التحقق من اتساق D-1 وD-2 وD-3 منهجياً ولغوياً ومصطلحياً مع مسرد مُوحّد عربي-إنجليزي [EXT-003]</w:t>
              <w:br/>
              <w:t>ضمان الجودة: دورة مراجعة خماسية المراحل (مسودة ← مراجعة داخلية ← تقديم ← تعديل ← اعتماد) مع مراجعة نظير مستقلة [EXT-008]</w:t>
              <w:br/>
              <w:t>حزمة التسليم: المُسلَّمات الثلاثة بنسختين (تفصيلية وتنفيذية) + ملاحق فنية وإدارية + مصفوفة تتبع المتطلبات</w:t>
              <w:br/>
              <w:t>خارطة طريق ما بعد المشروع: إجراءات فورية (0-3 أشهر)، متوسطة (3-12 شهراً)، طويلة المدى (12-36 شهراً)</w:t>
            </w:r>
          </w:p>
        </w:tc>
      </w:tr>
      <w:tr>
        <w:tc>
          <w:tcPr>
            <w:tcW w:type="dxa" w:w="2160"/>
          </w:tcPr>
          <w:p>
            <w:r>
              <w:t>Proof Points</w:t>
            </w:r>
          </w:p>
        </w:tc>
        <w:tc>
          <w:tcPr>
            <w:tcW w:type="dxa" w:w="7200"/>
          </w:tcPr>
          <w:p>
            <w:r>
              <w:t>EXT-003, EXT-008</w:t>
            </w:r>
          </w:p>
        </w:tc>
      </w:tr>
      <w:tr>
        <w:tc>
          <w:tcPr>
            <w:tcW w:type="dxa" w:w="2160"/>
          </w:tcPr>
          <w:p>
            <w:r>
              <w:t>Visual</w:t>
            </w:r>
          </w:p>
        </w:tc>
        <w:tc>
          <w:tcPr>
            <w:tcW w:type="dxa" w:w="7200"/>
          </w:tcPr>
          <w:p>
            <w:r>
              <w:t>قائمة تحقق بصرية مع علامات اكتمال. مخطط زمني لخارطة طريق ما بعد المشروع بثلاث فئات.</w:t>
            </w:r>
          </w:p>
        </w:tc>
      </w:tr>
      <w:tr>
        <w:tc>
          <w:tcPr>
            <w:tcW w:type="dxa" w:w="2160"/>
          </w:tcPr>
          <w:p>
            <w:r>
              <w:t>Must-Have Evidence</w:t>
            </w:r>
          </w:p>
        </w:tc>
        <w:tc>
          <w:tcPr>
            <w:tcW w:type="dxa" w:w="7200"/>
          </w:tcPr>
          <w:p>
            <w:r>
              <w:t>EXT-003</w:t>
            </w:r>
          </w:p>
        </w:tc>
      </w:tr>
      <w:tr>
        <w:tc>
          <w:tcPr>
            <w:tcW w:type="dxa" w:w="2160"/>
          </w:tcPr>
          <w:p>
            <w:r>
              <w:t>Forbidden</w:t>
            </w:r>
          </w:p>
        </w:tc>
        <w:tc>
          <w:tcPr>
            <w:tcW w:type="dxa" w:w="7200"/>
          </w:tcPr>
          <w:p>
            <w:r>
              <w:t>تفاصيل إدارية مفرطة, ادعاء ضمان نتائج محددة بعد انتهاء المشروع</w:t>
            </w:r>
          </w:p>
        </w:tc>
      </w:tr>
    </w:tbl>
    <w:p/>
    <w:p>
      <w:pPr>
        <w:pStyle w:val="Heading2"/>
      </w:pPr>
      <w:r>
        <w:t>Slide 23: هيكل الحوكمة: ثلاثة مستويات بمساءلة واضحة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الحوكمة</w:t>
            </w:r>
          </w:p>
        </w:tc>
      </w:tr>
      <w:tr>
        <w:tc>
          <w:tcPr>
            <w:tcW w:type="dxa" w:w="2160"/>
          </w:tcPr>
          <w:p>
            <w:r>
              <w:t>Layout</w:t>
            </w:r>
          </w:p>
        </w:tc>
        <w:tc>
          <w:tcPr>
            <w:tcW w:type="dxa" w:w="7200"/>
          </w:tcPr>
          <w:p>
            <w:r>
              <w:t>هيكلي — مخطط حوكمة ثلاثي المستويات</w:t>
            </w:r>
          </w:p>
        </w:tc>
      </w:tr>
      <w:tr>
        <w:tc>
          <w:tcPr>
            <w:tcW w:type="dxa" w:w="2160"/>
          </w:tcPr>
          <w:p>
            <w:r>
              <w:t>Purpose</w:t>
            </w:r>
          </w:p>
        </w:tc>
        <w:tc>
          <w:tcPr>
            <w:tcW w:type="dxa" w:w="7200"/>
          </w:tcPr>
          <w:p>
            <w:r>
              <w:t>عرض هيكل الحوكمة الشامل بمستوياته الثلاثة وآليات التقارير والتصعيد.</w:t>
            </w:r>
          </w:p>
        </w:tc>
      </w:tr>
      <w:tr>
        <w:tc>
          <w:tcPr>
            <w:tcW w:type="dxa" w:w="2160"/>
          </w:tcPr>
          <w:p>
            <w:r>
              <w:t>Key Message</w:t>
            </w:r>
          </w:p>
        </w:tc>
        <w:tc>
          <w:tcPr>
            <w:tcW w:type="dxa" w:w="7200"/>
          </w:tcPr>
          <w:p>
            <w:r>
              <w:t>هيكل حوكمة ثلاثي المستويات (لجنة توجيهية، إدارة مشروع، فرق عمل) مع بوابات اعتماد رسمية وآليات تصعيد محددة.</w:t>
            </w:r>
          </w:p>
        </w:tc>
      </w:tr>
      <w:tr>
        <w:tc>
          <w:tcPr>
            <w:tcW w:type="dxa" w:w="2160"/>
          </w:tcPr>
          <w:p>
            <w:r>
              <w:t>Bullet Logic</w:t>
            </w:r>
          </w:p>
        </w:tc>
        <w:tc>
          <w:tcPr>
            <w:tcW w:type="dxa" w:w="7200"/>
          </w:tcPr>
          <w:p>
            <w:r>
              <w:t>اللجنة التوجيهية: ممثلون من الإدارة العليا في سدايا + مدير المشاركة من SG — تجتمع كل أسبوعين وعند بوابات المراحل [EXT-008]</w:t>
              <w:br/>
              <w:t>مكتب إدارة المشروع: مدير المشروع من كل طرف — اجتماع أسبوعي + تقرير أسبوعي مُوجز [EXT-003]</w:t>
              <w:br/>
              <w:t>أربع بوابات اعتماد رسمية: بوابة D-1 ← بوابة D-2 ← بوابة D-3 ← التسليم النهائي — لا انتقال بدون موافقة رسمية</w:t>
              <w:br/>
              <w:t>آلية تصعيد رباعية المستويات: تشغيلي (24 ساعة) ← تكتيكي (48 ساعة) ← استراتيجي (5 أيام) ← تعاقدي (72 ساعة)</w:t>
            </w:r>
          </w:p>
        </w:tc>
      </w:tr>
      <w:tr>
        <w:tc>
          <w:tcPr>
            <w:tcW w:type="dxa" w:w="2160"/>
          </w:tcPr>
          <w:p>
            <w:r>
              <w:t>Proof Points</w:t>
            </w:r>
          </w:p>
        </w:tc>
        <w:tc>
          <w:tcPr>
            <w:tcW w:type="dxa" w:w="7200"/>
          </w:tcPr>
          <w:p>
            <w:r>
              <w:t>EXT-008, EXT-003</w:t>
            </w:r>
          </w:p>
        </w:tc>
      </w:tr>
      <w:tr>
        <w:tc>
          <w:tcPr>
            <w:tcW w:type="dxa" w:w="2160"/>
          </w:tcPr>
          <w:p>
            <w:r>
              <w:t>Visual</w:t>
            </w:r>
          </w:p>
        </w:tc>
        <w:tc>
          <w:tcPr>
            <w:tcW w:type="dxa" w:w="7200"/>
          </w:tcPr>
          <w:p>
            <w:r>
              <w:t>مخطط هرمي ثلاثي المستويات مع أسهم تصعيد. بوابات اعتماد مُبرزة بين المراحل. جدول اجتماعات مُصغّر.</w:t>
            </w:r>
          </w:p>
        </w:tc>
      </w:tr>
      <w:tr>
        <w:tc>
          <w:tcPr>
            <w:tcW w:type="dxa" w:w="2160"/>
          </w:tcPr>
          <w:p>
            <w:r>
              <w:t>Must-Have Evidence</w:t>
            </w:r>
          </w:p>
        </w:tc>
        <w:tc>
          <w:tcPr>
            <w:tcW w:type="dxa" w:w="7200"/>
          </w:tcPr>
          <w:p>
            <w:r>
              <w:t>EXT-008</w:t>
            </w:r>
          </w:p>
        </w:tc>
      </w:tr>
      <w:tr>
        <w:tc>
          <w:tcPr>
            <w:tcW w:type="dxa" w:w="2160"/>
          </w:tcPr>
          <w:p>
            <w:r>
              <w:t>Forbidden</w:t>
            </w:r>
          </w:p>
        </w:tc>
        <w:tc>
          <w:tcPr>
            <w:tcW w:type="dxa" w:w="7200"/>
          </w:tcPr>
          <w:p>
            <w:r>
              <w:t>غموض في صلاحيات اتخاذ القرار, تحميل سدايا مسؤوليات حوكمة مفرطة</w:t>
            </w:r>
          </w:p>
        </w:tc>
      </w:tr>
    </w:tbl>
    <w:p/>
    <w:p>
      <w:pPr>
        <w:pStyle w:val="Heading2"/>
      </w:pPr>
      <w:r>
        <w:t>Slide 24: ضمان الجودة وإدارة المخاطر: آليات استباقية مستمرة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الحوكمة</w:t>
            </w:r>
          </w:p>
        </w:tc>
      </w:tr>
      <w:tr>
        <w:tc>
          <w:tcPr>
            <w:tcW w:type="dxa" w:w="2160"/>
          </w:tcPr>
          <w:p>
            <w:r>
              <w:t>Layout</w:t>
            </w:r>
          </w:p>
        </w:tc>
        <w:tc>
          <w:tcPr>
            <w:tcW w:type="dxa" w:w="7200"/>
          </w:tcPr>
          <w:p>
            <w:r>
              <w:t>جدول — آليات ضمان الجودة وإدارة المخاطر</w:t>
            </w:r>
          </w:p>
        </w:tc>
      </w:tr>
      <w:tr>
        <w:tc>
          <w:tcPr>
            <w:tcW w:type="dxa" w:w="2160"/>
          </w:tcPr>
          <w:p>
            <w:r>
              <w:t>Purpose</w:t>
            </w:r>
          </w:p>
        </w:tc>
        <w:tc>
          <w:tcPr>
            <w:tcW w:type="dxa" w:w="7200"/>
          </w:tcPr>
          <w:p>
            <w:r>
              <w:t>تفصيل آليات ضمان الجودة وإدارة المخاطر المُطبّقة عبر جميع المراحل.</w:t>
            </w:r>
          </w:p>
        </w:tc>
      </w:tr>
      <w:tr>
        <w:tc>
          <w:tcPr>
            <w:tcW w:type="dxa" w:w="2160"/>
          </w:tcPr>
          <w:p>
            <w:r>
              <w:t>Key Message</w:t>
            </w:r>
          </w:p>
        </w:tc>
        <w:tc>
          <w:tcPr>
            <w:tcW w:type="dxa" w:w="7200"/>
          </w:tcPr>
          <w:p>
            <w:r>
              <w:t>نظام ضمان جودة خماسي المراحل مع إدارة مخاطر استباقية تتضمن سجل RAID مُحدّث أسبوعياً واحتياطي 10% للمخاطر.</w:t>
            </w:r>
          </w:p>
        </w:tc>
      </w:tr>
      <w:tr>
        <w:tc>
          <w:tcPr>
            <w:tcW w:type="dxa" w:w="2160"/>
          </w:tcPr>
          <w:p>
            <w:r>
              <w:t>Bullet Logic</w:t>
            </w:r>
          </w:p>
        </w:tc>
        <w:tc>
          <w:tcPr>
            <w:tcW w:type="dxa" w:w="7200"/>
          </w:tcPr>
          <w:p>
            <w:r>
              <w:t>دورة المراجعة الخماسية: مسودة ← مراجعة جودة داخلية (3-5 أيام) ← تقديم للعميل ← مراجعة وتعديل ← اعتماد وتوقيع [EXT-008]</w:t>
              <w:br/>
              <w:t>مراجعة النظير: كل مخرج رسمي يُراجعه خبير مستقل غير مشارك في إعداده — تقرير ملاحظات خلال 3 أيام عمل</w:t>
              <w:br/>
              <w:t>سجل المخاطر: 7 مخاطر أولية مُحددة مع خطط تخفيف وطوارئ — مصفوفة خطورة 4×4 [EXT-007]</w:t>
              <w:br/>
              <w:t>معايير قبول مُحددة: كل مخرج له فحوصات قابلة للقياس (شمولية، عمق، قابلية تنفيذ، توافق معياري، دقة لغوية) [EXT-003]</w:t>
            </w:r>
          </w:p>
        </w:tc>
      </w:tr>
      <w:tr>
        <w:tc>
          <w:tcPr>
            <w:tcW w:type="dxa" w:w="2160"/>
          </w:tcPr>
          <w:p>
            <w:r>
              <w:t>Proof Points</w:t>
            </w:r>
          </w:p>
        </w:tc>
        <w:tc>
          <w:tcPr>
            <w:tcW w:type="dxa" w:w="7200"/>
          </w:tcPr>
          <w:p>
            <w:r>
              <w:t>EXT-008, EXT-007, EXT-003</w:t>
            </w:r>
          </w:p>
        </w:tc>
      </w:tr>
      <w:tr>
        <w:tc>
          <w:tcPr>
            <w:tcW w:type="dxa" w:w="2160"/>
          </w:tcPr>
          <w:p>
            <w:r>
              <w:t>Visual</w:t>
            </w:r>
          </w:p>
        </w:tc>
        <w:tc>
          <w:tcPr>
            <w:tcW w:type="dxa" w:w="7200"/>
          </w:tcPr>
          <w:p>
            <w:r>
              <w:t>مخطط تدفق دورة المراجعة الخماسية. مصفوفة خطورة 4×4 ملونة. قائمة معايير قبول مع علامات تحقق.</w:t>
            </w:r>
          </w:p>
        </w:tc>
      </w:tr>
      <w:tr>
        <w:tc>
          <w:tcPr>
            <w:tcW w:type="dxa" w:w="2160"/>
          </w:tcPr>
          <w:p>
            <w:r>
              <w:t>Must-Have Evidence</w:t>
            </w:r>
          </w:p>
        </w:tc>
        <w:tc>
          <w:tcPr>
            <w:tcW w:type="dxa" w:w="7200"/>
          </w:tcPr>
          <w:p>
            <w:r>
              <w:t>EXT-008</w:t>
            </w:r>
          </w:p>
        </w:tc>
      </w:tr>
      <w:tr>
        <w:tc>
          <w:tcPr>
            <w:tcW w:type="dxa" w:w="2160"/>
          </w:tcPr>
          <w:p>
            <w:r>
              <w:t>Forbidden</w:t>
            </w:r>
          </w:p>
        </w:tc>
        <w:tc>
          <w:tcPr>
            <w:tcW w:type="dxa" w:w="7200"/>
          </w:tcPr>
          <w:p>
            <w:r>
              <w:t>ادعاء 'صفر أخطاء', تبسيط مفرط لإدارة المخاطر</w:t>
            </w:r>
          </w:p>
        </w:tc>
      </w:tr>
    </w:tbl>
    <w:p/>
    <w:p>
      <w:pPr>
        <w:pStyle w:val="Heading2"/>
      </w:pPr>
      <w:r>
        <w:t>Slide 25: تبعيات مدخلات سدايا: شفافية كاملة مع خطط طوارئ</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الحوكمة</w:t>
            </w:r>
          </w:p>
        </w:tc>
      </w:tr>
      <w:tr>
        <w:tc>
          <w:tcPr>
            <w:tcW w:type="dxa" w:w="2160"/>
          </w:tcPr>
          <w:p>
            <w:r>
              <w:t>Layout</w:t>
            </w:r>
          </w:p>
        </w:tc>
        <w:tc>
          <w:tcPr>
            <w:tcW w:type="dxa" w:w="7200"/>
          </w:tcPr>
          <w:p>
            <w:r>
              <w:t>جدول — تبعيات مدخلات سدايا وخطط الطوارئ</w:t>
            </w:r>
          </w:p>
        </w:tc>
      </w:tr>
      <w:tr>
        <w:tc>
          <w:tcPr>
            <w:tcW w:type="dxa" w:w="2160"/>
          </w:tcPr>
          <w:p>
            <w:r>
              <w:t>Purpose</w:t>
            </w:r>
          </w:p>
        </w:tc>
        <w:tc>
          <w:tcPr>
            <w:tcW w:type="dxa" w:w="7200"/>
          </w:tcPr>
          <w:p>
            <w:r>
              <w:t>توضيح المدخلات المطلوبة من سدايا مع المواعيد والأثر وخطط الطوارئ لكل تبعية.</w:t>
            </w:r>
          </w:p>
        </w:tc>
      </w:tr>
      <w:tr>
        <w:tc>
          <w:tcPr>
            <w:tcW w:type="dxa" w:w="2160"/>
          </w:tcPr>
          <w:p>
            <w:r>
              <w:t>Key Message</w:t>
            </w:r>
          </w:p>
        </w:tc>
        <w:tc>
          <w:tcPr>
            <w:tcW w:type="dxa" w:w="7200"/>
          </w:tcPr>
          <w:p>
            <w:r>
              <w:t>ستة مدخلات حرجة مطلوبة من سدايا مع مواعيد محددة وخطط طوارئ واضحة لكل سيناريو تأخر.</w:t>
            </w:r>
          </w:p>
        </w:tc>
      </w:tr>
      <w:tr>
        <w:tc>
          <w:tcPr>
            <w:tcW w:type="dxa" w:w="2160"/>
          </w:tcPr>
          <w:p>
            <w:r>
              <w:t>Bullet Logic</w:t>
            </w:r>
          </w:p>
        </w:tc>
        <w:tc>
          <w:tcPr>
            <w:tcW w:type="dxa" w:w="7200"/>
          </w:tcPr>
          <w:p>
            <w:r>
              <w:t>I-1: حزمة الوثائق (الأسبوع 1) — تأخرها يؤخر التحليل؛ الطوارئ: بدء بالبيانات العامة [EXT-003]</w:t>
              <w:br/>
              <w:t>I-2: قائمة أصحاب المصلحة في اليونسكو (الأسبوع 2) — تأخرها يُضعف التقييم؛ الطوارئ: استبيانات مكتوبة [EXT-008]</w:t>
              <w:br/>
              <w:t>I-3: ترشيح فريق المتدربين (الأسبوع 3) — تأخره يؤثر على التقييم القبلي؛ الطوارئ: تكثيف لاحق [EXT-009]</w:t>
              <w:br/>
              <w:t>I-4/I-5: مراجعة المخرجات (7-10 أيام عمل لكل بوابة) — تأخرها يؤخر المرحلة التالية؛ الطوارئ: موافقة مشروطة</w:t>
            </w:r>
          </w:p>
        </w:tc>
      </w:tr>
      <w:tr>
        <w:tc>
          <w:tcPr>
            <w:tcW w:type="dxa" w:w="2160"/>
          </w:tcPr>
          <w:p>
            <w:r>
              <w:t>Proof Points</w:t>
            </w:r>
          </w:p>
        </w:tc>
        <w:tc>
          <w:tcPr>
            <w:tcW w:type="dxa" w:w="7200"/>
          </w:tcPr>
          <w:p>
            <w:r>
              <w:t>EXT-003, EXT-008, EXT-009</w:t>
            </w:r>
          </w:p>
        </w:tc>
      </w:tr>
      <w:tr>
        <w:tc>
          <w:tcPr>
            <w:tcW w:type="dxa" w:w="2160"/>
          </w:tcPr>
          <w:p>
            <w:r>
              <w:t>Visual</w:t>
            </w:r>
          </w:p>
        </w:tc>
        <w:tc>
          <w:tcPr>
            <w:tcW w:type="dxa" w:w="7200"/>
          </w:tcPr>
          <w:p>
            <w:r>
              <w:t>جدول بست صفوف (مدخل، موعد، مرحلة متأثرة، أثر التأخر، خطة الطوارئ). ألوان تحذيرية للتبعيات الحرجة.</w:t>
            </w:r>
          </w:p>
        </w:tc>
      </w:tr>
      <w:tr>
        <w:tc>
          <w:tcPr>
            <w:tcW w:type="dxa" w:w="2160"/>
          </w:tcPr>
          <w:p>
            <w:r>
              <w:t>Must-Have Evidence</w:t>
            </w:r>
          </w:p>
        </w:tc>
        <w:tc>
          <w:tcPr>
            <w:tcW w:type="dxa" w:w="7200"/>
          </w:tcPr>
          <w:p>
            <w:r>
              <w:t>EXT-008</w:t>
            </w:r>
          </w:p>
        </w:tc>
      </w:tr>
      <w:tr>
        <w:tc>
          <w:tcPr>
            <w:tcW w:type="dxa" w:w="2160"/>
          </w:tcPr>
          <w:p>
            <w:r>
              <w:t>Forbidden</w:t>
            </w:r>
          </w:p>
        </w:tc>
        <w:tc>
          <w:tcPr>
            <w:tcW w:type="dxa" w:w="7200"/>
          </w:tcPr>
          <w:p>
            <w:r>
              <w:t>تحميل سدايا مسؤولية الفشل, مواعيد غير واقعية</w:t>
            </w:r>
          </w:p>
        </w:tc>
      </w:tr>
    </w:tbl>
    <w:p/>
    <w:p>
      <w:pPr>
        <w:pStyle w:val="Heading2"/>
      </w:pPr>
      <w:r>
        <w:t>Slide 26: الجدول الزمني: نسب مرنة مع بوابات اعتماد رسمية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الجدول الزمني والمعالم</w:t>
            </w:r>
          </w:p>
        </w:tc>
      </w:tr>
      <w:tr>
        <w:tc>
          <w:tcPr>
            <w:tcW w:type="dxa" w:w="2160"/>
          </w:tcPr>
          <w:p>
            <w:r>
              <w:t>Layout</w:t>
            </w:r>
          </w:p>
        </w:tc>
        <w:tc>
          <w:tcPr>
            <w:tcW w:type="dxa" w:w="7200"/>
          </w:tcPr>
          <w:p>
            <w:r>
              <w:t>مخطط جانت مُبسّط — نسب مئوية مع بوابات</w:t>
            </w:r>
          </w:p>
        </w:tc>
      </w:tr>
      <w:tr>
        <w:tc>
          <w:tcPr>
            <w:tcW w:type="dxa" w:w="2160"/>
          </w:tcPr>
          <w:p>
            <w:r>
              <w:t>Purpose</w:t>
            </w:r>
          </w:p>
        </w:tc>
        <w:tc>
          <w:tcPr>
            <w:tcW w:type="dxa" w:w="7200"/>
          </w:tcPr>
          <w:p>
            <w:r>
              <w:t>عرض الجدول الزمني المرن بنسب مئوية مع المعالم الرئيسية وبوابات الاعتماد.</w:t>
            </w:r>
          </w:p>
        </w:tc>
      </w:tr>
      <w:tr>
        <w:tc>
          <w:tcPr>
            <w:tcW w:type="dxa" w:w="2160"/>
          </w:tcPr>
          <w:p>
            <w:r>
              <w:t>Key Message</w:t>
            </w:r>
          </w:p>
        </w:tc>
        <w:tc>
          <w:tcPr>
            <w:tcW w:type="dxa" w:w="7200"/>
          </w:tcPr>
          <w:p>
            <w:r>
              <w:t>جدول زمني مُصمّم بنسب مئوية قابلة للتحويل الفوري إلى تواريخ محددة بمجرد تأكيد المدة الإجمالية من سدايا.</w:t>
            </w:r>
          </w:p>
        </w:tc>
      </w:tr>
      <w:tr>
        <w:tc>
          <w:tcPr>
            <w:tcW w:type="dxa" w:w="2160"/>
          </w:tcPr>
          <w:p>
            <w:r>
              <w:t>Bullet Logic</w:t>
            </w:r>
          </w:p>
        </w:tc>
        <w:tc>
          <w:tcPr>
            <w:tcW w:type="dxa" w:w="7200"/>
          </w:tcPr>
          <w:p>
            <w:r>
              <w:t>المرحلة ١ — التقييم: 30-35% من المدة الإجمالية — تشمل جمع البيانات والتحليل والمقارنة المعيارية والتوصيات [EXT-007] [EXT-008]</w:t>
              <w:br/>
              <w:t>المرحلة ٢ — تطوير البرامج: 25-30% — تشمل تصميم المبادرات وأُطر التعاون وربط SDGs [EXT-004] [EXT-013]</w:t>
              <w:br/>
              <w:t>المرحلة ٣ — التدريب ونقل المعرفة: 20-25% — تشمل ورش العمل والتدريب على رأس العمل والتقييم البعدي [EXT-006]</w:t>
              <w:br/>
              <w:t>بوابات الاعتماد: 7-10 أيام عمل لكل بوابة مُدرجة في الجدول — لا انتقال بدون موافقة رسمية</w:t>
            </w:r>
          </w:p>
        </w:tc>
      </w:tr>
      <w:tr>
        <w:tc>
          <w:tcPr>
            <w:tcW w:type="dxa" w:w="2160"/>
          </w:tcPr>
          <w:p>
            <w:r>
              <w:t>Proof Points</w:t>
            </w:r>
          </w:p>
        </w:tc>
        <w:tc>
          <w:tcPr>
            <w:tcW w:type="dxa" w:w="7200"/>
          </w:tcPr>
          <w:p>
            <w:r>
              <w:t>EXT-007, EXT-008, EXT-004, EXT-013, EXT-006</w:t>
            </w:r>
          </w:p>
        </w:tc>
      </w:tr>
      <w:tr>
        <w:tc>
          <w:tcPr>
            <w:tcW w:type="dxa" w:w="2160"/>
          </w:tcPr>
          <w:p>
            <w:r>
              <w:t>Visual</w:t>
            </w:r>
          </w:p>
        </w:tc>
        <w:tc>
          <w:tcPr>
            <w:tcW w:type="dxa" w:w="7200"/>
          </w:tcPr>
          <w:p>
            <w:r>
              <w:t>مخطط جانت أفقي بأربعة أشرطة (المراحل الثلاث + المسار المتقاطع). بوابات اعتماد كنقاط ماسية. نسب مئوية على كل شريط.</w:t>
            </w:r>
          </w:p>
        </w:tc>
      </w:tr>
      <w:tr>
        <w:tc>
          <w:tcPr>
            <w:tcW w:type="dxa" w:w="2160"/>
          </w:tcPr>
          <w:p>
            <w:r>
              <w:t>Must-Have Evidence</w:t>
            </w:r>
          </w:p>
        </w:tc>
        <w:tc>
          <w:tcPr>
            <w:tcW w:type="dxa" w:w="7200"/>
          </w:tcPr>
          <w:p>
            <w:r>
              <w:t>EXT-007, EXT-006</w:t>
            </w:r>
          </w:p>
        </w:tc>
      </w:tr>
      <w:tr>
        <w:tc>
          <w:tcPr>
            <w:tcW w:type="dxa" w:w="2160"/>
          </w:tcPr>
          <w:p>
            <w:r>
              <w:t>Forbidden</w:t>
            </w:r>
          </w:p>
        </w:tc>
        <w:tc>
          <w:tcPr>
            <w:tcW w:type="dxa" w:w="7200"/>
          </w:tcPr>
          <w:p>
            <w:r>
              <w:t>تواريخ ميلادية محددة بدون تأكيد المدة, جدول زمني غير واقعي</w:t>
            </w:r>
          </w:p>
        </w:tc>
      </w:tr>
    </w:tbl>
    <w:p/>
    <w:p>
      <w:pPr>
        <w:pStyle w:val="Heading2"/>
      </w:pPr>
      <w:r>
        <w:t>Slide 27: المسار الحرج والسيناريوهات الزمنية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الجدول الزمني والمعالم</w:t>
            </w:r>
          </w:p>
        </w:tc>
      </w:tr>
      <w:tr>
        <w:tc>
          <w:tcPr>
            <w:tcW w:type="dxa" w:w="2160"/>
          </w:tcPr>
          <w:p>
            <w:r>
              <w:t>Layout</w:t>
            </w:r>
          </w:p>
        </w:tc>
        <w:tc>
          <w:tcPr>
            <w:tcW w:type="dxa" w:w="7200"/>
          </w:tcPr>
          <w:p>
            <w:r>
              <w:t>جدول معالم — المسار الحرج والتبعيات</w:t>
            </w:r>
          </w:p>
        </w:tc>
      </w:tr>
      <w:tr>
        <w:tc>
          <w:tcPr>
            <w:tcW w:type="dxa" w:w="2160"/>
          </w:tcPr>
          <w:p>
            <w:r>
              <w:t>Purpose</w:t>
            </w:r>
          </w:p>
        </w:tc>
        <w:tc>
          <w:tcPr>
            <w:tcW w:type="dxa" w:w="7200"/>
          </w:tcPr>
          <w:p>
            <w:r>
              <w:t>تحديد المسار الحرج والتبعيات الرئيسية مع سيناريوهين زمنيين.</w:t>
            </w:r>
          </w:p>
        </w:tc>
      </w:tr>
      <w:tr>
        <w:tc>
          <w:tcPr>
            <w:tcW w:type="dxa" w:w="2160"/>
          </w:tcPr>
          <w:p>
            <w:r>
              <w:t>Key Message</w:t>
            </w:r>
          </w:p>
        </w:tc>
        <w:tc>
          <w:tcPr>
            <w:tcW w:type="dxa" w:w="7200"/>
          </w:tcPr>
          <w:p>
            <w:r>
              <w:t>التبعية الأكثر حساسية هي الانتقال من التقييم إلى التصميم — مع سيناريوهين زمنيين (24 أسبوعاً و16 أسبوعاً) لضمان المرونة.</w:t>
            </w:r>
          </w:p>
        </w:tc>
      </w:tr>
      <w:tr>
        <w:tc>
          <w:tcPr>
            <w:tcW w:type="dxa" w:w="2160"/>
          </w:tcPr>
          <w:p>
            <w:r>
              <w:t>Bullet Logic</w:t>
            </w:r>
          </w:p>
        </w:tc>
        <w:tc>
          <w:tcPr>
            <w:tcW w:type="dxa" w:w="7200"/>
          </w:tcPr>
          <w:p>
            <w:r>
              <w:t>المسار الحرج: جمع البيانات ← التحليل ← المقارنة المعيارية ← التوصيات ← [بوابة 1] ← تصميم المبادرات ← [بوابة 2] ← التدريب المكثف [EXT-008]</w:t>
              <w:br/>
              <w:t>التبعية الأكثر حساسية: تأخر الموافقة على D-1 يؤخر D-2 مباشرة — التخفيف: بدء أنشطة تحضيرية بالتوازي [EXT-004]</w:t>
              <w:br/>
              <w:t>سيناريو 24 أسبوعاً: تغطية كاملة مع 5-8 دول مقارنة و4-6 ورش عمل [EXT-007]</w:t>
              <w:br/>
              <w:t>سيناريو 16 أسبوعاً: تكثيف الموارد بنسبة 30-40% مع تقليص الدول المقارنة إلى 3-4 [EXT-003]</w:t>
            </w:r>
          </w:p>
        </w:tc>
      </w:tr>
      <w:tr>
        <w:tc>
          <w:tcPr>
            <w:tcW w:type="dxa" w:w="2160"/>
          </w:tcPr>
          <w:p>
            <w:r>
              <w:t>Proof Points</w:t>
            </w:r>
          </w:p>
        </w:tc>
        <w:tc>
          <w:tcPr>
            <w:tcW w:type="dxa" w:w="7200"/>
          </w:tcPr>
          <w:p>
            <w:r>
              <w:t>EXT-008, EXT-004, EXT-007, EXT-003</w:t>
            </w:r>
          </w:p>
        </w:tc>
      </w:tr>
      <w:tr>
        <w:tc>
          <w:tcPr>
            <w:tcW w:type="dxa" w:w="2160"/>
          </w:tcPr>
          <w:p>
            <w:r>
              <w:t>Visual</w:t>
            </w:r>
          </w:p>
        </w:tc>
        <w:tc>
          <w:tcPr>
            <w:tcW w:type="dxa" w:w="7200"/>
          </w:tcPr>
          <w:p>
            <w:r>
              <w:t>مخطط مسار حرج مع نقاط تبعية مُبرزة. جدول مقارنة بين السيناريوهين. أسهم تُظهر التبعيات.</w:t>
            </w:r>
          </w:p>
        </w:tc>
      </w:tr>
      <w:tr>
        <w:tc>
          <w:tcPr>
            <w:tcW w:type="dxa" w:w="2160"/>
          </w:tcPr>
          <w:p>
            <w:r>
              <w:t>Must-Have Evidence</w:t>
            </w:r>
          </w:p>
        </w:tc>
        <w:tc>
          <w:tcPr>
            <w:tcW w:type="dxa" w:w="7200"/>
          </w:tcPr>
          <w:p>
            <w:r>
              <w:t>EXT-008</w:t>
            </w:r>
          </w:p>
        </w:tc>
      </w:tr>
      <w:tr>
        <w:tc>
          <w:tcPr>
            <w:tcW w:type="dxa" w:w="2160"/>
          </w:tcPr>
          <w:p>
            <w:r>
              <w:t>Forbidden</w:t>
            </w:r>
          </w:p>
        </w:tc>
        <w:tc>
          <w:tcPr>
            <w:tcW w:type="dxa" w:w="7200"/>
          </w:tcPr>
          <w:p>
            <w:r>
              <w:t>التزام بسيناريو واحد بدون تأكيد المدة, تقليل من أثر التأخر</w:t>
            </w:r>
          </w:p>
        </w:tc>
      </w:tr>
    </w:tbl>
    <w:p/>
    <w:p>
      <w:pPr>
        <w:pStyle w:val="Heading2"/>
      </w:pPr>
      <w:r>
        <w:t>Slide 28: دراسة حالة: مشروع سابق مع سدايا واليونسكو في المجال ذاته</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دراسات الحالة والخبرات السابقة</w:t>
            </w:r>
          </w:p>
        </w:tc>
      </w:tr>
      <w:tr>
        <w:tc>
          <w:tcPr>
            <w:tcW w:type="dxa" w:w="2160"/>
          </w:tcPr>
          <w:p>
            <w:r>
              <w:t>Layout</w:t>
            </w:r>
          </w:p>
        </w:tc>
        <w:tc>
          <w:tcPr>
            <w:tcW w:type="dxa" w:w="7200"/>
          </w:tcPr>
          <w:p>
            <w:r>
              <w:t>بطاقة مشروع — PRJ-001</w:t>
            </w:r>
          </w:p>
        </w:tc>
      </w:tr>
      <w:tr>
        <w:tc>
          <w:tcPr>
            <w:tcW w:type="dxa" w:w="2160"/>
          </w:tcPr>
          <w:p>
            <w:r>
              <w:t>Purpose</w:t>
            </w:r>
          </w:p>
        </w:tc>
        <w:tc>
          <w:tcPr>
            <w:tcW w:type="dxa" w:w="7200"/>
          </w:tcPr>
          <w:p>
            <w:r>
              <w:t>عرض المشروع السابق مع سدايا واليونسكو كدليل على الخبرة المباشرة في المجال ذاته.</w:t>
            </w:r>
          </w:p>
        </w:tc>
      </w:tr>
      <w:tr>
        <w:tc>
          <w:tcPr>
            <w:tcW w:type="dxa" w:w="2160"/>
          </w:tcPr>
          <w:p>
            <w:r>
              <w:t>Key Message</w:t>
            </w:r>
          </w:p>
        </w:tc>
        <w:tc>
          <w:tcPr>
            <w:tcW w:type="dxa" w:w="7200"/>
          </w:tcPr>
          <w:p>
            <w:r>
              <w:t>ستراتيجيك جيرز نفّذت مشروعاً سابقاً مع سدايا واليونسكو تضمّن تقييماً معيارياً وأُطر تعاون في أبحاث وأخلاقيات الذكاء الاصطناعي.</w:t>
            </w:r>
          </w:p>
        </w:tc>
      </w:tr>
      <w:tr>
        <w:tc>
          <w:tcPr>
            <w:tcW w:type="dxa" w:w="2160"/>
          </w:tcPr>
          <w:p>
            <w:r>
              <w:t>Bullet Logic</w:t>
            </w:r>
          </w:p>
        </w:tc>
        <w:tc>
          <w:tcPr>
            <w:tcW w:type="dxa" w:w="7200"/>
          </w:tcPr>
          <w:p>
            <w:r>
              <w:t>العميل: الهيئة السعودية للبيانات والذكاء الاصطناعي (سدايا) بالتعاون مع اليونسكو [PRJ-001]</w:t>
              <w:br/>
              <w:t>النطاق: إعداد تقييم معياري لأداء برامج بحثية في أبحاث وأخلاقيات الذكاء الاصطناعي + وضع أُطر عمل ومبادرات بحثية [PRJ-001]</w:t>
              <w:br/>
              <w:t>الصلة المباشرة: المشروع السابق يتطابق مع نطاق المنافسة الحالية في المخرجات D-1 وD-2 [PRJ-001]</w:t>
              <w:br/>
              <w:t>التفاصيل الكمية: قيد الاستكمال من سجلات المشروع الداخلية — تشمل المنهجية المستخدمة وعدد الدول والمخرجات</w:t>
            </w:r>
          </w:p>
        </w:tc>
      </w:tr>
      <w:tr>
        <w:tc>
          <w:tcPr>
            <w:tcW w:type="dxa" w:w="2160"/>
          </w:tcPr>
          <w:p>
            <w:r>
              <w:t>Proof Points</w:t>
            </w:r>
          </w:p>
        </w:tc>
        <w:tc>
          <w:tcPr>
            <w:tcW w:type="dxa" w:w="7200"/>
          </w:tcPr>
          <w:p>
            <w:r>
              <w:t>PRJ-001</w:t>
            </w:r>
          </w:p>
        </w:tc>
      </w:tr>
      <w:tr>
        <w:tc>
          <w:tcPr>
            <w:tcW w:type="dxa" w:w="2160"/>
          </w:tcPr>
          <w:p>
            <w:r>
              <w:t>Visual</w:t>
            </w:r>
          </w:p>
        </w:tc>
        <w:tc>
          <w:tcPr>
            <w:tcW w:type="dxa" w:w="7200"/>
          </w:tcPr>
          <w:p>
            <w:r>
              <w:t>بطاقة مشروع مُهيكلة بحقول: العميل، الشريك الدولي، النطاق، المخرجات، الصلة بالمنافسة الحالية. شعارا سدايا واليونسكو.</w:t>
            </w:r>
          </w:p>
        </w:tc>
      </w:tr>
      <w:tr>
        <w:tc>
          <w:tcPr>
            <w:tcW w:type="dxa" w:w="2160"/>
          </w:tcPr>
          <w:p>
            <w:r>
              <w:t>Must-Have Evidence</w:t>
            </w:r>
          </w:p>
        </w:tc>
        <w:tc>
          <w:tcPr>
            <w:tcW w:type="dxa" w:w="7200"/>
          </w:tcPr>
          <w:p>
            <w:r>
              <w:t>PRJ-001</w:t>
            </w:r>
          </w:p>
        </w:tc>
      </w:tr>
      <w:tr>
        <w:tc>
          <w:tcPr>
            <w:tcW w:type="dxa" w:w="2160"/>
          </w:tcPr>
          <w:p>
            <w:r>
              <w:t>Forbidden</w:t>
            </w:r>
          </w:p>
        </w:tc>
        <w:tc>
          <w:tcPr>
            <w:tcW w:type="dxa" w:w="7200"/>
          </w:tcPr>
          <w:p>
            <w:r>
              <w:t>تفاصيل كمية غير مؤكدة من Engine 2, ادعاء نتائج محددة بدون توثيق, معلومات سرية عن المشروع السابق</w:t>
            </w:r>
          </w:p>
        </w:tc>
      </w:tr>
    </w:tbl>
    <w:p/>
    <w:p>
      <w:pPr>
        <w:pStyle w:val="Heading2"/>
      </w:pPr>
      <w:r>
        <w:t>Slide 29: خبرات إضافية: تقييم مؤسسي وتعاون دولي وبناء قدرات</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دراسات الحالة والخبرات السابقة</w:t>
            </w:r>
          </w:p>
        </w:tc>
      </w:tr>
      <w:tr>
        <w:tc>
          <w:tcPr>
            <w:tcW w:type="dxa" w:w="2160"/>
          </w:tcPr>
          <w:p>
            <w:r>
              <w:t>Layout</w:t>
            </w:r>
          </w:p>
        </w:tc>
        <w:tc>
          <w:tcPr>
            <w:tcW w:type="dxa" w:w="7200"/>
          </w:tcPr>
          <w:p>
            <w:r>
              <w:t>بطاقات مشاريع — خبرات إضافية مطلوبة</w:t>
            </w:r>
          </w:p>
        </w:tc>
      </w:tr>
      <w:tr>
        <w:tc>
          <w:tcPr>
            <w:tcW w:type="dxa" w:w="2160"/>
          </w:tcPr>
          <w:p>
            <w:r>
              <w:t>Purpose</w:t>
            </w:r>
          </w:p>
        </w:tc>
        <w:tc>
          <w:tcPr>
            <w:tcW w:type="dxa" w:w="7200"/>
          </w:tcPr>
          <w:p>
            <w:r>
              <w:t>عرض الخبرات الإضافية المطلوبة من Engine 2 لتعزيز المصداقية عبر مجالات التقييم المؤسسي والتعاون الدولي وبناء القدرات.</w:t>
            </w:r>
          </w:p>
        </w:tc>
      </w:tr>
      <w:tr>
        <w:tc>
          <w:tcPr>
            <w:tcW w:type="dxa" w:w="2160"/>
          </w:tcPr>
          <w:p>
            <w:r>
              <w:t>Key Message</w:t>
            </w:r>
          </w:p>
        </w:tc>
        <w:tc>
          <w:tcPr>
            <w:tcW w:type="dxa" w:w="7200"/>
          </w:tcPr>
          <w:p>
            <w:r>
              <w:t>سجل مشاريع متنوع يُغطي التقييم المؤسسي الحكومي وتصميم برامج التعاون الدولي وبناء القدرات ونقل المعرفة. — يتطلب تأكيد التعيينات من المحرك الثاني</w:t>
            </w:r>
          </w:p>
        </w:tc>
      </w:tr>
      <w:tr>
        <w:tc>
          <w:tcPr>
            <w:tcW w:type="dxa" w:w="2160"/>
          </w:tcPr>
          <w:p>
            <w:r>
              <w:t>Bullet Logic</w:t>
            </w:r>
          </w:p>
        </w:tc>
        <w:tc>
          <w:tcPr>
            <w:tcW w:type="dxa" w:w="7200"/>
          </w:tcPr>
          <w:p>
            <w:r>
              <w:t>تقييم مؤسسي: مشاريع تقييم نضج وتحليل فجوات لجهات حكومية سعودية — تدعم مصداقية D-1 [EXT-008]</w:t>
              <w:br/>
              <w:t>تعاون دولي: مشاريع تصميم برامج وأُطر تعاون مع منظمات دولية — تدعم مصداقية D-2 [EXT-004]</w:t>
              <w:br/>
              <w:t>بناء قدرات: مشاريع نقل معرفة وتدريب حكومي بمؤشرات أثر قابلة للقياس — تدعم مصداقية D-3 [EXT-006]</w:t>
              <w:br/>
              <w:t>ملاحظة: التفاصيل الكمية لكل مشروع قيد الاستكمال من قاعدة بيانات المشاريع الداخلية</w:t>
            </w:r>
          </w:p>
        </w:tc>
      </w:tr>
      <w:tr>
        <w:tc>
          <w:tcPr>
            <w:tcW w:type="dxa" w:w="2160"/>
          </w:tcPr>
          <w:p>
            <w:r>
              <w:t>Proof Points</w:t>
            </w:r>
          </w:p>
        </w:tc>
        <w:tc>
          <w:tcPr>
            <w:tcW w:type="dxa" w:w="7200"/>
          </w:tcPr>
          <w:p>
            <w:r>
              <w:t>EXT-008, EXT-004, EXT-006</w:t>
            </w:r>
          </w:p>
        </w:tc>
      </w:tr>
      <w:tr>
        <w:tc>
          <w:tcPr>
            <w:tcW w:type="dxa" w:w="2160"/>
          </w:tcPr>
          <w:p>
            <w:r>
              <w:t>Visual</w:t>
            </w:r>
          </w:p>
        </w:tc>
        <w:tc>
          <w:tcPr>
            <w:tcW w:type="dxa" w:w="7200"/>
          </w:tcPr>
          <w:p>
            <w:r>
              <w:t>ثلاث بطاقات مشاريع مُصغّرة (تقييم، تعاون، بناء قدرات) مع حقول: القطاع، النطاق، الصلة. مساحة مخصصة للتفاصيل من Engine 2.</w:t>
            </w:r>
          </w:p>
        </w:tc>
      </w:tr>
      <w:tr>
        <w:tc>
          <w:tcPr>
            <w:tcW w:type="dxa" w:w="2160"/>
          </w:tcPr>
          <w:p>
            <w:r>
              <w:t>Must-Have Evidence</w:t>
            </w:r>
          </w:p>
        </w:tc>
        <w:tc>
          <w:tcPr>
            <w:tcW w:type="dxa" w:w="7200"/>
          </w:tcPr>
          <w:p>
            <w:r>
              <w:t>EXT-008</w:t>
            </w:r>
          </w:p>
        </w:tc>
      </w:tr>
      <w:tr>
        <w:tc>
          <w:tcPr>
            <w:tcW w:type="dxa" w:w="2160"/>
          </w:tcPr>
          <w:p>
            <w:r>
              <w:t>Forbidden</w:t>
            </w:r>
          </w:p>
        </w:tc>
        <w:tc>
          <w:tcPr>
            <w:tcW w:type="dxa" w:w="7200"/>
          </w:tcPr>
          <w:p>
            <w:r>
              <w:t>ادعاء مشاريع غير مؤكدة, تفاصيل كمية افتراضية</w:t>
            </w:r>
          </w:p>
        </w:tc>
      </w:tr>
    </w:tbl>
    <w:p/>
    <w:p>
      <w:pPr>
        <w:pStyle w:val="Heading2"/>
      </w:pPr>
      <w:r>
        <w:t>Slide 30: مصفوفة تغطية الخبرات: كل مجال مدعوم بسابقة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دراسات الحالة والخبرات السابقة</w:t>
            </w:r>
          </w:p>
        </w:tc>
      </w:tr>
      <w:tr>
        <w:tc>
          <w:tcPr>
            <w:tcW w:type="dxa" w:w="2160"/>
          </w:tcPr>
          <w:p>
            <w:r>
              <w:t>Layout</w:t>
            </w:r>
          </w:p>
        </w:tc>
        <w:tc>
          <w:tcPr>
            <w:tcW w:type="dxa" w:w="7200"/>
          </w:tcPr>
          <w:p>
            <w:r>
              <w:t>ملخص خبرات — مصفوفة التغطية</w:t>
            </w:r>
          </w:p>
        </w:tc>
      </w:tr>
      <w:tr>
        <w:tc>
          <w:tcPr>
            <w:tcW w:type="dxa" w:w="2160"/>
          </w:tcPr>
          <w:p>
            <w:r>
              <w:t>Purpose</w:t>
            </w:r>
          </w:p>
        </w:tc>
        <w:tc>
          <w:tcPr>
            <w:tcW w:type="dxa" w:w="7200"/>
          </w:tcPr>
          <w:p>
            <w:r>
              <w:t>إثبات أن سجل الخبرات يُغطي جميع المجالات المطلوبة في نطاق العمل.</w:t>
            </w:r>
          </w:p>
        </w:tc>
      </w:tr>
      <w:tr>
        <w:tc>
          <w:tcPr>
            <w:tcW w:type="dxa" w:w="2160"/>
          </w:tcPr>
          <w:p>
            <w:r>
              <w:t>Key Message</w:t>
            </w:r>
          </w:p>
        </w:tc>
        <w:tc>
          <w:tcPr>
            <w:tcW w:type="dxa" w:w="7200"/>
          </w:tcPr>
          <w:p>
            <w:r>
              <w:t>سجل الخبرات المقترح يُغطي خمسة مجالات حرجة: أخلاقيات الذكاء الاصطناعي، التقييم المؤسسي، التعاون الدولي، بناء القدرات، والقطاع الحكومي السعودي.</w:t>
            </w:r>
          </w:p>
        </w:tc>
      </w:tr>
      <w:tr>
        <w:tc>
          <w:tcPr>
            <w:tcW w:type="dxa" w:w="2160"/>
          </w:tcPr>
          <w:p>
            <w:r>
              <w:t>Bullet Logic</w:t>
            </w:r>
          </w:p>
        </w:tc>
        <w:tc>
          <w:tcPr>
            <w:tcW w:type="dxa" w:w="7200"/>
          </w:tcPr>
          <w:p>
            <w:r>
              <w:t>أخلاقيات الذكاء الاصطناعي + اليونسكو: PRJ-001 يُغطي هذا المجال مباشرة [PRJ-001]</w:t>
              <w:br/>
              <w:t>التقييم المؤسسي الحكومي: مشاريع إضافية مطلوبة من Engine 2 — تدعم منهجية D-1 [EXT-007]</w:t>
              <w:br/>
              <w:t>التعاون الدولي: مشاريع إضافية مطلوبة — تدعم تصميم آليات D-2 [EXT-015]</w:t>
              <w:br/>
              <w:t>بناء القدرات ونقل المعرفة: مشاريع إضافية مطلوبة — تدعم برنامج D-3 [EXT-006]</w:t>
            </w:r>
          </w:p>
        </w:tc>
      </w:tr>
      <w:tr>
        <w:tc>
          <w:tcPr>
            <w:tcW w:type="dxa" w:w="2160"/>
          </w:tcPr>
          <w:p>
            <w:r>
              <w:t>Proof Points</w:t>
            </w:r>
          </w:p>
        </w:tc>
        <w:tc>
          <w:tcPr>
            <w:tcW w:type="dxa" w:w="7200"/>
          </w:tcPr>
          <w:p>
            <w:r>
              <w:t>PRJ-001, EXT-007, EXT-015, EXT-006</w:t>
            </w:r>
          </w:p>
        </w:tc>
      </w:tr>
      <w:tr>
        <w:tc>
          <w:tcPr>
            <w:tcW w:type="dxa" w:w="2160"/>
          </w:tcPr>
          <w:p>
            <w:r>
              <w:t>Visual</w:t>
            </w:r>
          </w:p>
        </w:tc>
        <w:tc>
          <w:tcPr>
            <w:tcW w:type="dxa" w:w="7200"/>
          </w:tcPr>
          <w:p>
            <w:r>
              <w:t>مصفوفة 5×4 (مجالات × مشاريع) مع علامات تحقق خضراء للمغطى وعلامات صفراء للمطلوب من Engine 2.</w:t>
            </w:r>
          </w:p>
        </w:tc>
      </w:tr>
      <w:tr>
        <w:tc>
          <w:tcPr>
            <w:tcW w:type="dxa" w:w="2160"/>
          </w:tcPr>
          <w:p>
            <w:r>
              <w:t>Must-Have Evidence</w:t>
            </w:r>
          </w:p>
        </w:tc>
        <w:tc>
          <w:tcPr>
            <w:tcW w:type="dxa" w:w="7200"/>
          </w:tcPr>
          <w:p>
            <w:r>
              <w:t>PRJ-001</w:t>
            </w:r>
          </w:p>
        </w:tc>
      </w:tr>
      <w:tr>
        <w:tc>
          <w:tcPr>
            <w:tcW w:type="dxa" w:w="2160"/>
          </w:tcPr>
          <w:p>
            <w:r>
              <w:t>Forbidden</w:t>
            </w:r>
          </w:p>
        </w:tc>
        <w:tc>
          <w:tcPr>
            <w:tcW w:type="dxa" w:w="7200"/>
          </w:tcPr>
          <w:p>
            <w:r>
              <w:t>ادعاء تغطية كاملة بدون أدلة, علامات تحقق خضراء لمشاريع غير مؤكدة</w:t>
            </w:r>
          </w:p>
        </w:tc>
      </w:tr>
    </w:tbl>
    <w:p/>
    <w:p>
      <w:pPr>
        <w:pStyle w:val="Heading2"/>
      </w:pPr>
      <w:r>
        <w:t>Slide 31: دروس مستفادة: من المشروع السابق إلى المنهجية المُحسّنة</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دراسات الحالة والخبرات السابقة</w:t>
            </w:r>
          </w:p>
        </w:tc>
      </w:tr>
      <w:tr>
        <w:tc>
          <w:tcPr>
            <w:tcW w:type="dxa" w:w="2160"/>
          </w:tcPr>
          <w:p>
            <w:r>
              <w:t>Layout</w:t>
            </w:r>
          </w:p>
        </w:tc>
        <w:tc>
          <w:tcPr>
            <w:tcW w:type="dxa" w:w="7200"/>
          </w:tcPr>
          <w:p>
            <w:r>
              <w:t>دروس مستفادة — من PRJ-001 إلى المشروع الحالي</w:t>
            </w:r>
          </w:p>
        </w:tc>
      </w:tr>
      <w:tr>
        <w:tc>
          <w:tcPr>
            <w:tcW w:type="dxa" w:w="2160"/>
          </w:tcPr>
          <w:p>
            <w:r>
              <w:t>Purpose</w:t>
            </w:r>
          </w:p>
        </w:tc>
        <w:tc>
          <w:tcPr>
            <w:tcW w:type="dxa" w:w="7200"/>
          </w:tcPr>
          <w:p>
            <w:r>
              <w:t>إظهار كيف تُطبّق الدروس المستفادة من المشروع السابق على تصميم المنهجية الحالية.</w:t>
            </w:r>
          </w:p>
        </w:tc>
      </w:tr>
      <w:tr>
        <w:tc>
          <w:tcPr>
            <w:tcW w:type="dxa" w:w="2160"/>
          </w:tcPr>
          <w:p>
            <w:r>
              <w:t>Key Message</w:t>
            </w:r>
          </w:p>
        </w:tc>
        <w:tc>
          <w:tcPr>
            <w:tcW w:type="dxa" w:w="7200"/>
          </w:tcPr>
          <w:p>
            <w:r>
              <w:t>المنهجية الحالية مُصمّمة بناءً على الدروس المستفادة من العمل السابق مع سدايا واليونسكو لتجنب أنماط الفشل المُوثّقة.</w:t>
            </w:r>
          </w:p>
        </w:tc>
      </w:tr>
      <w:tr>
        <w:tc>
          <w:tcPr>
            <w:tcW w:type="dxa" w:w="2160"/>
          </w:tcPr>
          <w:p>
            <w:r>
              <w:t>Bullet Logic</w:t>
            </w:r>
          </w:p>
        </w:tc>
        <w:tc>
          <w:tcPr>
            <w:tcW w:type="dxa" w:w="7200"/>
          </w:tcPr>
          <w:p>
            <w:r>
              <w:t>الدرس الأول: نقل المعرفة يجب أن يبدأ من اليوم الأول وليس كنشاط ختامي — لذلك صُمّم المسار المتقاطع المستمر [EXT-006]</w:t>
              <w:br/>
              <w:t>الدرس الثاني: التقييم يجب أن يتحدث بلغة اليونسكو المؤسسية — لذلك أُدمجت مؤشرات التقارير الدورية في الطبقة الأولى [EXT-003]</w:t>
              <w:br/>
              <w:t>الدرس الثالث: أُطر التعاون يجب أن تكون قابلة للتكرار — لذلك صُمّمت نماذج مُعيّرة لثلاثة مستويات [EXT-004]</w:t>
              <w:br/>
              <w:t>الدرس الرابع: المخرجات العربية الأصيلة أكثر قابلية للاستخدام المباشر من الترجمات [PRJ-001]</w:t>
            </w:r>
          </w:p>
        </w:tc>
      </w:tr>
      <w:tr>
        <w:tc>
          <w:tcPr>
            <w:tcW w:type="dxa" w:w="2160"/>
          </w:tcPr>
          <w:p>
            <w:r>
              <w:t>Proof Points</w:t>
            </w:r>
          </w:p>
        </w:tc>
        <w:tc>
          <w:tcPr>
            <w:tcW w:type="dxa" w:w="7200"/>
          </w:tcPr>
          <w:p>
            <w:r>
              <w:t>EXT-006, EXT-003, EXT-004, PRJ-001</w:t>
            </w:r>
          </w:p>
        </w:tc>
      </w:tr>
      <w:tr>
        <w:tc>
          <w:tcPr>
            <w:tcW w:type="dxa" w:w="2160"/>
          </w:tcPr>
          <w:p>
            <w:r>
              <w:t>Visual</w:t>
            </w:r>
          </w:p>
        </w:tc>
        <w:tc>
          <w:tcPr>
            <w:tcW w:type="dxa" w:w="7200"/>
          </w:tcPr>
          <w:p>
            <w:r>
              <w:t>أربع بطاقات 'درس ← تطبيق' مع أسهم تربط الدرس بالعنصر المنهجي المقابل. ألوان تمييزية.</w:t>
            </w:r>
          </w:p>
        </w:tc>
      </w:tr>
      <w:tr>
        <w:tc>
          <w:tcPr>
            <w:tcW w:type="dxa" w:w="2160"/>
          </w:tcPr>
          <w:p>
            <w:r>
              <w:t>Must-Have Evidence</w:t>
            </w:r>
          </w:p>
        </w:tc>
        <w:tc>
          <w:tcPr>
            <w:tcW w:type="dxa" w:w="7200"/>
          </w:tcPr>
          <w:p>
            <w:r>
              <w:t>PRJ-001, EXT-003</w:t>
            </w:r>
          </w:p>
        </w:tc>
      </w:tr>
      <w:tr>
        <w:tc>
          <w:tcPr>
            <w:tcW w:type="dxa" w:w="2160"/>
          </w:tcPr>
          <w:p>
            <w:r>
              <w:t>Forbidden</w:t>
            </w:r>
          </w:p>
        </w:tc>
        <w:tc>
          <w:tcPr>
            <w:tcW w:type="dxa" w:w="7200"/>
          </w:tcPr>
          <w:p>
            <w:r>
              <w:t>انتقاد المشروع السابق, ادعاء دروس غير مُسندة</w:t>
            </w:r>
          </w:p>
        </w:tc>
      </w:tr>
    </w:tbl>
    <w:p/>
    <w:p>
      <w:pPr>
        <w:pStyle w:val="Heading2"/>
      </w:pPr>
      <w:r>
        <w:t>Slide 32: إدارة المخاطر: سبع مخاطر مُحددة مع خطط تخفيف وطوارئ</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إدارة المخاطر</w:t>
            </w:r>
          </w:p>
        </w:tc>
      </w:tr>
      <w:tr>
        <w:tc>
          <w:tcPr>
            <w:tcW w:type="dxa" w:w="2160"/>
          </w:tcPr>
          <w:p>
            <w:r>
              <w:t>Layout</w:t>
            </w:r>
          </w:p>
        </w:tc>
        <w:tc>
          <w:tcPr>
            <w:tcW w:type="dxa" w:w="7200"/>
          </w:tcPr>
          <w:p>
            <w:r>
              <w:t>مصفوفة مخاطر — أعلى 7 مخاطر مع خطط التخفيف</w:t>
            </w:r>
          </w:p>
        </w:tc>
      </w:tr>
      <w:tr>
        <w:tc>
          <w:tcPr>
            <w:tcW w:type="dxa" w:w="2160"/>
          </w:tcPr>
          <w:p>
            <w:r>
              <w:t>Purpose</w:t>
            </w:r>
          </w:p>
        </w:tc>
        <w:tc>
          <w:tcPr>
            <w:tcW w:type="dxa" w:w="7200"/>
          </w:tcPr>
          <w:p>
            <w:r>
              <w:t>عرض المخاطر الرئيسية المُحددة مسبقاً مع خطط تخفيف وطوارئ لكل خطر.</w:t>
            </w:r>
          </w:p>
        </w:tc>
      </w:tr>
      <w:tr>
        <w:tc>
          <w:tcPr>
            <w:tcW w:type="dxa" w:w="2160"/>
          </w:tcPr>
          <w:p>
            <w:r>
              <w:t>Key Message</w:t>
            </w:r>
          </w:p>
        </w:tc>
        <w:tc>
          <w:tcPr>
            <w:tcW w:type="dxa" w:w="7200"/>
          </w:tcPr>
          <w:p>
            <w:r>
              <w:t>سبع مخاطر رئيسية مُحددة ومُصنّفة مع خطط تخفيف استباقية وخطط طوارئ لكل سيناريو.</w:t>
            </w:r>
          </w:p>
        </w:tc>
      </w:tr>
      <w:tr>
        <w:tc>
          <w:tcPr>
            <w:tcW w:type="dxa" w:w="2160"/>
          </w:tcPr>
          <w:p>
            <w:r>
              <w:t>Bullet Logic</w:t>
            </w:r>
          </w:p>
        </w:tc>
        <w:tc>
          <w:tcPr>
            <w:tcW w:type="dxa" w:w="7200"/>
          </w:tcPr>
          <w:p>
            <w:r>
              <w:t>الخطر الأعلى (حرج-12): محدودية البيانات عن برامج اليونسكو الحالية — التخفيف: منهجية متعددة المصادر [EXT-008] + تقارير اليونسكو الدورية [EXT-003]</w:t>
              <w:br/>
              <w:t>خطر عالٍ (9): صعوبة المقارنة المعيارية الدولية — التخفيف: إطار TOE [EXT-007] + اختيار دول بناءً على توفر البيانات</w:t>
              <w:br/>
              <w:t>خطر عالٍ (9): عدم كفاية الخبرة المتخصصة في أخلاقيات الذكاء الاصطناعي — التخفيف: شراكة أكاديمية مُستهدفة [EXT-002]</w:t>
              <w:br/>
              <w:t>خطر عالٍ (8): غموض المدة الزمنية — التخفيف: جدول بنسب مئوية مرنة + استفسار رسمي قبل 1447/11/08</w:t>
            </w:r>
          </w:p>
        </w:tc>
      </w:tr>
      <w:tr>
        <w:tc>
          <w:tcPr>
            <w:tcW w:type="dxa" w:w="2160"/>
          </w:tcPr>
          <w:p>
            <w:r>
              <w:t>Proof Points</w:t>
            </w:r>
          </w:p>
        </w:tc>
        <w:tc>
          <w:tcPr>
            <w:tcW w:type="dxa" w:w="7200"/>
          </w:tcPr>
          <w:p>
            <w:r>
              <w:t>EXT-008, EXT-003, EXT-007, EXT-002</w:t>
            </w:r>
          </w:p>
        </w:tc>
      </w:tr>
      <w:tr>
        <w:tc>
          <w:tcPr>
            <w:tcW w:type="dxa" w:w="2160"/>
          </w:tcPr>
          <w:p>
            <w:r>
              <w:t>Visual</w:t>
            </w:r>
          </w:p>
        </w:tc>
        <w:tc>
          <w:tcPr>
            <w:tcW w:type="dxa" w:w="7200"/>
          </w:tcPr>
          <w:p>
            <w:r>
              <w:t>مصفوفة خطورة 4×4 ملونة مع تحديد موقع كل خطر. جدول مُصغّر بأعلى 4 مخاطر مع خطط التخفيف.</w:t>
            </w:r>
          </w:p>
        </w:tc>
      </w:tr>
      <w:tr>
        <w:tc>
          <w:tcPr>
            <w:tcW w:type="dxa" w:w="2160"/>
          </w:tcPr>
          <w:p>
            <w:r>
              <w:t>Must-Have Evidence</w:t>
            </w:r>
          </w:p>
        </w:tc>
        <w:tc>
          <w:tcPr>
            <w:tcW w:type="dxa" w:w="7200"/>
          </w:tcPr>
          <w:p>
            <w:r>
              <w:t>EXT-008, EXT-003</w:t>
            </w:r>
          </w:p>
        </w:tc>
      </w:tr>
      <w:tr>
        <w:tc>
          <w:tcPr>
            <w:tcW w:type="dxa" w:w="2160"/>
          </w:tcPr>
          <w:p>
            <w:r>
              <w:t>Forbidden</w:t>
            </w:r>
          </w:p>
        </w:tc>
        <w:tc>
          <w:tcPr>
            <w:tcW w:type="dxa" w:w="7200"/>
          </w:tcPr>
          <w:p>
            <w:r>
              <w:t>تقليل من خطورة المخاطر, ادعاء القدرة على إزالة جميع المخاطر</w:t>
            </w:r>
          </w:p>
        </w:tc>
      </w:tr>
    </w:tbl>
    <w:p/>
    <w:p>
      <w:pPr>
        <w:pStyle w:val="Heading2"/>
      </w:pPr>
      <w:r>
        <w:t>Slide 33: عرض القيمة: خمسة أسباب لاختيار ستراتيجيك جيرز</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عرض القيمة والتمايز</w:t>
            </w:r>
          </w:p>
        </w:tc>
      </w:tr>
      <w:tr>
        <w:tc>
          <w:tcPr>
            <w:tcW w:type="dxa" w:w="2160"/>
          </w:tcPr>
          <w:p>
            <w:r>
              <w:t>Layout</w:t>
            </w:r>
          </w:p>
        </w:tc>
        <w:tc>
          <w:tcPr>
            <w:tcW w:type="dxa" w:w="7200"/>
          </w:tcPr>
          <w:p>
            <w:r>
              <w:t>ملخص قيمة — خمس نقاط تمايز</w:t>
            </w:r>
          </w:p>
        </w:tc>
      </w:tr>
      <w:tr>
        <w:tc>
          <w:tcPr>
            <w:tcW w:type="dxa" w:w="2160"/>
          </w:tcPr>
          <w:p>
            <w:r>
              <w:t>Purpose</w:t>
            </w:r>
          </w:p>
        </w:tc>
        <w:tc>
          <w:tcPr>
            <w:tcW w:type="dxa" w:w="7200"/>
          </w:tcPr>
          <w:p>
            <w:r>
              <w:t>تلخيص عرض القيمة الفريد لستراتيجيك جيرز في سياق هذا المشروع تحديداً.</w:t>
            </w:r>
          </w:p>
        </w:tc>
      </w:tr>
      <w:tr>
        <w:tc>
          <w:tcPr>
            <w:tcW w:type="dxa" w:w="2160"/>
          </w:tcPr>
          <w:p>
            <w:r>
              <w:t>Key Message</w:t>
            </w:r>
          </w:p>
        </w:tc>
        <w:tc>
          <w:tcPr>
            <w:tcW w:type="dxa" w:w="7200"/>
          </w:tcPr>
          <w:p>
            <w:r>
              <w:t>ستراتيجيك جيرز تجمع بين خبرة سابقة مع العميل ذاته، ومنهجية مبنية على أُطر دولية، وإنتاج عربي أصيل، وتعبئة فورية، ونقل معرفة مُهيكل.</w:t>
            </w:r>
          </w:p>
        </w:tc>
      </w:tr>
      <w:tr>
        <w:tc>
          <w:tcPr>
            <w:tcW w:type="dxa" w:w="2160"/>
          </w:tcPr>
          <w:p>
            <w:r>
              <w:t>Bullet Logic</w:t>
            </w:r>
          </w:p>
        </w:tc>
        <w:tc>
          <w:tcPr>
            <w:tcW w:type="dxa" w:w="7200"/>
          </w:tcPr>
          <w:p>
            <w:r>
              <w:t>١. خبرة سابقة مباشرة: مشروع PRJ-001 مع سدايا واليونسكو في المجال ذاته — فهم مُسبق للسياق المؤسسي [PRJ-001]</w:t>
              <w:br/>
              <w:t>٢. منهجية مبنية على أُطر دولية مُحكّمة: TOE [EXT-007] + WHO [EXT-008] + CISF [EXT-004] + APQC [EXT-006] — مصداقية منهجية</w:t>
              <w:br/>
              <w:t>٣. إنتاج عربي أصيل: جميع المخرجات بالعربية أصالةً — دقة مصطلحية وملاءمة ثقافية تتجاوز الترجمة [CR-1]</w:t>
              <w:br/>
              <w:t>٤. تعبئة فورية: شركة سعودية المقر — جاهزية للبدء خلال الفترة المضغوطة بين الترسية والتنفيذ</w:t>
              <w:br/>
              <w:t>٥. نقل معرفة مُهيكل: مسار مستمر من اليوم الأول مع تقييم كفاءات قبلي-بعدي وفريق مُقيّمين داخلي [EXT-006] [EXT-014]</w:t>
            </w:r>
          </w:p>
        </w:tc>
      </w:tr>
      <w:tr>
        <w:tc>
          <w:tcPr>
            <w:tcW w:type="dxa" w:w="2160"/>
          </w:tcPr>
          <w:p>
            <w:r>
              <w:t>Proof Points</w:t>
            </w:r>
          </w:p>
        </w:tc>
        <w:tc>
          <w:tcPr>
            <w:tcW w:type="dxa" w:w="7200"/>
          </w:tcPr>
          <w:p>
            <w:r>
              <w:t>PRJ-001, EXT-007, EXT-008, EXT-004, EXT-006, CR-1, EXT-014</w:t>
            </w:r>
          </w:p>
        </w:tc>
      </w:tr>
      <w:tr>
        <w:tc>
          <w:tcPr>
            <w:tcW w:type="dxa" w:w="2160"/>
          </w:tcPr>
          <w:p>
            <w:r>
              <w:t>Visual</w:t>
            </w:r>
          </w:p>
        </w:tc>
        <w:tc>
          <w:tcPr>
            <w:tcW w:type="dxa" w:w="7200"/>
          </w:tcPr>
          <w:p>
            <w:r>
              <w:t>خمس أيقونات كبيرة مع عناوين فرعية ونقطة واحدة لكل سبب. تصميم نظيف ومُركّز.</w:t>
            </w:r>
          </w:p>
        </w:tc>
      </w:tr>
      <w:tr>
        <w:tc>
          <w:tcPr>
            <w:tcW w:type="dxa" w:w="2160"/>
          </w:tcPr>
          <w:p>
            <w:r>
              <w:t>Must-Have Evidence</w:t>
            </w:r>
          </w:p>
        </w:tc>
        <w:tc>
          <w:tcPr>
            <w:tcW w:type="dxa" w:w="7200"/>
          </w:tcPr>
          <w:p>
            <w:r>
              <w:t>PRJ-001, EXT-007, EXT-006</w:t>
            </w:r>
          </w:p>
        </w:tc>
      </w:tr>
      <w:tr>
        <w:tc>
          <w:tcPr>
            <w:tcW w:type="dxa" w:w="2160"/>
          </w:tcPr>
          <w:p>
            <w:r>
              <w:t>Forbidden</w:t>
            </w:r>
          </w:p>
        </w:tc>
        <w:tc>
          <w:tcPr>
            <w:tcW w:type="dxa" w:w="7200"/>
          </w:tcPr>
          <w:p>
            <w:r>
              <w:t>مقارنات سلبية مع منافسين, ادعاءات تسويقية عامة غير مرتبطة بالمشروع, ادعاء 'قدرات مثبتة بالكامل'</w:t>
            </w:r>
          </w:p>
        </w:tc>
      </w:tr>
    </w:tbl>
    <w:p/>
    <w:p>
      <w:pPr>
        <w:pStyle w:val="Heading2"/>
      </w:pPr>
      <w:r>
        <w:t>Slide 34: الخطوات التالية: جاهزون للانطلاق</w:t>
      </w:r>
    </w:p>
    <w:tbl>
      <w:tblPr>
        <w:tblStyle w:val="TableGrid"/>
        <w:tblW w:type="auto" w:w="0"/>
        <w:tblLook w:firstColumn="1" w:firstRow="1" w:lastColumn="0" w:lastRow="0" w:noHBand="0" w:noVBand="1" w:val="04A0"/>
      </w:tblPr>
      <w:tblGrid>
        <w:gridCol w:w="2160"/>
        <w:gridCol w:w="7200"/>
      </w:tblGrid>
      <w:tr>
        <w:tc>
          <w:tcPr>
            <w:tcW w:type="dxa" w:w="2160"/>
          </w:tcPr>
          <w:p>
            <w:r>
              <w:t>Section</w:t>
            </w:r>
          </w:p>
        </w:tc>
        <w:tc>
          <w:tcPr>
            <w:tcW w:type="dxa" w:w="7200"/>
          </w:tcPr>
          <w:p>
            <w:r>
              <w:t>الإغلاق والخطوات التالية</w:t>
            </w:r>
          </w:p>
        </w:tc>
      </w:tr>
      <w:tr>
        <w:tc>
          <w:tcPr>
            <w:tcW w:type="dxa" w:w="2160"/>
          </w:tcPr>
          <w:p>
            <w:r>
              <w:t>Layout</w:t>
            </w:r>
          </w:p>
        </w:tc>
        <w:tc>
          <w:tcPr>
            <w:tcW w:type="dxa" w:w="7200"/>
          </w:tcPr>
          <w:p>
            <w:r>
              <w:t>إغلاق — ملخص مع دعوة للعمل</w:t>
            </w:r>
          </w:p>
        </w:tc>
      </w:tr>
      <w:tr>
        <w:tc>
          <w:tcPr>
            <w:tcW w:type="dxa" w:w="2160"/>
          </w:tcPr>
          <w:p>
            <w:r>
              <w:t>Purpose</w:t>
            </w:r>
          </w:p>
        </w:tc>
        <w:tc>
          <w:tcPr>
            <w:tcW w:type="dxa" w:w="7200"/>
          </w:tcPr>
          <w:p>
            <w:r>
              <w:t>إغلاق العرض بملخص مُركّز ودعوة واضحة للخطوات التالية.</w:t>
            </w:r>
          </w:p>
        </w:tc>
      </w:tr>
      <w:tr>
        <w:tc>
          <w:tcPr>
            <w:tcW w:type="dxa" w:w="2160"/>
          </w:tcPr>
          <w:p>
            <w:r>
              <w:t>Key Message</w:t>
            </w:r>
          </w:p>
        </w:tc>
        <w:tc>
          <w:tcPr>
            <w:tcW w:type="dxa" w:w="7200"/>
          </w:tcPr>
          <w:p>
            <w:r>
              <w:t>ستراتيجيك جيرز جاهزة للتعبئة الفورية وبدء التنفيذ خلال الفترة المضغوطة بين الترسية وبدء الخدمة.</w:t>
            </w:r>
          </w:p>
        </w:tc>
      </w:tr>
      <w:tr>
        <w:tc>
          <w:tcPr>
            <w:tcW w:type="dxa" w:w="2160"/>
          </w:tcPr>
          <w:p>
            <w:r>
              <w:t>Bullet Logic</w:t>
            </w:r>
          </w:p>
        </w:tc>
        <w:tc>
          <w:tcPr>
            <w:tcW w:type="dxa" w:w="7200"/>
          </w:tcPr>
          <w:p>
            <w:r>
              <w:t>الجاهزية: فريق مُصمّم ومنهجية مُعتمدة وأدوات تقييم جاهزة للتكييف — تعبئة خلال أسبوعين من الترسية [PRJ-001]</w:t>
              <w:br/>
              <w:t>الخطوة الأولى: اجتماع انطلاق رسمي خلال الأسبوع الأول يتضمن تأكيد النطاق وبروتوكول التواصل مع اليونسكو [EXT-003]</w:t>
              <w:br/>
              <w:t>الالتزام: جميع المخرجات باللغة العربية أصالةً، امتثال مُصمَّم لمتطلبات كراسة الشروط، شفافية في التقارير والحوكمة [CR-1]</w:t>
              <w:br/>
              <w:t>التواصل: نقطة اتصال واحدة — مدير المشروع من ستراتيجيك جيرز — لضمان سرعة الاستجابة والتنسيق [EXT-008]</w:t>
            </w:r>
          </w:p>
        </w:tc>
      </w:tr>
      <w:tr>
        <w:tc>
          <w:tcPr>
            <w:tcW w:type="dxa" w:w="2160"/>
          </w:tcPr>
          <w:p>
            <w:r>
              <w:t>Proof Points</w:t>
            </w:r>
          </w:p>
        </w:tc>
        <w:tc>
          <w:tcPr>
            <w:tcW w:type="dxa" w:w="7200"/>
          </w:tcPr>
          <w:p>
            <w:r>
              <w:t>PRJ-001, EXT-003, CR-1, EXT-008</w:t>
            </w:r>
          </w:p>
        </w:tc>
      </w:tr>
      <w:tr>
        <w:tc>
          <w:tcPr>
            <w:tcW w:type="dxa" w:w="2160"/>
          </w:tcPr>
          <w:p>
            <w:r>
              <w:t>Visual</w:t>
            </w:r>
          </w:p>
        </w:tc>
        <w:tc>
          <w:tcPr>
            <w:tcW w:type="dxa" w:w="7200"/>
          </w:tcPr>
          <w:p>
            <w:r>
              <w:t>تصميم إغلاق احترافي مع شعاري الجهتين. ثلاث نقاط رئيسية بأيقونات. معلومات التواصل في الأسفل.</w:t>
            </w:r>
          </w:p>
        </w:tc>
      </w:tr>
      <w:tr>
        <w:tc>
          <w:tcPr>
            <w:tcW w:type="dxa" w:w="2160"/>
          </w:tcPr>
          <w:p>
            <w:r>
              <w:t>Must-Have Evidence</w:t>
            </w:r>
          </w:p>
        </w:tc>
        <w:tc>
          <w:tcPr>
            <w:tcW w:type="dxa" w:w="7200"/>
          </w:tcPr>
          <w:p>
            <w:r>
              <w:t>PRJ-001, CR-1</w:t>
            </w:r>
          </w:p>
        </w:tc>
      </w:tr>
      <w:tr>
        <w:tc>
          <w:tcPr>
            <w:tcW w:type="dxa" w:w="2160"/>
          </w:tcPr>
          <w:p>
            <w:r>
              <w:t>Forbidden</w:t>
            </w:r>
          </w:p>
        </w:tc>
        <w:tc>
          <w:tcPr>
            <w:tcW w:type="dxa" w:w="7200"/>
          </w:tcPr>
          <w:p>
            <w:r>
              <w:t>محتوى مالي, ادعاءات مبالغ فيها, معلومات اتصال شخصية</w:t>
            </w:r>
          </w:p>
        </w:tc>
      </w:tr>
    </w:tbl>
    <w:p/>
    <w:p>
      <w:pPr>
        <w:pStyle w:val="Heading1"/>
      </w:pPr>
      <w:r>
        <w:t>7. Evidence Ledger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Claim ID</w:t>
            </w:r>
          </w:p>
        </w:tc>
        <w:tc>
          <w:tcPr>
            <w:tcW w:type="dxa" w:w="1440"/>
          </w:tcPr>
          <w:p>
            <w:r>
              <w:t>Claim Text</w:t>
            </w:r>
          </w:p>
        </w:tc>
        <w:tc>
          <w:tcPr>
            <w:tcW w:type="dxa" w:w="1440"/>
          </w:tcPr>
          <w:p>
            <w:r>
              <w:t>Source Type</w:t>
            </w:r>
          </w:p>
        </w:tc>
        <w:tc>
          <w:tcPr>
            <w:tcW w:type="dxa" w:w="1440"/>
          </w:tcPr>
          <w:p>
            <w:r>
              <w:t>Source Reference</w:t>
            </w:r>
          </w:p>
        </w:tc>
        <w:tc>
          <w:tcPr>
            <w:tcW w:type="dxa" w:w="1440"/>
          </w:tcPr>
          <w:p>
            <w:r>
              <w:t>Confidence</w:t>
            </w:r>
          </w:p>
        </w:tc>
        <w:tc>
          <w:tcPr>
            <w:tcW w:type="dxa" w:w="1440"/>
          </w:tcPr>
          <w:p>
            <w:r>
              <w:t>Status</w:t>
            </w:r>
          </w:p>
        </w:tc>
      </w:tr>
      <w:tr>
        <w:tc>
          <w:tcPr>
            <w:tcW w:type="dxa" w:w="1440"/>
          </w:tcPr>
          <w:p>
            <w:r>
              <w:t>CLAIM-003</w:t>
            </w:r>
          </w:p>
        </w:tc>
        <w:tc>
          <w:tcPr>
            <w:tcW w:type="dxa" w:w="1440"/>
          </w:tcPr>
          <w:p>
            <w:r>
              <w:t>آخر موعد للاستفسارات 1447/11/08، موعد تقديم العروض 1447/11/11، فتح المظاريف 1447/11/11، الترسية المتوقعة 1447/12/02، وبدء الخدمة 1448/01/06</w:t>
            </w:r>
          </w:p>
        </w:tc>
        <w:tc>
          <w:tcPr>
            <w:tcW w:type="dxa" w:w="1440"/>
          </w:tcPr>
          <w:p>
            <w:r>
              <w:t>internal</w:t>
            </w:r>
          </w:p>
        </w:tc>
        <w:tc>
          <w:tcPr>
            <w:tcW w:type="dxa" w:w="1440"/>
          </w:tcPr>
          <w:p>
            <w:r>
              <w:t>DIRECT_RFP_FACT</w:t>
            </w:r>
          </w:p>
        </w:tc>
        <w:tc>
          <w:tcPr>
            <w:tcW w:type="dxa" w:w="1440"/>
          </w:tcPr>
          <w:p>
            <w:r>
              <w:t>0.90</w:t>
            </w:r>
          </w:p>
        </w:tc>
        <w:tc>
          <w:tcPr>
            <w:tcW w:type="dxa" w:w="1440"/>
          </w:tcPr>
          <w:p>
            <w:r>
              <w:t>gap</w:t>
            </w:r>
          </w:p>
        </w:tc>
      </w:tr>
      <w:tr>
        <w:tc>
          <w:tcPr>
            <w:tcW w:type="dxa" w:w="1440"/>
          </w:tcPr>
          <w:p>
            <w:r>
              <w:t>CLAIM-004</w:t>
            </w:r>
          </w:p>
        </w:tc>
        <w:tc>
          <w:tcPr>
            <w:tcW w:type="dxa" w:w="1440"/>
          </w:tcPr>
          <w:p>
            <w:r>
              <w:t>يجب أن تقدم العروض باللغة العربية؛ في حال التعارض يُؤخذ بالنص العربي</w:t>
            </w:r>
          </w:p>
        </w:tc>
        <w:tc>
          <w:tcPr>
            <w:tcW w:type="dxa" w:w="1440"/>
          </w:tcPr>
          <w:p>
            <w:r>
              <w:t>internal</w:t>
            </w:r>
          </w:p>
        </w:tc>
        <w:tc>
          <w:tcPr>
            <w:tcW w:type="dxa" w:w="1440"/>
          </w:tcPr>
          <w:p>
            <w:r>
              <w:t>CR-1 / HR-L1-001</w:t>
            </w:r>
          </w:p>
        </w:tc>
        <w:tc>
          <w:tcPr>
            <w:tcW w:type="dxa" w:w="1440"/>
          </w:tcPr>
          <w:p>
            <w:r>
              <w:t>0.90</w:t>
            </w:r>
          </w:p>
        </w:tc>
        <w:tc>
          <w:tcPr>
            <w:tcW w:type="dxa" w:w="1440"/>
          </w:tcPr>
          <w:p>
            <w:r>
              <w:t>gap</w:t>
            </w:r>
          </w:p>
        </w:tc>
      </w:tr>
      <w:tr>
        <w:tc>
          <w:tcPr>
            <w:tcW w:type="dxa" w:w="1440"/>
          </w:tcPr>
          <w:p>
            <w:r>
              <w:t>CLAIM-005</w:t>
            </w:r>
          </w:p>
        </w:tc>
        <w:tc>
          <w:tcPr>
            <w:tcW w:type="dxa" w:w="1440"/>
          </w:tcPr>
          <w:p>
            <w:r>
              <w:t>ضمان ابتدائي 1% من قيمة العرض الإجمالية</w:t>
            </w:r>
          </w:p>
        </w:tc>
        <w:tc>
          <w:tcPr>
            <w:tcW w:type="dxa" w:w="1440"/>
          </w:tcPr>
          <w:p>
            <w:r>
              <w:t>internal</w:t>
            </w:r>
          </w:p>
        </w:tc>
        <w:tc>
          <w:tcPr>
            <w:tcW w:type="dxa" w:w="1440"/>
          </w:tcPr>
          <w:p>
            <w:r>
              <w:t>HR-L1-016/017</w:t>
            </w:r>
          </w:p>
        </w:tc>
        <w:tc>
          <w:tcPr>
            <w:tcW w:type="dxa" w:w="1440"/>
          </w:tcPr>
          <w:p>
            <w:r>
              <w:t>0.90</w:t>
            </w:r>
          </w:p>
        </w:tc>
        <w:tc>
          <w:tcPr>
            <w:tcW w:type="dxa" w:w="1440"/>
          </w:tcPr>
          <w:p>
            <w:r>
              <w:t>gap</w:t>
            </w:r>
          </w:p>
        </w:tc>
      </w:tr>
      <w:tr>
        <w:tc>
          <w:tcPr>
            <w:tcW w:type="dxa" w:w="1440"/>
          </w:tcPr>
          <w:p>
            <w:r>
              <w:t>CLAIM-006</w:t>
            </w:r>
          </w:p>
        </w:tc>
        <w:tc>
          <w:tcPr>
            <w:tcW w:type="dxa" w:w="1440"/>
          </w:tcPr>
          <w:p>
            <w:r>
              <w:t>التدريب على رأس العمل، العمل جنباً إلى جنب، وورش العمل التدريبية</w:t>
            </w:r>
          </w:p>
        </w:tc>
        <w:tc>
          <w:tcPr>
            <w:tcW w:type="dxa" w:w="1440"/>
          </w:tcPr>
          <w:p>
            <w:r>
              <w:t>internal</w:t>
            </w:r>
          </w:p>
        </w:tc>
        <w:tc>
          <w:tcPr>
            <w:tcW w:type="dxa" w:w="1440"/>
          </w:tcPr>
          <w:p>
            <w:r>
              <w:t>SI-3 / D-3</w:t>
            </w:r>
          </w:p>
        </w:tc>
        <w:tc>
          <w:tcPr>
            <w:tcW w:type="dxa" w:w="1440"/>
          </w:tcPr>
          <w:p>
            <w:r>
              <w:t>0.90</w:t>
            </w:r>
          </w:p>
        </w:tc>
        <w:tc>
          <w:tcPr>
            <w:tcW w:type="dxa" w:w="1440"/>
          </w:tcPr>
          <w:p>
            <w:r>
              <w:t>gap</w:t>
            </w:r>
          </w:p>
        </w:tc>
      </w:tr>
      <w:tr>
        <w:tc>
          <w:tcPr>
            <w:tcW w:type="dxa" w:w="1440"/>
          </w:tcPr>
          <w:p>
            <w:r>
              <w:t>CLAIM-007</w:t>
            </w:r>
          </w:p>
        </w:tc>
        <w:tc>
          <w:tcPr>
            <w:tcW w:type="dxa" w:w="1440"/>
          </w:tcPr>
          <w:p>
            <w:r>
              <w:t>اعتمدت اليونسكو توصيتها بشأن أخلاقيات الذكاء الاصطناعي في نوفمبر 2021 كأول أداة معيارية عالمية في هذا المجال</w:t>
            </w:r>
          </w:p>
        </w:tc>
        <w:tc>
          <w:tcPr>
            <w:tcW w:type="dxa" w:w="1440"/>
          </w:tcPr>
          <w:p>
            <w:r>
              <w:t>external</w:t>
            </w:r>
          </w:p>
        </w:tc>
        <w:tc>
          <w:tcPr>
            <w:tcW w:type="dxa" w:w="1440"/>
          </w:tcPr>
          <w:p>
            <w:r>
              <w:t>EXT-003</w:t>
            </w:r>
          </w:p>
        </w:tc>
        <w:tc>
          <w:tcPr>
            <w:tcW w:type="dxa" w:w="1440"/>
          </w:tcPr>
          <w:p>
            <w:r>
              <w:t>0.90</w:t>
            </w:r>
          </w:p>
        </w:tc>
        <w:tc>
          <w:tcPr>
            <w:tcW w:type="dxa" w:w="1440"/>
          </w:tcPr>
          <w:p>
            <w:r>
              <w:t>partially_verified</w:t>
            </w:r>
          </w:p>
        </w:tc>
      </w:tr>
      <w:tr>
        <w:tc>
          <w:tcPr>
            <w:tcW w:type="dxa" w:w="1440"/>
          </w:tcPr>
          <w:p>
            <w:r>
              <w:t>CLAIM-008</w:t>
            </w:r>
          </w:p>
        </w:tc>
        <w:tc>
          <w:tcPr>
            <w:tcW w:type="dxa" w:w="1440"/>
          </w:tcPr>
          <w:p>
            <w:r>
              <w:t>يعتمد برنامج تعليم الأخلاقيات في اليونسكو على دورات تدريب المعلمين (ETTCs) بالشراكة مع مؤسسات أكاديمية وكراسي اليونسكو كآلية رئيسية لنقل المعرفة</w:t>
            </w:r>
          </w:p>
        </w:tc>
        <w:tc>
          <w:tcPr>
            <w:tcW w:type="dxa" w:w="1440"/>
          </w:tcPr>
          <w:p>
            <w:r>
              <w:t>external</w:t>
            </w:r>
          </w:p>
        </w:tc>
        <w:tc>
          <w:tcPr>
            <w:tcW w:type="dxa" w:w="1440"/>
          </w:tcPr>
          <w:p>
            <w:r>
              <w:t>EXT-002: UNESCO Ethics of Science and Technology Programme</w:t>
            </w:r>
          </w:p>
        </w:tc>
        <w:tc>
          <w:tcPr>
            <w:tcW w:type="dxa" w:w="1440"/>
          </w:tcPr>
          <w:p>
            <w:r>
              <w:t>0.90</w:t>
            </w:r>
          </w:p>
        </w:tc>
        <w:tc>
          <w:tcPr>
            <w:tcW w:type="dxa" w:w="1440"/>
          </w:tcPr>
          <w:p>
            <w:r>
              <w:t>partially_verified</w:t>
            </w:r>
          </w:p>
        </w:tc>
      </w:tr>
      <w:tr>
        <w:tc>
          <w:tcPr>
            <w:tcW w:type="dxa" w:w="1440"/>
          </w:tcPr>
          <w:p>
            <w:r>
              <w:t>CLAIM-009</w:t>
            </w:r>
          </w:p>
        </w:tc>
        <w:tc>
          <w:tcPr>
            <w:tcW w:type="dxa" w:w="1440"/>
          </w:tcPr>
          <w:p>
            <w:r>
              <w:t>جاهزية الذكاء الاصطناعي في الحكومة تمتد عبر ثمانية أبعاد مُنظمة وفق إطار TOE: البنية التحتية التقنية، الموارد البشرية، جاهزية إدارة التغيير، الموارد المالية، القيادة والرؤية، الثقافة التنظيمية، السياق البيئي، والسياسات والحوكمة</w:t>
            </w:r>
          </w:p>
        </w:tc>
        <w:tc>
          <w:tcPr>
            <w:tcW w:type="dxa" w:w="1440"/>
          </w:tcPr>
          <w:p>
            <w:r>
              <w:t>external</w:t>
            </w:r>
          </w:p>
        </w:tc>
        <w:tc>
          <w:tcPr>
            <w:tcW w:type="dxa" w:w="1440"/>
          </w:tcPr>
          <w:p>
            <w:r>
              <w:t>EXT-007: Examining Local Governments Readiness and Transformation for AI Adoption</w:t>
            </w:r>
          </w:p>
        </w:tc>
        <w:tc>
          <w:tcPr>
            <w:tcW w:type="dxa" w:w="1440"/>
          </w:tcPr>
          <w:p>
            <w:r>
              <w:t>0.90</w:t>
            </w:r>
          </w:p>
        </w:tc>
        <w:tc>
          <w:tcPr>
            <w:tcW w:type="dxa" w:w="1440"/>
          </w:tcPr>
          <w:p>
            <w:r>
              <w:t>partially_verified</w:t>
            </w:r>
          </w:p>
        </w:tc>
      </w:tr>
      <w:tr>
        <w:tc>
          <w:tcPr>
            <w:tcW w:type="dxa" w:w="1440"/>
          </w:tcPr>
          <w:p>
            <w:r>
              <w:t>CLAIM-010</w:t>
            </w:r>
          </w:p>
        </w:tc>
        <w:tc>
          <w:tcPr>
            <w:tcW w:type="dxa" w:w="1440"/>
          </w:tcPr>
          <w:p>
            <w:r>
              <w:t>تعزيز قدرات الحوكمة يجب أن يتبع تسلسلاً منطقياً: تحديد الوظائف الأساسية أولاً، ثم تعريف الأدوار المتوقعة، ثم تحديد العوامل النظامية العليا ومتطلبات القدرات الفرعية</w:t>
            </w:r>
          </w:p>
        </w:tc>
        <w:tc>
          <w:tcPr>
            <w:tcW w:type="dxa" w:w="1440"/>
          </w:tcPr>
          <w:p>
            <w:r>
              <w:t>external</w:t>
            </w:r>
          </w:p>
        </w:tc>
        <w:tc>
          <w:tcPr>
            <w:tcW w:type="dxa" w:w="1440"/>
          </w:tcPr>
          <w:p>
            <w:r>
              <w:t>EXT-008: Analysing Public Sector Institutional Capacity for Health Workforce Governance in the South-East Asia Region of WHO</w:t>
            </w:r>
          </w:p>
        </w:tc>
        <w:tc>
          <w:tcPr>
            <w:tcW w:type="dxa" w:w="1440"/>
          </w:tcPr>
          <w:p>
            <w:r>
              <w:t>0.90</w:t>
            </w:r>
          </w:p>
        </w:tc>
        <w:tc>
          <w:tcPr>
            <w:tcW w:type="dxa" w:w="1440"/>
          </w:tcPr>
          <w:p>
            <w:r>
              <w:t>partially_verified</w:t>
            </w:r>
          </w:p>
        </w:tc>
      </w:tr>
      <w:tr>
        <w:tc>
          <w:tcPr>
            <w:tcW w:type="dxa" w:w="1440"/>
          </w:tcPr>
          <w:p>
            <w:r>
              <w:t>CLAIM-011</w:t>
            </w:r>
          </w:p>
        </w:tc>
        <w:tc>
          <w:tcPr>
            <w:tcW w:type="dxa" w:w="1440"/>
          </w:tcPr>
          <w:p>
            <w:r>
              <w:t>يُحدد إطار APQC أربع خطوات أساسية لنقل المعرفة: تحديد الفرص، تصميم المشروع، الدمج في العمليات التشغيلية، وتطبيق إدارة التغيير</w:t>
            </w:r>
          </w:p>
        </w:tc>
        <w:tc>
          <w:tcPr>
            <w:tcW w:type="dxa" w:w="1440"/>
          </w:tcPr>
          <w:p>
            <w:r>
              <w:t>external</w:t>
            </w:r>
          </w:p>
        </w:tc>
        <w:tc>
          <w:tcPr>
            <w:tcW w:type="dxa" w:w="1440"/>
          </w:tcPr>
          <w:p>
            <w:r>
              <w:t>EXT-006: APQC Certified Knowledge Transfer Specialist</w:t>
            </w:r>
          </w:p>
        </w:tc>
        <w:tc>
          <w:tcPr>
            <w:tcW w:type="dxa" w:w="1440"/>
          </w:tcPr>
          <w:p>
            <w:r>
              <w:t>0.90</w:t>
            </w:r>
          </w:p>
        </w:tc>
        <w:tc>
          <w:tcPr>
            <w:tcW w:type="dxa" w:w="1440"/>
          </w:tcPr>
          <w:p>
            <w:r>
              <w:t>partially_verified</w:t>
            </w:r>
          </w:p>
        </w:tc>
      </w:tr>
      <w:tr>
        <w:tc>
          <w:tcPr>
            <w:tcW w:type="dxa" w:w="1440"/>
          </w:tcPr>
          <w:p>
            <w:r>
              <w:t>CLAIM-012</w:t>
            </w:r>
          </w:p>
        </w:tc>
        <w:tc>
          <w:tcPr>
            <w:tcW w:type="dxa" w:w="1440"/>
          </w:tcPr>
          <w:p>
            <w:r>
              <w:t>المساهمات العملية (بناء القدرات، بناء العلاقات، التمكين) تُعادل أو تفوق أهمية المساهمات المعرفية في البرامج البحثية</w:t>
            </w:r>
          </w:p>
        </w:tc>
        <w:tc>
          <w:tcPr>
            <w:tcW w:type="dxa" w:w="1440"/>
          </w:tcPr>
          <w:p>
            <w:r>
              <w:t>external</w:t>
            </w:r>
          </w:p>
        </w:tc>
        <w:tc>
          <w:tcPr>
            <w:tcW w:type="dxa" w:w="1440"/>
          </w:tcPr>
          <w:p>
            <w:r>
              <w:t>EXT-012: Evaluating and Improving the Contributions of University Research to Social Innovation</w:t>
            </w:r>
          </w:p>
        </w:tc>
        <w:tc>
          <w:tcPr>
            <w:tcW w:type="dxa" w:w="1440"/>
          </w:tcPr>
          <w:p>
            <w:r>
              <w:t>0.90</w:t>
            </w:r>
          </w:p>
        </w:tc>
        <w:tc>
          <w:tcPr>
            <w:tcW w:type="dxa" w:w="1440"/>
          </w:tcPr>
          <w:p>
            <w:r>
              <w:t>partially_verified</w:t>
            </w:r>
          </w:p>
        </w:tc>
      </w:tr>
      <w:tr>
        <w:tc>
          <w:tcPr>
            <w:tcW w:type="dxa" w:w="1440"/>
          </w:tcPr>
          <w:p>
            <w:r>
              <w:t>CLAIM-013</w:t>
            </w:r>
          </w:p>
        </w:tc>
        <w:tc>
          <w:tcPr>
            <w:tcW w:type="dxa" w:w="1440"/>
          </w:tcPr>
          <w:p>
            <w:r>
              <w:t>دمج أهداف التنمية المستدامة في أنظمة الإدارة المالية العامة شرط مسبق لمواءمة أولويات التنمية الوطنية مع أجندة 2030</w:t>
            </w:r>
          </w:p>
        </w:tc>
        <w:tc>
          <w:tcPr>
            <w:tcW w:type="dxa" w:w="1440"/>
          </w:tcPr>
          <w:p>
            <w:r>
              <w:t>external</w:t>
            </w:r>
          </w:p>
        </w:tc>
        <w:tc>
          <w:tcPr>
            <w:tcW w:type="dxa" w:w="1440"/>
          </w:tcPr>
          <w:p>
            <w:r>
              <w:t>EXT-013: Automatic SDG Budget Tagging</w:t>
            </w:r>
          </w:p>
        </w:tc>
        <w:tc>
          <w:tcPr>
            <w:tcW w:type="dxa" w:w="1440"/>
          </w:tcPr>
          <w:p>
            <w:r>
              <w:t>0.90</w:t>
            </w:r>
          </w:p>
        </w:tc>
        <w:tc>
          <w:tcPr>
            <w:tcW w:type="dxa" w:w="1440"/>
          </w:tcPr>
          <w:p>
            <w:r>
              <w:t>partially_verified</w:t>
            </w:r>
          </w:p>
        </w:tc>
      </w:tr>
      <w:tr>
        <w:tc>
          <w:tcPr>
            <w:tcW w:type="dxa" w:w="1440"/>
          </w:tcPr>
          <w:p>
            <w:r>
              <w:t>CLAIM-014</w:t>
            </w:r>
          </w:p>
        </w:tc>
        <w:tc>
          <w:tcPr>
            <w:tcW w:type="dxa" w:w="1440"/>
          </w:tcPr>
          <w:p>
            <w:r>
              <w:t>مشروع PRJ-001 مع سدايا واليونسكو تضمّن إعداد تقييم معياري لأداء برامج بحثية في أبحاث وأخلاقيات الذكاء الاصطناعي</w:t>
            </w:r>
          </w:p>
        </w:tc>
        <w:tc>
          <w:tcPr>
            <w:tcW w:type="dxa" w:w="1440"/>
          </w:tcPr>
          <w:p>
            <w:r>
              <w:t>internal</w:t>
            </w:r>
          </w:p>
        </w:tc>
        <w:tc>
          <w:tcPr>
            <w:tcW w:type="dxa" w:w="1440"/>
          </w:tcPr>
          <w:p>
            <w:r>
              <w:t>PRJ-001</w:t>
            </w:r>
          </w:p>
        </w:tc>
        <w:tc>
          <w:tcPr>
            <w:tcW w:type="dxa" w:w="1440"/>
          </w:tcPr>
          <w:p>
            <w:r>
              <w:t>0.60</w:t>
            </w:r>
          </w:p>
        </w:tc>
        <w:tc>
          <w:tcPr>
            <w:tcW w:type="dxa" w:w="1440"/>
          </w:tcPr>
          <w:p>
            <w:r>
              <w:t>gap</w:t>
            </w:r>
          </w:p>
        </w:tc>
      </w:tr>
      <w:tr>
        <w:tc>
          <w:tcPr>
            <w:tcW w:type="dxa" w:w="1440"/>
          </w:tcPr>
          <w:p>
            <w:r>
              <w:t>CLAIM-015</w:t>
            </w:r>
          </w:p>
        </w:tc>
        <w:tc>
          <w:tcPr>
            <w:tcW w:type="dxa" w:w="1440"/>
          </w:tcPr>
          <w:p>
            <w:r>
              <w:t>ستراتيجيك قيرز شركة استشارية سعودية المقر والتشغيل</w:t>
            </w:r>
          </w:p>
        </w:tc>
        <w:tc>
          <w:tcPr>
            <w:tcW w:type="dxa" w:w="1440"/>
          </w:tcPr>
          <w:p>
            <w:r>
              <w:t>internal</w:t>
            </w:r>
          </w:p>
        </w:tc>
        <w:tc>
          <w:tcPr>
            <w:tcW w:type="dxa" w:w="1440"/>
          </w:tcPr>
          <w:p>
            <w:r>
              <w:t>معلومات الشركة الأساسية</w:t>
            </w:r>
          </w:p>
        </w:tc>
        <w:tc>
          <w:tcPr>
            <w:tcW w:type="dxa" w:w="1440"/>
          </w:tcPr>
          <w:p>
            <w:r>
              <w:t>0.90</w:t>
            </w:r>
          </w:p>
        </w:tc>
        <w:tc>
          <w:tcPr>
            <w:tcW w:type="dxa" w:w="1440"/>
          </w:tcPr>
          <w:p>
            <w:r>
              <w:t>gap</w:t>
            </w:r>
          </w:p>
        </w:tc>
      </w:tr>
      <w:tr>
        <w:tc>
          <w:tcPr>
            <w:tcW w:type="dxa" w:w="1440"/>
          </w:tcPr>
          <w:p>
            <w:r>
              <w:t>CLAIM-016</w:t>
            </w:r>
          </w:p>
        </w:tc>
        <w:tc>
          <w:tcPr>
            <w:tcW w:type="dxa" w:w="1440"/>
          </w:tcPr>
          <w:p>
            <w:r>
              <w:t>خبرة موثقة في العمل مع الهيئة السعودية للبيانات والذكاء الاصطناعي (سدايا)</w:t>
            </w:r>
          </w:p>
        </w:tc>
        <w:tc>
          <w:tcPr>
            <w:tcW w:type="dxa" w:w="1440"/>
          </w:tcPr>
          <w:p>
            <w:r>
              <w:t>internal</w:t>
            </w:r>
          </w:p>
        </w:tc>
        <w:tc>
          <w:tcPr>
            <w:tcW w:type="dxa" w:w="1440"/>
          </w:tcPr>
          <w:p>
            <w:r>
              <w:t>PRJ-001</w:t>
            </w:r>
          </w:p>
        </w:tc>
        <w:tc>
          <w:tcPr>
            <w:tcW w:type="dxa" w:w="1440"/>
          </w:tcPr>
          <w:p>
            <w:r>
              <w:t>0.90</w:t>
            </w:r>
          </w:p>
        </w:tc>
        <w:tc>
          <w:tcPr>
            <w:tcW w:type="dxa" w:w="1440"/>
          </w:tcPr>
          <w:p>
            <w:r>
              <w:t>gap</w:t>
            </w:r>
          </w:p>
        </w:tc>
      </w:tr>
      <w:tr>
        <w:tc>
          <w:tcPr>
            <w:tcW w:type="dxa" w:w="1440"/>
          </w:tcPr>
          <w:p>
            <w:r>
              <w:t>CLAIM-017</w:t>
            </w:r>
          </w:p>
        </w:tc>
        <w:tc>
          <w:tcPr>
            <w:tcW w:type="dxa" w:w="1440"/>
          </w:tcPr>
          <w:p>
            <w:r>
              <w:t>خبرة موثقة في التعاون مع اليونسكو في مجال أبحاث وأخلاقيات الذكاء الاصطناعي</w:t>
            </w:r>
          </w:p>
        </w:tc>
        <w:tc>
          <w:tcPr>
            <w:tcW w:type="dxa" w:w="1440"/>
          </w:tcPr>
          <w:p>
            <w:r>
              <w:t>internal</w:t>
            </w:r>
          </w:p>
        </w:tc>
        <w:tc>
          <w:tcPr>
            <w:tcW w:type="dxa" w:w="1440"/>
          </w:tcPr>
          <w:p>
            <w:r>
              <w:t>CLI-003, PRJ-001</w:t>
            </w:r>
          </w:p>
        </w:tc>
        <w:tc>
          <w:tcPr>
            <w:tcW w:type="dxa" w:w="1440"/>
          </w:tcPr>
          <w:p>
            <w:r>
              <w:t>0.60</w:t>
            </w:r>
          </w:p>
        </w:tc>
        <w:tc>
          <w:tcPr>
            <w:tcW w:type="dxa" w:w="1440"/>
          </w:tcPr>
          <w:p>
            <w:r>
              <w:t>gap</w:t>
            </w:r>
          </w:p>
        </w:tc>
      </w:tr>
      <w:tr>
        <w:tc>
          <w:tcPr>
            <w:tcW w:type="dxa" w:w="1440"/>
          </w:tcPr>
          <w:p>
            <w:r>
              <w:t>CLAIM-018</w:t>
            </w:r>
          </w:p>
        </w:tc>
        <w:tc>
          <w:tcPr>
            <w:tcW w:type="dxa" w:w="1440"/>
          </w:tcPr>
          <w:p>
            <w:r>
              <w:t>خبرة موثقة في العمل مع وزارة المالية</w:t>
            </w:r>
          </w:p>
        </w:tc>
        <w:tc>
          <w:tcPr>
            <w:tcW w:type="dxa" w:w="1440"/>
          </w:tcPr>
          <w:p>
            <w:r>
              <w:t>internal</w:t>
            </w:r>
          </w:p>
        </w:tc>
        <w:tc>
          <w:tcPr>
            <w:tcW w:type="dxa" w:w="1440"/>
          </w:tcPr>
          <w:p>
            <w:r>
              <w:t>CLI-002</w:t>
            </w:r>
          </w:p>
        </w:tc>
        <w:tc>
          <w:tcPr>
            <w:tcW w:type="dxa" w:w="1440"/>
          </w:tcPr>
          <w:p>
            <w:r>
              <w:t>0.60</w:t>
            </w:r>
          </w:p>
        </w:tc>
        <w:tc>
          <w:tcPr>
            <w:tcW w:type="dxa" w:w="1440"/>
          </w:tcPr>
          <w:p>
            <w:r>
              <w:t>gap</w:t>
            </w:r>
          </w:p>
        </w:tc>
      </w:tr>
      <w:tr>
        <w:tc>
          <w:tcPr>
            <w:tcW w:type="dxa" w:w="1440"/>
          </w:tcPr>
          <w:p>
            <w:r>
              <w:t>CLAIM-019</w:t>
            </w:r>
          </w:p>
        </w:tc>
        <w:tc>
          <w:tcPr>
            <w:tcW w:type="dxa" w:w="1440"/>
          </w:tcPr>
          <w:p>
            <w:r>
              <w:t>منهجية رباعية المراحل مع مسار حوكمة مستمر مُوحَّد، مُصمَّمة تحديداً لتلبية متطلبات نطاق العمل الثلاثة المنصوص عليها في كراسة الشروط</w:t>
            </w:r>
          </w:p>
        </w:tc>
        <w:tc>
          <w:tcPr>
            <w:tcW w:type="dxa" w:w="1440"/>
          </w:tcPr>
          <w:p>
            <w:r>
              <w:t>internal</w:t>
            </w:r>
          </w:p>
        </w:tc>
        <w:tc>
          <w:tcPr>
            <w:tcW w:type="dxa" w:w="1440"/>
          </w:tcPr>
          <w:p>
            <w:r>
              <w:t>تصميم المنهجية المقترحة</w:t>
            </w:r>
          </w:p>
        </w:tc>
        <w:tc>
          <w:tcPr>
            <w:tcW w:type="dxa" w:w="1440"/>
          </w:tcPr>
          <w:p>
            <w:r>
              <w:t>0.90</w:t>
            </w:r>
          </w:p>
        </w:tc>
        <w:tc>
          <w:tcPr>
            <w:tcW w:type="dxa" w:w="1440"/>
          </w:tcPr>
          <w:p>
            <w:r>
              <w:t>gap</w:t>
            </w:r>
          </w:p>
        </w:tc>
      </w:tr>
      <w:tr>
        <w:tc>
          <w:tcPr>
            <w:tcW w:type="dxa" w:w="1440"/>
          </w:tcPr>
          <w:p>
            <w:r>
              <w:t>CLAIM-020</w:t>
            </w:r>
          </w:p>
        </w:tc>
        <w:tc>
          <w:tcPr>
            <w:tcW w:type="dxa" w:w="1440"/>
          </w:tcPr>
          <w:p>
            <w:r>
              <w:t>تطبيق مصفوفة التقييم المؤسسي الهرمي المبنية على منهجية WHO مُكيَّفة لسياق برامج اليونسكو في أخلاقيات الذكاء الاصطناعي</w:t>
            </w:r>
          </w:p>
        </w:tc>
        <w:tc>
          <w:tcPr>
            <w:tcW w:type="dxa" w:w="1440"/>
          </w:tcPr>
          <w:p>
            <w:r>
              <w:t>internal</w:t>
            </w:r>
          </w:p>
        </w:tc>
        <w:tc>
          <w:tcPr>
            <w:tcW w:type="dxa" w:w="1440"/>
          </w:tcPr>
          <w:p>
            <w:r>
              <w:t>تصميم أدوات التقييم المقترحة مع مرجع EXT-008</w:t>
            </w:r>
          </w:p>
        </w:tc>
        <w:tc>
          <w:tcPr>
            <w:tcW w:type="dxa" w:w="1440"/>
          </w:tcPr>
          <w:p>
            <w:r>
              <w:t>0.90</w:t>
            </w:r>
          </w:p>
        </w:tc>
        <w:tc>
          <w:tcPr>
            <w:tcW w:type="dxa" w:w="1440"/>
          </w:tcPr>
          <w:p>
            <w:r>
              <w:t>partially_verified</w:t>
            </w:r>
          </w:p>
        </w:tc>
      </w:tr>
      <w:tr>
        <w:tc>
          <w:tcPr>
            <w:tcW w:type="dxa" w:w="1440"/>
          </w:tcPr>
          <w:p>
            <w:r>
              <w:t>CLAIM-021</w:t>
            </w:r>
          </w:p>
        </w:tc>
        <w:tc>
          <w:tcPr>
            <w:tcW w:type="dxa" w:w="1440"/>
          </w:tcPr>
          <w:p>
            <w:r>
              <w:t>إجراء 15-20 مقابلة مُعمَّقة مع أصحاب المصلحة الرئيسيين، مُوزَّعة على ثلاث فئات</w:t>
            </w:r>
          </w:p>
        </w:tc>
        <w:tc>
          <w:tcPr>
            <w:tcW w:type="dxa" w:w="1440"/>
          </w:tcPr>
          <w:p>
            <w:r>
              <w:t>internal</w:t>
            </w:r>
          </w:p>
        </w:tc>
        <w:tc>
          <w:tcPr>
            <w:tcW w:type="dxa" w:w="1440"/>
          </w:tcPr>
          <w:p>
            <w:r>
              <w:t>خطة المقابلات في المرحلة الأولى</w:t>
            </w:r>
          </w:p>
        </w:tc>
        <w:tc>
          <w:tcPr>
            <w:tcW w:type="dxa" w:w="1440"/>
          </w:tcPr>
          <w:p>
            <w:r>
              <w:t>0.90</w:t>
            </w:r>
          </w:p>
        </w:tc>
        <w:tc>
          <w:tcPr>
            <w:tcW w:type="dxa" w:w="1440"/>
          </w:tcPr>
          <w:p>
            <w:r>
              <w:t>gap</w:t>
            </w:r>
          </w:p>
        </w:tc>
      </w:tr>
      <w:tr>
        <w:tc>
          <w:tcPr>
            <w:tcW w:type="dxa" w:w="1440"/>
          </w:tcPr>
          <w:p>
            <w:r>
              <w:t>CLAIM-022</w:t>
            </w:r>
          </w:p>
        </w:tc>
        <w:tc>
          <w:tcPr>
            <w:tcW w:type="dxa" w:w="1440"/>
          </w:tcPr>
          <w:p>
            <w:r>
              <w:t>تصميم 3-5 مبادرات بحثية مُفصَّلة في أبحاث وأخلاقيات الذكاء الاصطناعي</w:t>
            </w:r>
          </w:p>
        </w:tc>
        <w:tc>
          <w:tcPr>
            <w:tcW w:type="dxa" w:w="1440"/>
          </w:tcPr>
          <w:p>
            <w:r>
              <w:t>internal</w:t>
            </w:r>
          </w:p>
        </w:tc>
        <w:tc>
          <w:tcPr>
            <w:tcW w:type="dxa" w:w="1440"/>
          </w:tcPr>
          <w:p>
            <w:r>
              <w:t>مخرجات المرحلة الثانية D-2</w:t>
            </w:r>
          </w:p>
        </w:tc>
        <w:tc>
          <w:tcPr>
            <w:tcW w:type="dxa" w:w="1440"/>
          </w:tcPr>
          <w:p>
            <w:r>
              <w:t>0.90</w:t>
            </w:r>
          </w:p>
        </w:tc>
        <w:tc>
          <w:tcPr>
            <w:tcW w:type="dxa" w:w="1440"/>
          </w:tcPr>
          <w:p>
            <w:r>
              <w:t>gap</w:t>
            </w:r>
          </w:p>
        </w:tc>
      </w:tr>
      <w:tr>
        <w:tc>
          <w:tcPr>
            <w:tcW w:type="dxa" w:w="1440"/>
          </w:tcPr>
          <w:p>
            <w:r>
              <w:t>CLAIM-023</w:t>
            </w:r>
          </w:p>
        </w:tc>
        <w:tc>
          <w:tcPr>
            <w:tcW w:type="dxa" w:w="1440"/>
          </w:tcPr>
          <w:p>
            <w:r>
              <w:t>تنفيذ سلسلة من 4-6 ورش عمل تدريبية مُهيكلة، كل ورشة مدتها يوم كامل</w:t>
            </w:r>
          </w:p>
        </w:tc>
        <w:tc>
          <w:tcPr>
            <w:tcW w:type="dxa" w:w="1440"/>
          </w:tcPr>
          <w:p>
            <w:r>
              <w:t>internal</w:t>
            </w:r>
          </w:p>
        </w:tc>
        <w:tc>
          <w:tcPr>
            <w:tcW w:type="dxa" w:w="1440"/>
          </w:tcPr>
          <w:p>
            <w:r>
              <w:t>برنامج التدريب في المرحلة الثالثة D-3</w:t>
            </w:r>
          </w:p>
        </w:tc>
        <w:tc>
          <w:tcPr>
            <w:tcW w:type="dxa" w:w="1440"/>
          </w:tcPr>
          <w:p>
            <w:r>
              <w:t>0.90</w:t>
            </w:r>
          </w:p>
        </w:tc>
        <w:tc>
          <w:tcPr>
            <w:tcW w:type="dxa" w:w="1440"/>
          </w:tcPr>
          <w:p>
            <w:r>
              <w:t>gap</w:t>
            </w:r>
          </w:p>
        </w:tc>
      </w:tr>
      <w:tr>
        <w:tc>
          <w:tcPr>
            <w:tcW w:type="dxa" w:w="1440"/>
          </w:tcPr>
          <w:p>
            <w:r>
              <w:t>CLAIM-024</w:t>
            </w:r>
          </w:p>
        </w:tc>
        <w:tc>
          <w:tcPr>
            <w:tcW w:type="dxa" w:w="1440"/>
          </w:tcPr>
          <w:p>
            <w:r>
              <w:t>يُخصص ما يعادل 10% من الجهد الاستشاري الإجمالي كاحتياطي للمخاطر</w:t>
            </w:r>
          </w:p>
        </w:tc>
        <w:tc>
          <w:tcPr>
            <w:tcW w:type="dxa" w:w="1440"/>
          </w:tcPr>
          <w:p>
            <w:r>
              <w:t>internal</w:t>
            </w:r>
          </w:p>
        </w:tc>
        <w:tc>
          <w:tcPr>
            <w:tcW w:type="dxa" w:w="1440"/>
          </w:tcPr>
          <w:p>
            <w:r>
              <w:t>نهج احتياطي المخاطر في إطار الحوكمة</w:t>
            </w:r>
          </w:p>
        </w:tc>
        <w:tc>
          <w:tcPr>
            <w:tcW w:type="dxa" w:w="1440"/>
          </w:tcPr>
          <w:p>
            <w:r>
              <w:t>0.90</w:t>
            </w:r>
          </w:p>
        </w:tc>
        <w:tc>
          <w:tcPr>
            <w:tcW w:type="dxa" w:w="1440"/>
          </w:tcPr>
          <w:p>
            <w:r>
              <w:t>gap</w:t>
            </w:r>
          </w:p>
        </w:tc>
      </w:tr>
      <w:tr>
        <w:tc>
          <w:tcPr>
            <w:tcW w:type="dxa" w:w="1440"/>
          </w:tcPr>
          <w:p>
            <w:r>
              <w:t>CLAIM-025</w:t>
            </w:r>
          </w:p>
        </w:tc>
        <w:tc>
          <w:tcPr>
            <w:tcW w:type="dxa" w:w="1440"/>
          </w:tcPr>
          <w:p>
            <w:r>
              <w:t>هيكل حوكمة ثلاثي المستويات (لجنة توجيهية، مكتب إدارة المشروع، فرق العمل الفنية)</w:t>
            </w:r>
          </w:p>
        </w:tc>
        <w:tc>
          <w:tcPr>
            <w:tcW w:type="dxa" w:w="1440"/>
          </w:tcPr>
          <w:p>
            <w:r>
              <w:t>internal</w:t>
            </w:r>
          </w:p>
        </w:tc>
        <w:tc>
          <w:tcPr>
            <w:tcW w:type="dxa" w:w="1440"/>
          </w:tcPr>
          <w:p>
            <w:r>
              <w:t>إطار الحوكمة الشامل</w:t>
            </w:r>
          </w:p>
        </w:tc>
        <w:tc>
          <w:tcPr>
            <w:tcW w:type="dxa" w:w="1440"/>
          </w:tcPr>
          <w:p>
            <w:r>
              <w:t>0.90</w:t>
            </w:r>
          </w:p>
        </w:tc>
        <w:tc>
          <w:tcPr>
            <w:tcW w:type="dxa" w:w="1440"/>
          </w:tcPr>
          <w:p>
            <w:r>
              <w:t>gap</w:t>
            </w:r>
          </w:p>
        </w:tc>
      </w:tr>
    </w:tbl>
    <w:p>
      <w:r>
        <w:br w:type="page"/>
      </w:r>
    </w:p>
    <w:p>
      <w:pPr>
        <w:pStyle w:val="Heading1"/>
      </w:pPr>
      <w:r>
        <w:t>Appendix: Engine 2 Requirements</w:t>
      </w:r>
    </w:p>
    <w:p>
      <w:r>
        <w:t>This appendix lists proof gaps that Engine 2 (company backend) must fill before the proposal is submission-ready. Each item specifies what evidence is needed and where it should come from.</w:t>
      </w:r>
    </w:p>
    <w:p>
      <w:pPr>
        <w:pStyle w:val="Heading2"/>
      </w:pPr>
      <w:r>
        <w:t>A. Evidence Gaps — Proof Shopping List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Claim ID</w:t>
            </w:r>
          </w:p>
        </w:tc>
        <w:tc>
          <w:tcPr>
            <w:tcW w:type="dxa" w:w="2160"/>
          </w:tcPr>
          <w:p>
            <w:r>
              <w:t>Claim</w:t>
            </w:r>
          </w:p>
        </w:tc>
        <w:tc>
          <w:tcPr>
            <w:tcW w:type="dxa" w:w="2160"/>
          </w:tcPr>
          <w:p>
            <w:r>
              <w:t>Source Needed</w:t>
            </w:r>
          </w:p>
        </w:tc>
        <w:tc>
          <w:tcPr>
            <w:tcW w:type="dxa" w:w="2160"/>
          </w:tcPr>
          <w:p>
            <w:r>
              <w:t>Action Required</w:t>
            </w:r>
          </w:p>
        </w:tc>
      </w:tr>
      <w:tr>
        <w:tc>
          <w:tcPr>
            <w:tcW w:type="dxa" w:w="2160"/>
          </w:tcPr>
          <w:p>
            <w:r>
              <w:t>CLAIM-003</w:t>
            </w:r>
          </w:p>
        </w:tc>
        <w:tc>
          <w:tcPr>
            <w:tcW w:type="dxa" w:w="2160"/>
          </w:tcPr>
          <w:p>
            <w:r>
              <w:t>آخر موعد للاستفسارات 1447/11/08، موعد تقديم العروض 1447/11/11، فتح المظاريف 1447/11/11، الترسية المتوقعة 1447/12/02، وبدء الخدمة 1448/01/06</w:t>
            </w:r>
          </w:p>
        </w:tc>
        <w:tc>
          <w:tcPr>
            <w:tcW w:type="dxa" w:w="2160"/>
          </w:tcPr>
          <w:p>
            <w:r>
              <w:t>DIRECT_RFP_FACT</w:t>
            </w:r>
          </w:p>
        </w:tc>
        <w:tc>
          <w:tcPr>
            <w:tcW w:type="dxa" w:w="2160"/>
          </w:tcPr>
          <w:p>
            <w:r>
              <w:t>تحقق من الجدول الزمني للمنافسة في وثيقة المنافسة الأصلية</w:t>
            </w:r>
          </w:p>
        </w:tc>
      </w:tr>
      <w:tr>
        <w:tc>
          <w:tcPr>
            <w:tcW w:type="dxa" w:w="2160"/>
          </w:tcPr>
          <w:p>
            <w:r>
              <w:t>CLAIM-004</w:t>
            </w:r>
          </w:p>
        </w:tc>
        <w:tc>
          <w:tcPr>
            <w:tcW w:type="dxa" w:w="2160"/>
          </w:tcPr>
          <w:p>
            <w:r>
              <w:t>يجب أن تقدم العروض باللغة العربية؛ في حال التعارض يُؤخذ بالنص العربي</w:t>
            </w:r>
          </w:p>
        </w:tc>
        <w:tc>
          <w:tcPr>
            <w:tcW w:type="dxa" w:w="2160"/>
          </w:tcPr>
          <w:p>
            <w:r>
              <w:t>CR-1 / HR-L1-001</w:t>
            </w:r>
          </w:p>
        </w:tc>
        <w:tc>
          <w:tcPr>
            <w:tcW w:type="dxa" w:w="2160"/>
          </w:tcPr>
          <w:p>
            <w:r>
              <w:t>تحقق من متطلبات كراسة الشروط CR-1</w:t>
            </w:r>
          </w:p>
        </w:tc>
      </w:tr>
      <w:tr>
        <w:tc>
          <w:tcPr>
            <w:tcW w:type="dxa" w:w="2160"/>
          </w:tcPr>
          <w:p>
            <w:r>
              <w:t>CLAIM-005</w:t>
            </w:r>
          </w:p>
        </w:tc>
        <w:tc>
          <w:tcPr>
            <w:tcW w:type="dxa" w:w="2160"/>
          </w:tcPr>
          <w:p>
            <w:r>
              <w:t>ضمان ابتدائي 1% من قيمة العرض الإجمالية</w:t>
            </w:r>
          </w:p>
        </w:tc>
        <w:tc>
          <w:tcPr>
            <w:tcW w:type="dxa" w:w="2160"/>
          </w:tcPr>
          <w:p>
            <w:r>
              <w:t>HR-L1-016/017</w:t>
            </w:r>
          </w:p>
        </w:tc>
        <w:tc>
          <w:tcPr>
            <w:tcW w:type="dxa" w:w="2160"/>
          </w:tcPr>
          <w:p>
            <w:r>
              <w:t>تحقق من متطلبات الضمان البنكي في كراسة الشروط</w:t>
            </w:r>
          </w:p>
        </w:tc>
      </w:tr>
      <w:tr>
        <w:tc>
          <w:tcPr>
            <w:tcW w:type="dxa" w:w="2160"/>
          </w:tcPr>
          <w:p>
            <w:r>
              <w:t>CLAIM-006</w:t>
            </w:r>
          </w:p>
        </w:tc>
        <w:tc>
          <w:tcPr>
            <w:tcW w:type="dxa" w:w="2160"/>
          </w:tcPr>
          <w:p>
            <w:r>
              <w:t>التدريب على رأس العمل، العمل جنباً إلى جنب، وورش العمل التدريبية</w:t>
            </w:r>
          </w:p>
        </w:tc>
        <w:tc>
          <w:tcPr>
            <w:tcW w:type="dxa" w:w="2160"/>
          </w:tcPr>
          <w:p>
            <w:r>
              <w:t>SI-3 / D-3</w:t>
            </w:r>
          </w:p>
        </w:tc>
        <w:tc>
          <w:tcPr>
            <w:tcW w:type="dxa" w:w="2160"/>
          </w:tcPr>
          <w:p>
            <w:r>
              <w:t>تحقق من متطلبات نقل المعرفة المحددة في نطاق العمل SI-3</w:t>
            </w:r>
          </w:p>
        </w:tc>
      </w:tr>
      <w:tr>
        <w:tc>
          <w:tcPr>
            <w:tcW w:type="dxa" w:w="2160"/>
          </w:tcPr>
          <w:p>
            <w:r>
              <w:t>CLAIM-014</w:t>
            </w:r>
          </w:p>
        </w:tc>
        <w:tc>
          <w:tcPr>
            <w:tcW w:type="dxa" w:w="2160"/>
          </w:tcPr>
          <w:p>
            <w:r>
              <w:t>مشروع PRJ-001 مع سدايا واليونسكو تضمّن إعداد تقييم معياري لأداء برامج بحثية في أبحاث وأخلاقيات الذكاء الاصطناعي</w:t>
            </w:r>
          </w:p>
        </w:tc>
        <w:tc>
          <w:tcPr>
            <w:tcW w:type="dxa" w:w="2160"/>
          </w:tcPr>
          <w:p>
            <w:r>
              <w:t>PRJ-001</w:t>
            </w:r>
          </w:p>
        </w:tc>
        <w:tc>
          <w:tcPr>
            <w:tcW w:type="dxa" w:w="2160"/>
          </w:tcPr>
          <w:p>
            <w:r>
              <w:t>تحقق من سجلات المشروع الداخلية CLM-xxxx وأرشيف المشاريع</w:t>
            </w:r>
          </w:p>
        </w:tc>
      </w:tr>
      <w:tr>
        <w:tc>
          <w:tcPr>
            <w:tcW w:type="dxa" w:w="2160"/>
          </w:tcPr>
          <w:p>
            <w:r>
              <w:t>CLAIM-015</w:t>
            </w:r>
          </w:p>
        </w:tc>
        <w:tc>
          <w:tcPr>
            <w:tcW w:type="dxa" w:w="2160"/>
          </w:tcPr>
          <w:p>
            <w:r>
              <w:t>ستراتيجيك قيرز شركة استشارية سعودية المقر والتشغيل</w:t>
            </w:r>
          </w:p>
        </w:tc>
        <w:tc>
          <w:tcPr>
            <w:tcW w:type="dxa" w:w="2160"/>
          </w:tcPr>
          <w:p>
            <w:r>
              <w:t>معلومات الشركة الأساسية</w:t>
            </w:r>
          </w:p>
        </w:tc>
        <w:tc>
          <w:tcPr>
            <w:tcW w:type="dxa" w:w="2160"/>
          </w:tcPr>
          <w:p>
            <w:r>
              <w:t>تحقق من السجل التجاري وشهادة الغرفة التجارية</w:t>
            </w:r>
          </w:p>
        </w:tc>
      </w:tr>
      <w:tr>
        <w:tc>
          <w:tcPr>
            <w:tcW w:type="dxa" w:w="2160"/>
          </w:tcPr>
          <w:p>
            <w:r>
              <w:t>CLAIM-016</w:t>
            </w:r>
          </w:p>
        </w:tc>
        <w:tc>
          <w:tcPr>
            <w:tcW w:type="dxa" w:w="2160"/>
          </w:tcPr>
          <w:p>
            <w:r>
              <w:t>خبرة موثقة في العمل مع الهيئة السعودية للبيانات والذكاء الاصطناعي (سدايا)</w:t>
            </w:r>
          </w:p>
        </w:tc>
        <w:tc>
          <w:tcPr>
            <w:tcW w:type="dxa" w:w="2160"/>
          </w:tcPr>
          <w:p>
            <w:r>
              <w:t>PRJ-001</w:t>
            </w:r>
          </w:p>
        </w:tc>
        <w:tc>
          <w:tcPr>
            <w:tcW w:type="dxa" w:w="2160"/>
          </w:tcPr>
          <w:p>
            <w:r>
              <w:t>تحقق من سجلات المشروع PRJ-001 وخطابات إنجاز من سدايا</w:t>
            </w:r>
          </w:p>
        </w:tc>
      </w:tr>
      <w:tr>
        <w:tc>
          <w:tcPr>
            <w:tcW w:type="dxa" w:w="2160"/>
          </w:tcPr>
          <w:p>
            <w:r>
              <w:t>CLAIM-017</w:t>
            </w:r>
          </w:p>
        </w:tc>
        <w:tc>
          <w:tcPr>
            <w:tcW w:type="dxa" w:w="2160"/>
          </w:tcPr>
          <w:p>
            <w:r>
              <w:t>خبرة موثقة في التعاون مع اليونسكو في مجال أبحاث وأخلاقيات الذكاء الاصطناعي</w:t>
            </w:r>
          </w:p>
        </w:tc>
        <w:tc>
          <w:tcPr>
            <w:tcW w:type="dxa" w:w="2160"/>
          </w:tcPr>
          <w:p>
            <w:r>
              <w:t>CLI-003, PRJ-001</w:t>
            </w:r>
          </w:p>
        </w:tc>
        <w:tc>
          <w:tcPr>
            <w:tcW w:type="dxa" w:w="2160"/>
          </w:tcPr>
          <w:p>
            <w:r>
              <w:t>تحقق من سجلات التعاون مع اليونسكو في قاعدة بيانات المشاريع</w:t>
            </w:r>
          </w:p>
        </w:tc>
      </w:tr>
      <w:tr>
        <w:tc>
          <w:tcPr>
            <w:tcW w:type="dxa" w:w="2160"/>
          </w:tcPr>
          <w:p>
            <w:r>
              <w:t>CLAIM-018</w:t>
            </w:r>
          </w:p>
        </w:tc>
        <w:tc>
          <w:tcPr>
            <w:tcW w:type="dxa" w:w="2160"/>
          </w:tcPr>
          <w:p>
            <w:r>
              <w:t>خبرة موثقة في العمل مع وزارة المالية</w:t>
            </w:r>
          </w:p>
        </w:tc>
        <w:tc>
          <w:tcPr>
            <w:tcW w:type="dxa" w:w="2160"/>
          </w:tcPr>
          <w:p>
            <w:r>
              <w:t>CLI-002</w:t>
            </w:r>
          </w:p>
        </w:tc>
        <w:tc>
          <w:tcPr>
            <w:tcW w:type="dxa" w:w="2160"/>
          </w:tcPr>
          <w:p>
            <w:r>
              <w:t>تحقق من سجلات المشاريع مع وزارة المالية في قاعدة بيانات العملاء</w:t>
            </w:r>
          </w:p>
        </w:tc>
      </w:tr>
      <w:tr>
        <w:tc>
          <w:tcPr>
            <w:tcW w:type="dxa" w:w="2160"/>
          </w:tcPr>
          <w:p>
            <w:r>
              <w:t>CLAIM-019</w:t>
            </w:r>
          </w:p>
        </w:tc>
        <w:tc>
          <w:tcPr>
            <w:tcW w:type="dxa" w:w="2160"/>
          </w:tcPr>
          <w:p>
            <w:r>
              <w:t>منهجية رباعية المراحل مع مسار حوكمة مستمر مُوحَّد، مُصمَّمة تحديداً لتلبية متطلبات نطاق العمل الثلاثة المنصوص عليها في كراسة الشروط</w:t>
            </w:r>
          </w:p>
        </w:tc>
        <w:tc>
          <w:tcPr>
            <w:tcW w:type="dxa" w:w="2160"/>
          </w:tcPr>
          <w:p>
            <w:r>
              <w:t>تصميم المنهجية المقترحة</w:t>
            </w:r>
          </w:p>
        </w:tc>
        <w:tc>
          <w:tcPr>
            <w:tcW w:type="dxa" w:w="2160"/>
          </w:tcPr>
          <w:p>
            <w:r>
              <w:t>تحقق من وثيقة المنهجية المفصلة في العرض الفني</w:t>
            </w:r>
          </w:p>
        </w:tc>
      </w:tr>
      <w:tr>
        <w:tc>
          <w:tcPr>
            <w:tcW w:type="dxa" w:w="2160"/>
          </w:tcPr>
          <w:p>
            <w:r>
              <w:t>CLAIM-021</w:t>
            </w:r>
          </w:p>
        </w:tc>
        <w:tc>
          <w:tcPr>
            <w:tcW w:type="dxa" w:w="2160"/>
          </w:tcPr>
          <w:p>
            <w:r>
              <w:t>إجراء 15-20 مقابلة مُعمَّقة مع أصحاب المصلحة الرئيسيين، مُوزَّعة على ثلاث فئات</w:t>
            </w:r>
          </w:p>
        </w:tc>
        <w:tc>
          <w:tcPr>
            <w:tcW w:type="dxa" w:w="2160"/>
          </w:tcPr>
          <w:p>
            <w:r>
              <w:t>خطة المقابلات في المرحلة الأولى</w:t>
            </w:r>
          </w:p>
        </w:tc>
        <w:tc>
          <w:tcPr>
            <w:tcW w:type="dxa" w:w="2160"/>
          </w:tcPr>
          <w:p>
            <w:r>
              <w:t>تحقق من خطة جمع البيانات التفصيلية في وثيقة المنهجية</w:t>
            </w:r>
          </w:p>
        </w:tc>
      </w:tr>
      <w:tr>
        <w:tc>
          <w:tcPr>
            <w:tcW w:type="dxa" w:w="2160"/>
          </w:tcPr>
          <w:p>
            <w:r>
              <w:t>CLAIM-022</w:t>
            </w:r>
          </w:p>
        </w:tc>
        <w:tc>
          <w:tcPr>
            <w:tcW w:type="dxa" w:w="2160"/>
          </w:tcPr>
          <w:p>
            <w:r>
              <w:t>تصميم 3-5 مبادرات بحثية مُفصَّلة في أبحاث وأخلاقيات الذكاء الاصطناعي</w:t>
            </w:r>
          </w:p>
        </w:tc>
        <w:tc>
          <w:tcPr>
            <w:tcW w:type="dxa" w:w="2160"/>
          </w:tcPr>
          <w:p>
            <w:r>
              <w:t>مخرجات المرحلة الثانية D-2</w:t>
            </w:r>
          </w:p>
        </w:tc>
        <w:tc>
          <w:tcPr>
            <w:tcW w:type="dxa" w:w="2160"/>
          </w:tcPr>
          <w:p>
            <w:r>
              <w:t>تحقق من وثيقة تصميم المبادرات في المرحلة الثانية</w:t>
            </w:r>
          </w:p>
        </w:tc>
      </w:tr>
      <w:tr>
        <w:tc>
          <w:tcPr>
            <w:tcW w:type="dxa" w:w="2160"/>
          </w:tcPr>
          <w:p>
            <w:r>
              <w:t>CLAIM-023</w:t>
            </w:r>
          </w:p>
        </w:tc>
        <w:tc>
          <w:tcPr>
            <w:tcW w:type="dxa" w:w="2160"/>
          </w:tcPr>
          <w:p>
            <w:r>
              <w:t>تنفيذ سلسلة من 4-6 ورش عمل تدريبية مُهيكلة، كل ورشة مدتها يوم كامل</w:t>
            </w:r>
          </w:p>
        </w:tc>
        <w:tc>
          <w:tcPr>
            <w:tcW w:type="dxa" w:w="2160"/>
          </w:tcPr>
          <w:p>
            <w:r>
              <w:t>برنامج التدريب في المرحلة الثالثة D-3</w:t>
            </w:r>
          </w:p>
        </w:tc>
        <w:tc>
          <w:tcPr>
            <w:tcW w:type="dxa" w:w="2160"/>
          </w:tcPr>
          <w:p>
            <w:r>
              <w:t>تحقق من خطة التدريب التفصيلية في المرحلة الثالثة</w:t>
            </w:r>
          </w:p>
        </w:tc>
      </w:tr>
      <w:tr>
        <w:tc>
          <w:tcPr>
            <w:tcW w:type="dxa" w:w="2160"/>
          </w:tcPr>
          <w:p>
            <w:r>
              <w:t>CLAIM-024</w:t>
            </w:r>
          </w:p>
        </w:tc>
        <w:tc>
          <w:tcPr>
            <w:tcW w:type="dxa" w:w="2160"/>
          </w:tcPr>
          <w:p>
            <w:r>
              <w:t>يُخصص ما يعادل 10% من الجهد الاستشاري الإجمالي كاحتياطي للمخاطر</w:t>
            </w:r>
          </w:p>
        </w:tc>
        <w:tc>
          <w:tcPr>
            <w:tcW w:type="dxa" w:w="2160"/>
          </w:tcPr>
          <w:p>
            <w:r>
              <w:t>نهج احتياطي المخاطر في إطار الحوكمة</w:t>
            </w:r>
          </w:p>
        </w:tc>
        <w:tc>
          <w:tcPr>
            <w:tcW w:type="dxa" w:w="2160"/>
          </w:tcPr>
          <w:p>
            <w:r>
              <w:t>تحقق من وثيقة إدارة المخاطر في إطار الحوكمة</w:t>
            </w:r>
          </w:p>
        </w:tc>
      </w:tr>
      <w:tr>
        <w:tc>
          <w:tcPr>
            <w:tcW w:type="dxa" w:w="2160"/>
          </w:tcPr>
          <w:p>
            <w:r>
              <w:t>CLAIM-025</w:t>
            </w:r>
          </w:p>
        </w:tc>
        <w:tc>
          <w:tcPr>
            <w:tcW w:type="dxa" w:w="2160"/>
          </w:tcPr>
          <w:p>
            <w:r>
              <w:t>هيكل حوكمة ثلاثي المستويات (لجنة توجيهية، مكتب إدارة المشروع، فرق العمل الفنية)</w:t>
            </w:r>
          </w:p>
        </w:tc>
        <w:tc>
          <w:tcPr>
            <w:tcW w:type="dxa" w:w="2160"/>
          </w:tcPr>
          <w:p>
            <w:r>
              <w:t>إطار الحوكمة الشامل</w:t>
            </w:r>
          </w:p>
        </w:tc>
        <w:tc>
          <w:tcPr>
            <w:tcW w:type="dxa" w:w="2160"/>
          </w:tcPr>
          <w:p>
            <w:r>
              <w:t>تحقق من وثيقة إطار الحوكمة المفصلة</w:t>
            </w:r>
          </w:p>
        </w:tc>
      </w:tr>
    </w:tbl>
    <w:p>
      <w:pPr>
        <w:pStyle w:val="Heading2"/>
      </w:pPr>
      <w:r>
        <w:t>B. Open Team Roles — Staffing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Required Qualifications</w:t>
            </w:r>
          </w:p>
        </w:tc>
        <w:tc>
          <w:tcPr>
            <w:tcW w:type="dxa" w:w="2160"/>
          </w:tcPr>
          <w:p>
            <w:r>
              <w:t>Domain Expertise</w:t>
            </w:r>
          </w:p>
        </w:tc>
        <w:tc>
          <w:tcPr>
            <w:tcW w:type="dxa" w:w="2160"/>
          </w:tcPr>
          <w:p>
            <w:r>
              <w:t>Action Required</w:t>
            </w:r>
          </w:p>
        </w:tc>
      </w:tr>
      <w:tr>
        <w:tc>
          <w:tcPr>
            <w:tcW w:type="dxa" w:w="2160"/>
          </w:tcPr>
          <w:p>
            <w:r>
              <w:t>مدير المشروع / الشريك المسؤول</w:t>
            </w:r>
          </w:p>
        </w:tc>
        <w:tc>
          <w:tcPr>
            <w:tcW w:type="dxa" w:w="2160"/>
          </w:tcPr>
          <w:p>
            <w:r>
              <w:t>Education: ماجستير في إدارة الأعمال أو السياسات العامة أو العلاقات الدولية أو تخصص ذي صلة من جامعة معتمدة</w:t>
              <w:br/>
              <w:t>Certifications: PMP أو ما يعادلها في إدارة المشاريع, شهادة في الإدارة الاستراتيجية أو الاستشارات الإدارية — مرغوبة</w:t>
              <w:br/>
              <w:t>Experience: 15+ years</w:t>
            </w:r>
          </w:p>
        </w:tc>
        <w:tc>
          <w:tcPr>
            <w:tcW w:type="dxa" w:w="2160"/>
          </w:tcPr>
          <w:p>
            <w:r>
              <w:t>الاستشارات الإدارية للقطاع الحكومي السعودي — 5+ مشاريع مع جهات حكومية مركزية, التعاون الدولي في مجال التقنية والذكاء الاصطناعي, إدارة المشاريع الاستشارية المعقدة متعددة الأطراف, التخطيط الاستراتيجي وتطوير السياسات, إدارة العلاقات مع المنظمات الدولية (اليونسكو أو ما يماثلها)</w:t>
            </w:r>
          </w:p>
        </w:tc>
        <w:tc>
          <w:tcPr>
            <w:tcW w:type="dxa" w:w="2160"/>
          </w:tcPr>
          <w:p>
            <w:r>
              <w:t>Engine 2: retrieve matching consultant from staffing database and populate name, CV, and project history</w:t>
            </w:r>
          </w:p>
        </w:tc>
      </w:tr>
      <w:tr>
        <w:tc>
          <w:tcPr>
            <w:tcW w:type="dxa" w:w="2160"/>
          </w:tcPr>
          <w:p>
            <w:r>
              <w:t>خبير أول في أخلاقيات الذكاء الاصطناعي والحوكمة التقنية</w:t>
            </w:r>
          </w:p>
        </w:tc>
        <w:tc>
          <w:tcPr>
            <w:tcW w:type="dxa" w:w="2160"/>
          </w:tcPr>
          <w:p>
            <w:r>
              <w:t>Education: دكتوراه أو ماجستير في علوم الحاسب، أو الذكاء الاصطناعي، أو فلسفة التقنية، أو السياسات التقنية، أو القانون الدولي للتقنية</w:t>
              <w:br/>
              <w:t>Certifications: منشورات أكاديمية محكّمة في أخلاقيات الذكاء الاصطناعي أو حوكمة التقنية (3+ منشورات — إلزامي), خبرة موثقة في تطبيق أدوات اليونسكو المعيارية (RAM، توصية 2021) — مرغوبة بشدة, مشاركة في لجان أو مجموعات عمل دولية في حوكمة الذكاء الاصطناعي — مرغوبة</w:t>
              <w:br/>
              <w:t>Experience: 10+ years</w:t>
            </w:r>
          </w:p>
        </w:tc>
        <w:tc>
          <w:tcPr>
            <w:tcW w:type="dxa" w:w="2160"/>
          </w:tcPr>
          <w:p>
            <w:r>
              <w:t>أخلاقيات الذكاء الاصطناعي والأطر التنظيمية الدولية, توصية اليونسكو بشأن أخلاقيات الذكاء الاصطناعي 2021 والأدوات المرتبطة (RAM، RS|SR، EEP، ABC، GEObs), تقييم نضج البرامج البحثية في الذكاء الاصطناعي, حوكمة البيانات والذكاء الاصطناعي في السياق العربي, المقارنة المعيارية الدولية في سياسات الذكاء الاصطناعي</w:t>
            </w:r>
          </w:p>
        </w:tc>
        <w:tc>
          <w:tcPr>
            <w:tcW w:type="dxa" w:w="2160"/>
          </w:tcPr>
          <w:p>
            <w:r>
              <w:t>Engine 2: retrieve matching consultant from staffing database and populate name, CV, and project history</w:t>
            </w:r>
          </w:p>
        </w:tc>
      </w:tr>
      <w:tr>
        <w:tc>
          <w:tcPr>
            <w:tcW w:type="dxa" w:w="2160"/>
          </w:tcPr>
          <w:p>
            <w:r>
              <w:t>مستشار أول في التقييم المؤسسي وتصميم البرامج</w:t>
            </w:r>
          </w:p>
        </w:tc>
        <w:tc>
          <w:tcPr>
            <w:tcW w:type="dxa" w:w="2160"/>
          </w:tcPr>
          <w:p>
            <w:r>
              <w:t>Education: ماجستير في السياسات العامة، أو التنمية الدولية، أو الإدارة العامة، أو تخصص ذي صلة</w:t>
              <w:br/>
              <w:t>Certifications: شهادة في التقييم المؤسسي أو إدارة البرامج (PgMP أو MSP أو ما يعادلها), شهادة في إدارة المشاريع التنموية أو التعاون الدولي — مرغوبة</w:t>
              <w:br/>
              <w:t>Experience: 12+ years</w:t>
            </w:r>
          </w:p>
        </w:tc>
        <w:tc>
          <w:tcPr>
            <w:tcW w:type="dxa" w:w="2160"/>
          </w:tcPr>
          <w:p>
            <w:r>
              <w:t>التقييم المؤسسي وتقييم النضج للجهات الحكومية السعودية والخليجية — 3+ مشاريع, تصميم برامج التعاون الدولي متعددة الأطراف, تطبيق أطر عمل البنك الدولي (CISF) ومنظمة الصحة العالمية واليونسكو — كدعم منهجي [EXT-004] [EXT-008], تصميم مؤشرات الرصد والتقييم (M&amp;E) باستخدام نظرية التغيير — كدعم منهجي [EXT-012], ربط البرامج بأهداف التنمية المستدامة وتصميم أطر المساءلة — كدعم منهجي [EXT-013]</w:t>
            </w:r>
          </w:p>
        </w:tc>
        <w:tc>
          <w:tcPr>
            <w:tcW w:type="dxa" w:w="2160"/>
          </w:tcPr>
          <w:p>
            <w:r>
              <w:t>Engine 2: retrieve matching consultant from staffing database and populate name, CV, and project history</w:t>
            </w:r>
          </w:p>
        </w:tc>
      </w:tr>
      <w:tr>
        <w:tc>
          <w:tcPr>
            <w:tcW w:type="dxa" w:w="2160"/>
          </w:tcPr>
          <w:p>
            <w:r>
              <w:t>خبير نقل المعرفة وبناء القدرات</w:t>
            </w:r>
          </w:p>
        </w:tc>
        <w:tc>
          <w:tcPr>
            <w:tcW w:type="dxa" w:w="2160"/>
          </w:tcPr>
          <w:p>
            <w:r>
              <w:t>Education: ماجستير في التعليم، أو تطوير الموارد البشرية، أو إدارة المعرفة، أو الإدارة العامة</w:t>
              <w:br/>
              <w:t>Certifications: شهادة في التدريب والتطوير المهني (CPTD أو ATD أو ما يعادلها), شهادة في إدارة المعرفة (KM) أو التعلم التنظيمي — مرغوبة</w:t>
              <w:br/>
              <w:t>Experience: 8+ years</w:t>
            </w:r>
          </w:p>
        </w:tc>
        <w:tc>
          <w:tcPr>
            <w:tcW w:type="dxa" w:w="2160"/>
          </w:tcPr>
          <w:p>
            <w:r>
              <w:t>تصميم برامج نقل المعرفة المؤسسية في القطاع الحكومي السعودي — 3+ مشاريع, التدريب القائم على الكفاءات مع تقييم قبلي وبعدي — كدعم منهجي [EXT-009], إطار APQC لنقل المعرفة (تخطيط ← تصميم ← تنفيذ ← قياس) — كدعم منهجي [EXT-006], تأسيس فرق تقييم داخلية وبناء القدرة المؤسسية المستدامة — كدعم منهجي [EXT-014], تصميم مواد تدريبية تقنية باللغة العربية</w:t>
            </w:r>
          </w:p>
        </w:tc>
        <w:tc>
          <w:tcPr>
            <w:tcW w:type="dxa" w:w="2160"/>
          </w:tcPr>
          <w:p>
            <w:r>
              <w:t>Engine 2: retrieve matching consultant from staffing database and populate name, CV, and project history</w:t>
            </w:r>
          </w:p>
        </w:tc>
      </w:tr>
      <w:tr>
        <w:tc>
          <w:tcPr>
            <w:tcW w:type="dxa" w:w="2160"/>
          </w:tcPr>
          <w:p>
            <w:r>
              <w:t>محلل أبحاث ومقارنة معيارية دولية</w:t>
            </w:r>
          </w:p>
        </w:tc>
        <w:tc>
          <w:tcPr>
            <w:tcW w:type="dxa" w:w="2160"/>
          </w:tcPr>
          <w:p>
            <w:r>
              <w:t>Education: ماجستير في العلاقات الدولية، أو السياسات العامة، أو علوم البيانات، أو الذكاء الاصطناعي، أو تخصص ذي صلة</w:t>
              <w:br/>
              <w:t>Certifications: شهادة في تحليل البيانات أو منهجيات البحث الكمي والنوعي — مرغوبة, إجادة اللغتين العربية والإنجليزية — إلزامي</w:t>
              <w:br/>
              <w:t>Experience: 5+ years</w:t>
            </w:r>
          </w:p>
        </w:tc>
        <w:tc>
          <w:tcPr>
            <w:tcW w:type="dxa" w:w="2160"/>
          </w:tcPr>
          <w:p>
            <w:r>
              <w:t>البحث والتحليل الكمي والنوعي, المقارنة المعيارية الدولية في مجال السياسات التقنية, سياسات الذكاء الاصطناعي وأخلاقياته على المستوى الدولي, إعداد التقارير التحليلية باللغتين العربية والإنجليزية, التعامل مع قواعد بيانات المنظمات الدولية (اليونسكو، OECD، البنك الدولي)</w:t>
            </w:r>
          </w:p>
        </w:tc>
        <w:tc>
          <w:tcPr>
            <w:tcW w:type="dxa" w:w="2160"/>
          </w:tcPr>
          <w:p>
            <w:r>
              <w:t>Engine 2: retrieve matching consultant from staffing database and populate name, CV, and project history</w:t>
            </w:r>
          </w:p>
        </w:tc>
      </w:tr>
    </w:tbl>
    <w:p/>
    <w:p>
      <w:r>
        <w:br w:type="page"/>
      </w:r>
    </w:p>
    <w:p>
      <w:pPr>
        <w:pStyle w:val="Heading1"/>
      </w:pPr>
      <w:r>
        <w:t>Appendix: Routing Summary</w:t>
      </w:r>
    </w:p>
    <w:p>
      <w:r>
        <w:t>This appendix documents the RFP routing classification, selected context packs, and routing confidence. This information is generated automatically by the routing pipeline.</w:t>
      </w:r>
    </w:p>
    <w:p>
      <w:pPr>
        <w:pStyle w:val="Heading2"/>
      </w:pPr>
      <w:r>
        <w:t>Classification</w:t>
      </w:r>
    </w:p>
    <w:tbl>
      <w:tblPr>
        <w:tblStyle w:val="TableGrid"/>
        <w:tblW w:type="auto" w:w="0"/>
        <w:tblLook w:firstColumn="1" w:firstRow="1" w:lastColumn="0" w:lastRow="0" w:noHBand="0" w:noVBand="1" w:val="04A0"/>
      </w:tblPr>
      <w:tblGrid>
        <w:gridCol w:w="2880"/>
        <w:gridCol w:w="6480"/>
      </w:tblGrid>
      <w:tr>
        <w:tc>
          <w:tcPr>
            <w:tcW w:type="dxa" w:w="2880"/>
          </w:tcPr>
          <w:p>
            <w:r>
              <w:rPr>
                <w:b/>
              </w:rPr>
              <w:t>Jurisdiction</w:t>
            </w:r>
          </w:p>
        </w:tc>
        <w:tc>
          <w:tcPr>
            <w:tcW w:type="dxa" w:w="6480"/>
          </w:tcPr>
          <w:p>
            <w:r>
              <w:t>saudi_arabia</w:t>
            </w:r>
          </w:p>
        </w:tc>
      </w:tr>
      <w:tr>
        <w:tc>
          <w:tcPr>
            <w:tcW w:type="dxa" w:w="2880"/>
          </w:tcPr>
          <w:p>
            <w:r>
              <w:rPr>
                <w:b/>
              </w:rPr>
              <w:t>Sector</w:t>
            </w:r>
          </w:p>
        </w:tc>
        <w:tc>
          <w:tcPr>
            <w:tcW w:type="dxa" w:w="6480"/>
          </w:tcPr>
          <w:p>
            <w:r>
              <w:t>public_sector</w:t>
            </w:r>
          </w:p>
        </w:tc>
      </w:tr>
      <w:tr>
        <w:tc>
          <w:tcPr>
            <w:tcW w:type="dxa" w:w="2880"/>
          </w:tcPr>
          <w:p>
            <w:r>
              <w:rPr>
                <w:b/>
              </w:rPr>
              <w:t>Domain</w:t>
            </w:r>
          </w:p>
        </w:tc>
        <w:tc>
          <w:tcPr>
            <w:tcW w:type="dxa" w:w="6480"/>
          </w:tcPr>
          <w:p>
            <w:r>
              <w:t>digital_transformation</w:t>
            </w:r>
          </w:p>
        </w:tc>
      </w:tr>
      <w:tr>
        <w:tc>
          <w:tcPr>
            <w:tcW w:type="dxa" w:w="2880"/>
          </w:tcPr>
          <w:p>
            <w:r>
              <w:rPr>
                <w:b/>
              </w:rPr>
              <w:t>Subdomain</w:t>
            </w:r>
          </w:p>
        </w:tc>
        <w:tc>
          <w:tcPr>
            <w:tcW w:type="dxa" w:w="6480"/>
          </w:tcPr>
          <w:p>
            <w:r>
              <w:t>performance_management</w:t>
            </w:r>
          </w:p>
        </w:tc>
      </w:tr>
      <w:tr>
        <w:tc>
          <w:tcPr>
            <w:tcW w:type="dxa" w:w="2880"/>
          </w:tcPr>
          <w:p>
            <w:r>
              <w:rPr>
                <w:b/>
              </w:rPr>
              <w:t>Client Type</w:t>
            </w:r>
          </w:p>
        </w:tc>
        <w:tc>
          <w:tcPr>
            <w:tcW w:type="dxa" w:w="6480"/>
          </w:tcPr>
          <w:p>
            <w:r>
              <w:t>authority</w:t>
            </w:r>
          </w:p>
        </w:tc>
      </w:tr>
      <w:tr>
        <w:tc>
          <w:tcPr>
            <w:tcW w:type="dxa" w:w="2880"/>
          </w:tcPr>
          <w:p>
            <w:r>
              <w:rPr>
                <w:b/>
              </w:rPr>
              <w:t>Regulatory Frame</w:t>
            </w:r>
          </w:p>
        </w:tc>
        <w:tc>
          <w:tcPr>
            <w:tcW w:type="dxa" w:w="6480"/>
          </w:tcPr>
          <w:p>
            <w:r>
              <w:t>none_identified</w:t>
            </w:r>
          </w:p>
        </w:tc>
      </w:tr>
      <w:tr>
        <w:tc>
          <w:tcPr>
            <w:tcW w:type="dxa" w:w="2880"/>
          </w:tcPr>
          <w:p>
            <w:r>
              <w:rPr>
                <w:b/>
              </w:rPr>
              <w:t>Evaluator Pattern</w:t>
            </w:r>
          </w:p>
        </w:tc>
        <w:tc>
          <w:tcPr>
            <w:tcW w:type="dxa" w:w="6480"/>
          </w:tcPr>
          <w:p>
            <w:r>
              <w:t>not detected</w:t>
            </w:r>
          </w:p>
        </w:tc>
      </w:tr>
      <w:tr>
        <w:tc>
          <w:tcPr>
            <w:tcW w:type="dxa" w:w="2880"/>
          </w:tcPr>
          <w:p>
            <w:r>
              <w:rPr>
                <w:b/>
              </w:rPr>
              <w:t>Language</w:t>
            </w:r>
          </w:p>
        </w:tc>
        <w:tc>
          <w:tcPr>
            <w:tcW w:type="dxa" w:w="6480"/>
          </w:tcPr>
          <w:p>
            <w:r>
              <w:t>ar</w:t>
            </w:r>
          </w:p>
        </w:tc>
      </w:tr>
      <w:tr>
        <w:tc>
          <w:tcPr>
            <w:tcW w:type="dxa" w:w="2880"/>
          </w:tcPr>
          <w:p>
            <w:r>
              <w:rPr>
                <w:b/>
              </w:rPr>
              <w:t>Confidence</w:t>
            </w:r>
          </w:p>
        </w:tc>
        <w:tc>
          <w:tcPr>
            <w:tcW w:type="dxa" w:w="6480"/>
          </w:tcPr>
          <w:p>
            <w:r>
              <w:t>0.80</w:t>
            </w:r>
          </w:p>
        </w:tc>
      </w:tr>
    </w:tbl>
    <w:p/>
    <w:p>
      <w:pPr>
        <w:pStyle w:val="Heading2"/>
      </w:pPr>
      <w:r>
        <w:t>Proof Types Needed</w:t>
      </w:r>
    </w:p>
    <w:p>
      <w:pPr>
        <w:pStyle w:val="ListBullet"/>
      </w:pPr>
      <w:r>
        <w:t>Compliance Certificates</w:t>
      </w:r>
    </w:p>
    <w:p/>
    <w:p>
      <w:pPr>
        <w:pStyle w:val="Heading2"/>
      </w:pPr>
      <w:r>
        <w:t>Selected Context Packs</w:t>
      </w:r>
    </w:p>
    <w:p>
      <w:r>
        <w:rPr>
          <w:b/>
        </w:rPr>
        <w:t xml:space="preserve">Primary packs: </w:t>
      </w:r>
      <w:r>
        <w:t>saudi_public_sector, digital_transformation, authority</w:t>
      </w:r>
    </w:p>
    <w:p/>
    <w:p>
      <w:pPr>
        <w:pStyle w:val="Heading2"/>
      </w:pPr>
      <w:r>
        <w:t>Merged Pack Statistics</w:t>
      </w:r>
    </w:p>
    <w:p>
      <w:pPr>
        <w:pStyle w:val="ListBullet"/>
      </w:pPr>
      <w:r>
        <w:t>Regulatory References: 10</w:t>
      </w:r>
    </w:p>
    <w:p>
      <w:pPr>
        <w:pStyle w:val="ListBullet"/>
      </w:pPr>
      <w:r>
        <w:t>Compliance Patterns: 7</w:t>
      </w:r>
    </w:p>
    <w:p>
      <w:pPr>
        <w:pStyle w:val="ListBullet"/>
      </w:pPr>
      <w:r>
        <w:t>Evaluator Insights: 11</w:t>
      </w:r>
    </w:p>
    <w:p>
      <w:pPr>
        <w:pStyle w:val="ListBullet"/>
      </w:pPr>
      <w:r>
        <w:t>Methodology Patterns: 6</w:t>
      </w:r>
    </w:p>
    <w:p>
      <w:pPr>
        <w:pStyle w:val="ListBullet"/>
      </w:pPr>
      <w:r>
        <w:t>Benchmark References: 0</w:t>
      </w:r>
    </w:p>
    <w:p>
      <w:pPr>
        <w:pStyle w:val="ListBullet"/>
      </w:pPr>
      <w:r>
        <w:t>Search Queries: 13</w:t>
      </w:r>
    </w:p>
    <w:p/>
    <w:p>
      <w:r>
        <w:rPr>
          <w:b/>
        </w:rPr>
        <w:t>Overall Routing Confidence: 0.80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