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9F6E" w14:textId="02E6B269" w:rsidR="0002243F" w:rsidRDefault="0002243F" w:rsidP="009B55A0">
      <w:pPr>
        <w:rPr>
          <w:b/>
          <w:bCs/>
        </w:rPr>
      </w:pPr>
      <w:r>
        <w:rPr>
          <w:b/>
          <w:bCs/>
        </w:rPr>
        <w:t>Scope:</w:t>
      </w:r>
    </w:p>
    <w:p w14:paraId="65A54E0F" w14:textId="231A5BB9" w:rsidR="00951D78" w:rsidRDefault="00951D78" w:rsidP="009B55A0">
      <w:r w:rsidRPr="00951D78">
        <w:t xml:space="preserve">The scope of this engagement includes the design, development, and deployment of a centralized </w:t>
      </w:r>
      <w:r w:rsidRPr="00BC1548">
        <w:rPr>
          <w:b/>
          <w:bCs/>
        </w:rPr>
        <w:t>Executive Dashboard</w:t>
      </w:r>
      <w:r w:rsidRPr="00951D78">
        <w:t xml:space="preserve"> that provides senior management with a consolidated, high-level view of </w:t>
      </w:r>
      <w:r w:rsidRPr="0059250F">
        <w:rPr>
          <w:b/>
          <w:bCs/>
        </w:rPr>
        <w:t>UDC</w:t>
      </w:r>
      <w:r w:rsidRPr="00951D78">
        <w:t xml:space="preserve"> performance. The dashboard shall integrate </w:t>
      </w:r>
      <w:r w:rsidRPr="00BC1548">
        <w:rPr>
          <w:b/>
          <w:bCs/>
        </w:rPr>
        <w:t>data from two primary sources</w:t>
      </w:r>
      <w:r w:rsidR="000A4CFC">
        <w:t xml:space="preserve">, </w:t>
      </w:r>
      <w:r w:rsidRPr="00951D78">
        <w:t>Oracle dashboards (Finance</w:t>
      </w:r>
      <w:r w:rsidR="725747E6">
        <w:t>,</w:t>
      </w:r>
      <w:r>
        <w:t xml:space="preserve"> </w:t>
      </w:r>
      <w:r w:rsidRPr="00951D78">
        <w:t>Human Resources</w:t>
      </w:r>
      <w:r w:rsidR="730D3880">
        <w:t>, and Procurements</w:t>
      </w:r>
      <w:r w:rsidRPr="00951D78">
        <w:t>) and Microsoft Dynamics CRM</w:t>
      </w:r>
      <w:r w:rsidR="000A4CFC">
        <w:t xml:space="preserve"> </w:t>
      </w:r>
      <w:r w:rsidRPr="00951D78">
        <w:t xml:space="preserve">to deliver a unified executive view supported by standardized data models, secure access controls, and automated refresh mechanisms. The solution shall present clear, </w:t>
      </w:r>
      <w:r w:rsidRPr="00BC1548">
        <w:rPr>
          <w:b/>
          <w:bCs/>
        </w:rPr>
        <w:t>decision-oriented insights</w:t>
      </w:r>
      <w:r w:rsidRPr="00951D78">
        <w:t xml:space="preserve"> across UDC’s commercial and residential operations, sales performance, financial position, workforce metrics, procurement, and </w:t>
      </w:r>
      <w:r w:rsidRPr="00BC1548">
        <w:rPr>
          <w:b/>
          <w:bCs/>
        </w:rPr>
        <w:t>corporate KPIs,</w:t>
      </w:r>
      <w:r w:rsidRPr="00951D78">
        <w:t xml:space="preserve"> with an emphasis on accuracy, usability, and executive-level reporting</w:t>
      </w:r>
      <w:r w:rsidR="5158FA1F">
        <w:t>.</w:t>
      </w:r>
      <w:r w:rsidRPr="00951D7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3150"/>
        <w:gridCol w:w="5130"/>
      </w:tblGrid>
      <w:tr w:rsidR="00392CE7" w14:paraId="1B6D585A" w14:textId="77777777" w:rsidTr="00F67890"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7B4BD240" w14:textId="76FC944E" w:rsidR="0059148B" w:rsidRPr="00FB12FD" w:rsidRDefault="0059148B" w:rsidP="00BA56A7">
            <w:pPr>
              <w:jc w:val="center"/>
              <w:rPr>
                <w:b/>
                <w:bCs/>
              </w:rPr>
            </w:pPr>
            <w:r w:rsidRPr="00FB12FD">
              <w:rPr>
                <w:b/>
                <w:bCs/>
              </w:rPr>
              <w:t>#</w:t>
            </w:r>
          </w:p>
        </w:tc>
        <w:tc>
          <w:tcPr>
            <w:tcW w:w="3150" w:type="dxa"/>
            <w:shd w:val="clear" w:color="auto" w:fill="F2F2F2" w:themeFill="background1" w:themeFillShade="F2"/>
            <w:vAlign w:val="center"/>
          </w:tcPr>
          <w:p w14:paraId="26CDD6D0" w14:textId="1FDDC68B" w:rsidR="0059148B" w:rsidRPr="00FB12FD" w:rsidRDefault="00BA56A7" w:rsidP="00BA56A7">
            <w:pPr>
              <w:jc w:val="center"/>
              <w:rPr>
                <w:b/>
                <w:bCs/>
              </w:rPr>
            </w:pPr>
            <w:r w:rsidRPr="00FB12FD">
              <w:rPr>
                <w:b/>
                <w:bCs/>
              </w:rPr>
              <w:t>Section</w:t>
            </w:r>
          </w:p>
        </w:tc>
        <w:tc>
          <w:tcPr>
            <w:tcW w:w="5130" w:type="dxa"/>
            <w:shd w:val="clear" w:color="auto" w:fill="F2F2F2" w:themeFill="background1" w:themeFillShade="F2"/>
            <w:vAlign w:val="center"/>
          </w:tcPr>
          <w:p w14:paraId="41B6C340" w14:textId="1A169106" w:rsidR="0059148B" w:rsidRPr="00FB12FD" w:rsidRDefault="00BA56A7" w:rsidP="00BA56A7">
            <w:pPr>
              <w:jc w:val="center"/>
              <w:rPr>
                <w:b/>
                <w:bCs/>
              </w:rPr>
            </w:pPr>
            <w:r w:rsidRPr="00FB12FD">
              <w:rPr>
                <w:b/>
                <w:bCs/>
              </w:rPr>
              <w:t>Description</w:t>
            </w:r>
          </w:p>
        </w:tc>
      </w:tr>
      <w:tr w:rsidR="00392CE7" w14:paraId="5143F98C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4CE32FF7" w14:textId="52D278BC" w:rsidR="0059148B" w:rsidRDefault="0059148B" w:rsidP="00BA56A7">
            <w:pPr>
              <w:jc w:val="center"/>
            </w:pPr>
            <w:r>
              <w:t>1</w:t>
            </w:r>
          </w:p>
        </w:tc>
        <w:tc>
          <w:tcPr>
            <w:tcW w:w="3150" w:type="dxa"/>
            <w:vAlign w:val="center"/>
          </w:tcPr>
          <w:p w14:paraId="42B3E435" w14:textId="229EF6D1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Executive Overview</w:t>
            </w:r>
          </w:p>
        </w:tc>
        <w:tc>
          <w:tcPr>
            <w:tcW w:w="5130" w:type="dxa"/>
            <w:vAlign w:val="center"/>
          </w:tcPr>
          <w:p w14:paraId="0A46980E" w14:textId="52389E2D" w:rsidR="0059148B" w:rsidRPr="00F67890" w:rsidRDefault="00D1700E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Provides a consolidated, high-level view of UDC’s overall performance, highlighting key portfolio KPIs, financial health, operational risks, and strategic trends for executive decision-making.</w:t>
            </w:r>
          </w:p>
        </w:tc>
      </w:tr>
      <w:tr w:rsidR="00392CE7" w14:paraId="62564D04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37C94CFF" w14:textId="6F6E9CA2" w:rsidR="0059148B" w:rsidRDefault="0059148B" w:rsidP="00BA56A7">
            <w:pPr>
              <w:jc w:val="center"/>
            </w:pPr>
            <w:r>
              <w:t>2</w:t>
            </w:r>
          </w:p>
        </w:tc>
        <w:tc>
          <w:tcPr>
            <w:tcW w:w="3150" w:type="dxa"/>
            <w:vAlign w:val="center"/>
          </w:tcPr>
          <w:p w14:paraId="409BA402" w14:textId="30EE9F0D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Commercial Properties – Leasing Dashboard</w:t>
            </w:r>
          </w:p>
        </w:tc>
        <w:tc>
          <w:tcPr>
            <w:tcW w:w="5130" w:type="dxa"/>
            <w:vAlign w:val="center"/>
          </w:tcPr>
          <w:p w14:paraId="2DEFC49B" w14:textId="761799A2" w:rsidR="0059148B" w:rsidRPr="00F67890" w:rsidRDefault="00454382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Presents performance insights for commercial assets, including occupancy, rental performance, lease expiries, tenant concentration, and vacancy trends to support revenue optimization and risk management.</w:t>
            </w:r>
          </w:p>
        </w:tc>
      </w:tr>
      <w:tr w:rsidR="00392CE7" w14:paraId="76632EB4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23D58313" w14:textId="017BF8FA" w:rsidR="0059148B" w:rsidRDefault="0059148B" w:rsidP="00BA56A7">
            <w:pPr>
              <w:jc w:val="center"/>
            </w:pPr>
            <w:r>
              <w:t>3</w:t>
            </w:r>
          </w:p>
        </w:tc>
        <w:tc>
          <w:tcPr>
            <w:tcW w:w="3150" w:type="dxa"/>
            <w:vAlign w:val="center"/>
          </w:tcPr>
          <w:p w14:paraId="5112239A" w14:textId="427FA18E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Residential Properties – Leasing Dashboard</w:t>
            </w:r>
          </w:p>
        </w:tc>
        <w:tc>
          <w:tcPr>
            <w:tcW w:w="5130" w:type="dxa"/>
            <w:vAlign w:val="center"/>
          </w:tcPr>
          <w:p w14:paraId="3FECB186" w14:textId="44FAB9B7" w:rsidR="0059148B" w:rsidRPr="00F67890" w:rsidRDefault="005F6D4D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Monitors residential portfolio performance through occupancy rates, rental yields, tenant turnover, renewals, and demand trends to ensure income stability and portfolio resilience.</w:t>
            </w:r>
          </w:p>
        </w:tc>
      </w:tr>
      <w:tr w:rsidR="00392CE7" w14:paraId="6040F712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5603A51A" w14:textId="0C0B47B2" w:rsidR="0059148B" w:rsidRDefault="0059148B" w:rsidP="00BA56A7">
            <w:pPr>
              <w:jc w:val="center"/>
            </w:pPr>
            <w:r>
              <w:t>4</w:t>
            </w:r>
          </w:p>
        </w:tc>
        <w:tc>
          <w:tcPr>
            <w:tcW w:w="3150" w:type="dxa"/>
            <w:vAlign w:val="center"/>
          </w:tcPr>
          <w:p w14:paraId="64E1BE12" w14:textId="2054458C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Maintenance &amp; Tenant Satisfaction Dashboard</w:t>
            </w:r>
          </w:p>
        </w:tc>
        <w:tc>
          <w:tcPr>
            <w:tcW w:w="5130" w:type="dxa"/>
            <w:vAlign w:val="center"/>
          </w:tcPr>
          <w:p w14:paraId="43459A65" w14:textId="4289FC67" w:rsidR="0059148B" w:rsidRPr="00F67890" w:rsidRDefault="00B23AF0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Tracks maintenance efficiency and service quality, linking response times, costs, and asset reliability to tenant satisfaction, retention, and overall asset performance.</w:t>
            </w:r>
          </w:p>
        </w:tc>
      </w:tr>
      <w:tr w:rsidR="00392CE7" w14:paraId="1DEFABCC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37535A56" w14:textId="27CA25F9" w:rsidR="0059148B" w:rsidRDefault="0059148B" w:rsidP="00BA56A7">
            <w:pPr>
              <w:jc w:val="center"/>
            </w:pPr>
            <w:r>
              <w:t>5</w:t>
            </w:r>
          </w:p>
        </w:tc>
        <w:tc>
          <w:tcPr>
            <w:tcW w:w="3150" w:type="dxa"/>
            <w:vAlign w:val="center"/>
          </w:tcPr>
          <w:p w14:paraId="13BD6532" w14:textId="54A9A55D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Properties for Sale – Sales Performance Dashboard</w:t>
            </w:r>
          </w:p>
        </w:tc>
        <w:tc>
          <w:tcPr>
            <w:tcW w:w="5130" w:type="dxa"/>
            <w:vAlign w:val="center"/>
          </w:tcPr>
          <w:p w14:paraId="63DFDB5F" w14:textId="500189FF" w:rsidR="0059148B" w:rsidRPr="00F67890" w:rsidRDefault="00295A40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Provides visibility into sales activity and inventory performance, including pipeline status, pricing effectiveness, time-to-sell, and revenue realization against targets.</w:t>
            </w:r>
          </w:p>
        </w:tc>
      </w:tr>
      <w:tr w:rsidR="00392CE7" w14:paraId="1935FA8F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3B250DC1" w14:textId="407F8E81" w:rsidR="0059148B" w:rsidRDefault="0059148B" w:rsidP="00BA56A7">
            <w:pPr>
              <w:jc w:val="center"/>
            </w:pPr>
            <w:r>
              <w:t>6</w:t>
            </w:r>
          </w:p>
        </w:tc>
        <w:tc>
          <w:tcPr>
            <w:tcW w:w="3150" w:type="dxa"/>
            <w:vAlign w:val="center"/>
          </w:tcPr>
          <w:p w14:paraId="178D86ED" w14:textId="1B05F76C" w:rsidR="0059148B" w:rsidRPr="00F67890" w:rsidRDefault="00BA56A7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Finance Dashboard (Cash &amp; Profitability)</w:t>
            </w:r>
          </w:p>
        </w:tc>
        <w:tc>
          <w:tcPr>
            <w:tcW w:w="5130" w:type="dxa"/>
            <w:vAlign w:val="center"/>
          </w:tcPr>
          <w:p w14:paraId="2B7DEE91" w14:textId="4FB0E28B" w:rsidR="0059148B" w:rsidRPr="00F67890" w:rsidRDefault="00941243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Offers executive visibility into cash flows, operating costs, profitability, and budget performance, with a focus on cost control, liquidity, and financial sustainability.</w:t>
            </w:r>
          </w:p>
        </w:tc>
      </w:tr>
      <w:tr w:rsidR="00392CE7" w14:paraId="0A92E59E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625ACEDE" w14:textId="788AB5DD" w:rsidR="0059148B" w:rsidRDefault="0059148B" w:rsidP="00BA56A7">
            <w:pPr>
              <w:jc w:val="center"/>
            </w:pPr>
            <w:r>
              <w:t>7</w:t>
            </w:r>
          </w:p>
        </w:tc>
        <w:tc>
          <w:tcPr>
            <w:tcW w:w="3150" w:type="dxa"/>
            <w:vAlign w:val="center"/>
          </w:tcPr>
          <w:p w14:paraId="50BEF623" w14:textId="29909A6E" w:rsidR="0059148B" w:rsidRPr="00F67890" w:rsidRDefault="00BA56A7" w:rsidP="00194868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Human Resources Dashboard</w:t>
            </w:r>
          </w:p>
        </w:tc>
        <w:tc>
          <w:tcPr>
            <w:tcW w:w="5130" w:type="dxa"/>
            <w:vAlign w:val="center"/>
          </w:tcPr>
          <w:p w14:paraId="48F56E3D" w14:textId="76E0C8D4" w:rsidR="0059148B" w:rsidRPr="00F67890" w:rsidRDefault="00E21D24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Summarizes workforce metrics such as headcount, costs, productivity, and attrition to support strategic workforce planning and organizational efficiency.</w:t>
            </w:r>
          </w:p>
        </w:tc>
      </w:tr>
      <w:tr w:rsidR="00B967C8" w14:paraId="29E5EF60" w14:textId="77777777" w:rsidTr="00F67890">
        <w:trPr>
          <w:trHeight w:val="720"/>
        </w:trPr>
        <w:tc>
          <w:tcPr>
            <w:tcW w:w="445" w:type="dxa"/>
            <w:shd w:val="clear" w:color="auto" w:fill="F2F2F2" w:themeFill="background1" w:themeFillShade="F2"/>
            <w:vAlign w:val="center"/>
          </w:tcPr>
          <w:p w14:paraId="6E4AD684" w14:textId="412EF983" w:rsidR="00194868" w:rsidRDefault="00194868" w:rsidP="00BA56A7">
            <w:pPr>
              <w:jc w:val="center"/>
            </w:pPr>
            <w:r>
              <w:t>8</w:t>
            </w:r>
          </w:p>
        </w:tc>
        <w:tc>
          <w:tcPr>
            <w:tcW w:w="3150" w:type="dxa"/>
            <w:vAlign w:val="center"/>
          </w:tcPr>
          <w:p w14:paraId="48148ACD" w14:textId="39D52666" w:rsidR="00194868" w:rsidRPr="00F67890" w:rsidRDefault="00194868" w:rsidP="00194868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Procurement &amp; Contracts Dashboard</w:t>
            </w:r>
          </w:p>
        </w:tc>
        <w:tc>
          <w:tcPr>
            <w:tcW w:w="5130" w:type="dxa"/>
            <w:vAlign w:val="center"/>
          </w:tcPr>
          <w:p w14:paraId="571DB642" w14:textId="4DC338C2" w:rsidR="00194868" w:rsidRPr="00F67890" w:rsidRDefault="00EB4FBF" w:rsidP="00BA56A7">
            <w:pPr>
              <w:rPr>
                <w:sz w:val="20"/>
                <w:szCs w:val="20"/>
              </w:rPr>
            </w:pPr>
            <w:r w:rsidRPr="00F67890">
              <w:rPr>
                <w:sz w:val="20"/>
                <w:szCs w:val="20"/>
              </w:rPr>
              <w:t>Analyzes procurement spend, vendor concentration, contract lifecycle, and savings to enhance cost efficiency, supplier management, and contractual risk oversight.</w:t>
            </w:r>
          </w:p>
        </w:tc>
      </w:tr>
      <w:tr>
        <w:tc>
          <w:tcPr>
            <w:tcW w:type="dxa" w:w="445"/>
          </w:tcPr>
          <w:p>
            <w:r>
              <w:t>9</w:t>
            </w:r>
          </w:p>
        </w:tc>
        <w:tc>
          <w:tcPr>
            <w:tcW w:type="dxa" w:w="3150"/>
          </w:tcPr>
          <w:p>
            <w:r>
              <w:t>Subsidiary Performance Dashboard</w:t>
            </w:r>
          </w:p>
        </w:tc>
        <w:tc>
          <w:tcPr>
            <w:tcW w:type="dxa" w:w="5130"/>
          </w:tcPr>
          <w:p>
            <w:r>
              <w:t>Evaluates financial and operational performance across UDC subsidiaries, including revenue, EBITDA, cash flow, headcount, and inter-company transactions to support capital allocation and organizational efficiency.</w:t>
            </w:r>
          </w:p>
        </w:tc>
      </w:tr>
      <w:tr>
        <w:tc>
          <w:tcPr>
            <w:tcW w:type="dxa" w:w="445"/>
          </w:tcPr>
          <w:p>
            <w:r>
              <w:t>10</w:t>
            </w:r>
          </w:p>
        </w:tc>
        <w:tc>
          <w:tcPr>
            <w:tcW w:type="dxa" w:w="3150"/>
          </w:tcPr>
          <w:p>
            <w:r>
              <w:t>Community Management (TPOC) Dashboard</w:t>
            </w:r>
          </w:p>
        </w:tc>
        <w:tc>
          <w:tcPr>
            <w:tcW w:type="dxa" w:w="5130"/>
          </w:tcPr>
          <w:p>
            <w:r>
              <w:t>Monitors community management effectiveness through fee collection rates, owner satisfaction, maintenance costs, complaint resolution, and service compliance to ensure community value and operational excellence.</w:t>
            </w:r>
          </w:p>
        </w:tc>
      </w:tr>
      <w:tr>
        <w:tc>
          <w:tcPr>
            <w:tcW w:type="dxa" w:w="445"/>
          </w:tcPr>
          <w:p>
            <w:r>
              <w:t>11</w:t>
            </w:r>
          </w:p>
        </w:tc>
        <w:tc>
          <w:tcPr>
            <w:tcW w:type="dxa" w:w="3150"/>
          </w:tcPr>
          <w:p>
            <w:r>
              <w:t>Lead-to-Lease Conversion Dashboard</w:t>
            </w:r>
          </w:p>
        </w:tc>
        <w:tc>
          <w:tcPr>
            <w:tcW w:type="dxa" w:w="5130"/>
          </w:tcPr>
          <w:p>
            <w:r>
              <w:t>Tracks sales funnel performance from lead generation through lease execution, analyzing conversion rates, cycle times, lead sources, and sales team effectiveness to optimize revenue generation and marketing ROI.</w:t>
            </w:r>
          </w:p>
        </w:tc>
      </w:tr>
    </w:tbl>
    <w:p w14:paraId="0B6D630F" w14:textId="77777777" w:rsidR="003361ED" w:rsidRDefault="003361ED" w:rsidP="009B55A0"/>
    <w:p w14:paraId="78D965B5" w14:textId="77777777" w:rsidR="00F67890" w:rsidRDefault="00F67890" w:rsidP="009B55A0"/>
    <w:p w14:paraId="2AEDB556" w14:textId="77777777" w:rsidR="00F67890" w:rsidRDefault="00F67890" w:rsidP="009B55A0"/>
    <w:p w14:paraId="69FD7218" w14:textId="4FE37FA9" w:rsidR="009B55A0" w:rsidRPr="009B55A0" w:rsidRDefault="009B55A0" w:rsidP="009B55A0">
      <w:pPr>
        <w:rPr>
          <w:b/>
          <w:bCs/>
        </w:rPr>
      </w:pPr>
      <w:r>
        <w:rPr>
          <w:b/>
          <w:bCs/>
        </w:rPr>
        <w:t xml:space="preserve">1- </w:t>
      </w:r>
      <w:r w:rsidRPr="009B55A0">
        <w:rPr>
          <w:b/>
          <w:bCs/>
        </w:rPr>
        <w:t>Executive Overview (Home Pag</w:t>
      </w:r>
      <w:r w:rsidR="0002243F">
        <w:rPr>
          <w:b/>
          <w:bCs/>
        </w:rPr>
        <w:t>e</w:t>
      </w:r>
      <w:r w:rsidRPr="009B55A0">
        <w:rPr>
          <w:b/>
          <w:bCs/>
        </w:rPr>
        <w:t>)</w:t>
      </w:r>
    </w:p>
    <w:p w14:paraId="3B0EEFAA" w14:textId="77777777" w:rsidR="009B55A0" w:rsidRPr="009B55A0" w:rsidRDefault="009B55A0" w:rsidP="009B55A0">
      <w:r w:rsidRPr="009B55A0">
        <w:rPr>
          <w:b/>
          <w:bCs/>
        </w:rPr>
        <w:t>Purpose:</w:t>
      </w:r>
      <w:r w:rsidRPr="009B55A0">
        <w:t xml:space="preserve"> </w:t>
      </w:r>
      <w:r w:rsidRPr="009B55A0">
        <w:rPr>
          <w:i/>
          <w:iCs/>
        </w:rPr>
        <w:t>“Are we on track overall?”</w:t>
      </w:r>
    </w:p>
    <w:p w14:paraId="470D2AA5" w14:textId="6C858D41" w:rsidR="009B55A0" w:rsidRPr="009B55A0" w:rsidRDefault="009B55A0" w:rsidP="009B55A0">
      <w:r w:rsidRPr="009B55A0">
        <w:rPr>
          <w:b/>
          <w:bCs/>
        </w:rPr>
        <w:t>Key Coverage</w:t>
      </w:r>
      <w:r w:rsidR="54FB22B6" w:rsidRPr="74F3DF2E">
        <w:rPr>
          <w:b/>
          <w:bCs/>
        </w:rPr>
        <w:t xml:space="preserve"> </w:t>
      </w:r>
    </w:p>
    <w:p w14:paraId="5F29C645" w14:textId="4A210ACC" w:rsidR="009B55A0" w:rsidRPr="009B55A0" w:rsidRDefault="009B55A0" w:rsidP="009B55A0">
      <w:pPr>
        <w:numPr>
          <w:ilvl w:val="0"/>
          <w:numId w:val="1"/>
        </w:numPr>
        <w:spacing w:after="0"/>
      </w:pPr>
      <w:r w:rsidRPr="009B55A0">
        <w:t>Portfolio snapshot (Commercial | Residential | For Sale</w:t>
      </w:r>
      <w:r w:rsidR="00BE3BEB">
        <w:t xml:space="preserve"> / Rent</w:t>
      </w:r>
      <w:r w:rsidRPr="009B55A0">
        <w:t>)</w:t>
      </w:r>
    </w:p>
    <w:p w14:paraId="60A82619" w14:textId="77777777" w:rsidR="009B55A0" w:rsidRPr="009B55A0" w:rsidRDefault="009B55A0" w:rsidP="009B55A0">
      <w:pPr>
        <w:numPr>
          <w:ilvl w:val="0"/>
          <w:numId w:val="1"/>
        </w:numPr>
        <w:spacing w:after="0"/>
      </w:pPr>
      <w:r w:rsidRPr="009B55A0">
        <w:t>Total revenue vs target (MTD / YTD)</w:t>
      </w:r>
    </w:p>
    <w:p w14:paraId="2DCA6F8A" w14:textId="77777777" w:rsidR="009B55A0" w:rsidRPr="009B55A0" w:rsidRDefault="009B55A0" w:rsidP="009B55A0">
      <w:pPr>
        <w:numPr>
          <w:ilvl w:val="0"/>
          <w:numId w:val="1"/>
        </w:numPr>
        <w:spacing w:after="0"/>
      </w:pPr>
      <w:r w:rsidRPr="009B55A0">
        <w:t>Occupancy rate (overall + trend)</w:t>
      </w:r>
    </w:p>
    <w:p w14:paraId="4A25CE89" w14:textId="77777777" w:rsidR="009B55A0" w:rsidRPr="009B55A0" w:rsidRDefault="009B55A0" w:rsidP="009B55A0">
      <w:pPr>
        <w:numPr>
          <w:ilvl w:val="0"/>
          <w:numId w:val="1"/>
        </w:numPr>
        <w:spacing w:after="0"/>
      </w:pPr>
      <w:r w:rsidRPr="009B55A0">
        <w:t>Cash position &amp; liquidity snapshot</w:t>
      </w:r>
    </w:p>
    <w:p w14:paraId="12B62F0F" w14:textId="063EDFBC" w:rsidR="006E7BED" w:rsidRDefault="006E7BED" w:rsidP="00C606B1">
      <w:pPr>
        <w:numPr>
          <w:ilvl w:val="0"/>
          <w:numId w:val="1"/>
        </w:numPr>
        <w:spacing w:after="0"/>
      </w:pPr>
      <w:r>
        <w:t xml:space="preserve">Net Profit &amp; EBITDA </w:t>
      </w:r>
    </w:p>
    <w:p w14:paraId="7B108B09" w14:textId="1654033D" w:rsidR="006E7BED" w:rsidRDefault="006E7BED" w:rsidP="006E7BED">
      <w:pPr>
        <w:numPr>
          <w:ilvl w:val="0"/>
          <w:numId w:val="1"/>
        </w:numPr>
        <w:spacing w:after="0"/>
      </w:pPr>
      <w:r>
        <w:t>Contracted vs Pipeline vs Speculative revenue</w:t>
      </w:r>
    </w:p>
    <w:p w14:paraId="19308DD9" w14:textId="1351573F" w:rsidR="006E7BED" w:rsidRDefault="006E7BED" w:rsidP="006E7BED">
      <w:pPr>
        <w:numPr>
          <w:ilvl w:val="0"/>
          <w:numId w:val="1"/>
        </w:numPr>
        <w:spacing w:after="0"/>
      </w:pPr>
      <w:r>
        <w:t>Portfolio occupancy vs target</w:t>
      </w:r>
    </w:p>
    <w:p w14:paraId="5952A01F" w14:textId="63A7D6D3" w:rsidR="346C2413" w:rsidRDefault="007E7B5C" w:rsidP="00D36562">
      <w:pPr>
        <w:numPr>
          <w:ilvl w:val="0"/>
          <w:numId w:val="1"/>
        </w:numPr>
        <w:spacing w:after="0"/>
      </w:pPr>
      <w:r>
        <w:t>Lease Risks</w:t>
      </w:r>
      <w:r w:rsidR="002825F3">
        <w:t xml:space="preserve"> </w:t>
      </w:r>
      <w:r w:rsidR="009069C4">
        <w:t>(</w:t>
      </w:r>
      <w:r w:rsidR="00D36562">
        <w:t xml:space="preserve">Residential / Commercial </w:t>
      </w:r>
      <w:r w:rsidR="0068223A">
        <w:t>Rental</w:t>
      </w:r>
      <w:r w:rsidR="00D36562">
        <w:t>s</w:t>
      </w:r>
      <w:r w:rsidR="0068223A">
        <w:t xml:space="preserve"> due to expire within 3 / </w:t>
      </w:r>
      <w:r w:rsidR="00D36562">
        <w:t>6 months)</w:t>
      </w:r>
    </w:p>
    <w:p w14:paraId="54BDF1FA" w14:textId="77777777" w:rsidR="00D36562" w:rsidRDefault="00D36562" w:rsidP="00D36562">
      <w:pPr>
        <w:spacing w:after="0"/>
        <w:ind w:left="720"/>
      </w:pPr>
    </w:p>
    <w:p w14:paraId="41E8D455" w14:textId="77777777" w:rsidR="0002243F" w:rsidRPr="0002243F" w:rsidRDefault="0002243F" w:rsidP="0002243F">
      <w:pPr>
        <w:spacing w:after="0"/>
      </w:pPr>
      <w:r w:rsidRPr="0002243F">
        <w:rPr>
          <w:b/>
          <w:bCs/>
        </w:rPr>
        <w:t>Strategic Insight</w:t>
      </w:r>
    </w:p>
    <w:p w14:paraId="4BAA9BBB" w14:textId="77137E7F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Total portfolio value</w:t>
      </w:r>
    </w:p>
    <w:p w14:paraId="6B25270D" w14:textId="77777777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Net operating income (NOI)</w:t>
      </w:r>
    </w:p>
    <w:p w14:paraId="0B5820ED" w14:textId="77777777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Occupancy %</w:t>
      </w:r>
    </w:p>
    <w:p w14:paraId="4EF3D9AC" w14:textId="77777777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YoY growth</w:t>
      </w:r>
    </w:p>
    <w:p w14:paraId="7BF27073" w14:textId="77777777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EBITDA margin</w:t>
      </w:r>
    </w:p>
    <w:p w14:paraId="1ED0EB3C" w14:textId="77777777" w:rsidR="009B55A0" w:rsidRPr="009B55A0" w:rsidRDefault="009B55A0" w:rsidP="009B55A0">
      <w:pPr>
        <w:numPr>
          <w:ilvl w:val="0"/>
          <w:numId w:val="2"/>
        </w:numPr>
        <w:spacing w:after="0"/>
      </w:pPr>
      <w:r w:rsidRPr="009B55A0">
        <w:t>Top-performing asset / weakest asset</w:t>
      </w:r>
    </w:p>
    <w:p w14:paraId="0B3A60E6" w14:textId="77777777" w:rsidR="00427118" w:rsidRDefault="00427118" w:rsidP="009B55A0">
      <w:pPr>
        <w:rPr>
          <w:b/>
          <w:bCs/>
        </w:rPr>
      </w:pPr>
    </w:p>
    <w:p w14:paraId="6EE1CA27" w14:textId="4194F9A7" w:rsidR="009B55A0" w:rsidRPr="009B55A0" w:rsidRDefault="009B55A0" w:rsidP="009B55A0">
      <w:pPr>
        <w:rPr>
          <w:b/>
          <w:bCs/>
        </w:rPr>
      </w:pPr>
      <w:r>
        <w:rPr>
          <w:b/>
          <w:bCs/>
        </w:rPr>
        <w:t xml:space="preserve">2- </w:t>
      </w:r>
      <w:r w:rsidRPr="009B55A0">
        <w:rPr>
          <w:b/>
          <w:bCs/>
        </w:rPr>
        <w:t>Commercial Properties – Leasing Dashboard</w:t>
      </w:r>
    </w:p>
    <w:p w14:paraId="33C7DD75" w14:textId="35A4447E" w:rsidR="009B55A0" w:rsidRDefault="009B55A0" w:rsidP="009B55A0">
      <w:r w:rsidRPr="009B55A0">
        <w:rPr>
          <w:b/>
          <w:bCs/>
        </w:rPr>
        <w:t>Purpose:</w:t>
      </w:r>
      <w:r>
        <w:t xml:space="preserve"> “How is our commercial portfolio performing?”</w:t>
      </w:r>
    </w:p>
    <w:p w14:paraId="3795F232" w14:textId="511528B7" w:rsidR="009B55A0" w:rsidRPr="009B55A0" w:rsidRDefault="009B55A0" w:rsidP="009B55A0">
      <w:r w:rsidRPr="009B55A0">
        <w:rPr>
          <w:b/>
          <w:bCs/>
        </w:rPr>
        <w:t>Key Coverage</w:t>
      </w:r>
    </w:p>
    <w:p w14:paraId="0E7928AE" w14:textId="7F3B2CC8" w:rsidR="009B55A0" w:rsidRPr="009B55A0" w:rsidRDefault="009B55A0" w:rsidP="009B55A0">
      <w:pPr>
        <w:numPr>
          <w:ilvl w:val="0"/>
          <w:numId w:val="3"/>
        </w:numPr>
        <w:spacing w:after="0"/>
      </w:pPr>
      <w:r w:rsidRPr="009B55A0">
        <w:t>Total leasable area vs leased area</w:t>
      </w:r>
      <w:r w:rsidR="00E36B30">
        <w:t xml:space="preserve"> / number of units</w:t>
      </w:r>
    </w:p>
    <w:p w14:paraId="591A5DBF" w14:textId="0AF9CF63" w:rsidR="009B55A0" w:rsidRPr="009B55A0" w:rsidRDefault="009B55A0" w:rsidP="009B55A0">
      <w:pPr>
        <w:numPr>
          <w:ilvl w:val="0"/>
          <w:numId w:val="3"/>
        </w:numPr>
        <w:spacing w:after="0"/>
      </w:pPr>
      <w:r w:rsidRPr="009B55A0">
        <w:t xml:space="preserve">Occupancy rate by asset / </w:t>
      </w:r>
      <w:r w:rsidR="00E36B30">
        <w:t>area / unit type</w:t>
      </w:r>
      <w:r w:rsidR="00FF3A30">
        <w:t xml:space="preserve"> / unit age</w:t>
      </w:r>
    </w:p>
    <w:p w14:paraId="638B4D9D" w14:textId="7D764F32" w:rsidR="009B55A0" w:rsidRPr="009B55A0" w:rsidRDefault="009B55A0" w:rsidP="009B55A0">
      <w:pPr>
        <w:numPr>
          <w:ilvl w:val="0"/>
          <w:numId w:val="3"/>
        </w:numPr>
        <w:spacing w:after="0"/>
      </w:pPr>
      <w:r w:rsidRPr="009B55A0">
        <w:t>Average rent per sqm</w:t>
      </w:r>
      <w:r w:rsidR="009A7D60">
        <w:t xml:space="preserve"> / per area </w:t>
      </w:r>
      <w:r w:rsidR="005B1609">
        <w:t>/ per unit type</w:t>
      </w:r>
    </w:p>
    <w:p w14:paraId="722D6915" w14:textId="77777777" w:rsidR="009B55A0" w:rsidRPr="009B55A0" w:rsidRDefault="009B55A0" w:rsidP="009B55A0">
      <w:pPr>
        <w:numPr>
          <w:ilvl w:val="0"/>
          <w:numId w:val="3"/>
        </w:numPr>
        <w:spacing w:after="0"/>
      </w:pPr>
      <w:r w:rsidRPr="009B55A0">
        <w:t>Lease expiry profile (next 3 / 6 / 12 months)</w:t>
      </w:r>
    </w:p>
    <w:p w14:paraId="53253DCB" w14:textId="7011D9FE" w:rsidR="009B55A0" w:rsidRPr="009B55A0" w:rsidRDefault="009B55A0" w:rsidP="009B55A0">
      <w:pPr>
        <w:numPr>
          <w:ilvl w:val="0"/>
          <w:numId w:val="3"/>
        </w:numPr>
        <w:spacing w:after="0"/>
      </w:pPr>
      <w:r w:rsidRPr="009B55A0">
        <w:t>Vacancy duration &amp; churn rate</w:t>
      </w:r>
    </w:p>
    <w:p w14:paraId="4C7B32ED" w14:textId="155358AB" w:rsidR="005B1609" w:rsidRPr="009B55A0" w:rsidRDefault="009B55A0" w:rsidP="00FF3A30">
      <w:pPr>
        <w:numPr>
          <w:ilvl w:val="0"/>
          <w:numId w:val="3"/>
        </w:numPr>
        <w:spacing w:after="0"/>
      </w:pPr>
      <w:r w:rsidRPr="009B55A0">
        <w:t>Top tenants concentration risk</w:t>
      </w:r>
      <w:r w:rsidR="00392CE7">
        <w:t xml:space="preserve"> (number of units / </w:t>
      </w:r>
      <w:r w:rsidR="00AB5F9F">
        <w:t>revenue)</w:t>
      </w:r>
    </w:p>
    <w:p w14:paraId="306D7602" w14:textId="77777777" w:rsidR="005B1609" w:rsidRDefault="009B55A0" w:rsidP="005B1609">
      <w:pPr>
        <w:numPr>
          <w:ilvl w:val="0"/>
          <w:numId w:val="3"/>
        </w:numPr>
        <w:spacing w:after="0"/>
      </w:pPr>
      <w:r w:rsidRPr="009B55A0">
        <w:t>Incentives &amp; discounts impact</w:t>
      </w:r>
    </w:p>
    <w:p w14:paraId="1F021376" w14:textId="6C87DFF9" w:rsidR="00A80897" w:rsidRDefault="00A80897" w:rsidP="00A80897">
      <w:pPr>
        <w:numPr>
          <w:ilvl w:val="0"/>
          <w:numId w:val="3"/>
        </w:numPr>
        <w:spacing w:after="0"/>
      </w:pPr>
      <w:r w:rsidRPr="009B55A0">
        <w:t>Rent delinquency &amp; late payments</w:t>
      </w:r>
    </w:p>
    <w:p w14:paraId="3E89A9C4" w14:textId="7154698C" w:rsidR="00380D6D" w:rsidRDefault="00380D6D" w:rsidP="00380D6D">
      <w:pPr>
        <w:numPr>
          <w:ilvl w:val="0"/>
          <w:numId w:val="3"/>
        </w:numPr>
        <w:spacing w:after="0"/>
      </w:pPr>
      <w:r>
        <w:t>Occupancy rate vs target</w:t>
      </w:r>
    </w:p>
    <w:p w14:paraId="0DD8DEA6" w14:textId="77BE4EE1" w:rsidR="00380D6D" w:rsidRDefault="00380D6D" w:rsidP="00380D6D">
      <w:pPr>
        <w:numPr>
          <w:ilvl w:val="0"/>
          <w:numId w:val="3"/>
        </w:numPr>
        <w:spacing w:after="0"/>
      </w:pPr>
      <w:r>
        <w:t>Vacancy duration (days)</w:t>
      </w:r>
    </w:p>
    <w:p w14:paraId="2B00061C" w14:textId="279998F6" w:rsidR="00380D6D" w:rsidRDefault="00380D6D" w:rsidP="00380D6D">
      <w:pPr>
        <w:numPr>
          <w:ilvl w:val="0"/>
          <w:numId w:val="3"/>
        </w:numPr>
        <w:spacing w:after="0"/>
      </w:pPr>
      <w:r>
        <w:t>Revenue-weighted renewal rate</w:t>
      </w:r>
    </w:p>
    <w:p w14:paraId="39B5B40C" w14:textId="29C534A6" w:rsidR="00380D6D" w:rsidRDefault="00380D6D" w:rsidP="00380D6D">
      <w:pPr>
        <w:numPr>
          <w:ilvl w:val="0"/>
          <w:numId w:val="3"/>
        </w:numPr>
        <w:spacing w:after="0"/>
      </w:pPr>
      <w:r>
        <w:t>Rent achieved vs market benchmark (normalized)</w:t>
      </w:r>
    </w:p>
    <w:p w14:paraId="5C0F49EA" w14:textId="4AA0797D" w:rsidR="00380D6D" w:rsidRDefault="00380D6D" w:rsidP="00380D6D">
      <w:pPr>
        <w:numPr>
          <w:ilvl w:val="0"/>
          <w:numId w:val="3"/>
        </w:numPr>
        <w:spacing w:after="0"/>
      </w:pPr>
      <w:r>
        <w:t>Lease expiries next 3 / 6 / 12 months</w:t>
      </w:r>
    </w:p>
    <w:p w14:paraId="24445AD2" w14:textId="6D4088E7" w:rsidR="00380D6D" w:rsidRDefault="00380D6D" w:rsidP="00380D6D">
      <w:pPr>
        <w:numPr>
          <w:ilvl w:val="0"/>
          <w:numId w:val="3"/>
        </w:numPr>
        <w:spacing w:after="0"/>
      </w:pPr>
      <w:r>
        <w:t>Incentive cost vs retention uplift</w:t>
      </w:r>
    </w:p>
    <w:p w14:paraId="1FE80C0A" w14:textId="3BBDC9EB" w:rsidR="00380D6D" w:rsidRDefault="00380D6D" w:rsidP="00380D6D">
      <w:pPr>
        <w:numPr>
          <w:ilvl w:val="0"/>
          <w:numId w:val="3"/>
        </w:numPr>
        <w:spacing w:after="0"/>
      </w:pPr>
      <w:r>
        <w:t>Tenant concentration (% of rent from top 5 / top 10)</w:t>
      </w:r>
    </w:p>
    <w:p w14:paraId="11D3AD52" w14:textId="2422A224" w:rsidR="00380D6D" w:rsidRPr="009B55A0" w:rsidRDefault="00380D6D" w:rsidP="00380D6D">
      <w:pPr>
        <w:numPr>
          <w:ilvl w:val="0"/>
          <w:numId w:val="3"/>
        </w:numPr>
        <w:spacing w:after="0"/>
      </w:pPr>
      <w:r>
        <w:t>Corporate account churn risk score</w:t>
      </w:r>
    </w:p>
    <w:p w14:paraId="168E69D3" w14:textId="77777777" w:rsidR="0002243F" w:rsidRPr="0002243F" w:rsidRDefault="0002243F" w:rsidP="0002243F">
      <w:pPr>
        <w:spacing w:after="0"/>
      </w:pPr>
      <w:r w:rsidRPr="0002243F">
        <w:rPr>
          <w:b/>
          <w:bCs/>
        </w:rPr>
        <w:t>Strategic Insight</w:t>
      </w:r>
    </w:p>
    <w:p w14:paraId="41FC0797" w14:textId="5431D392" w:rsidR="009B55A0" w:rsidRPr="009B55A0" w:rsidRDefault="009B55A0" w:rsidP="009B55A0">
      <w:pPr>
        <w:numPr>
          <w:ilvl w:val="0"/>
          <w:numId w:val="4"/>
        </w:numPr>
        <w:spacing w:after="0"/>
      </w:pPr>
      <w:r w:rsidRPr="009B55A0">
        <w:t>Where are we bleeding vacancy?</w:t>
      </w:r>
    </w:p>
    <w:p w14:paraId="7CBC05FE" w14:textId="77777777" w:rsidR="009B55A0" w:rsidRPr="009B55A0" w:rsidRDefault="009B55A0" w:rsidP="009B55A0">
      <w:pPr>
        <w:numPr>
          <w:ilvl w:val="0"/>
          <w:numId w:val="4"/>
        </w:numPr>
        <w:spacing w:after="0"/>
      </w:pPr>
      <w:r w:rsidRPr="009B55A0">
        <w:t>Are we over-dependent on a few tenants?</w:t>
      </w:r>
    </w:p>
    <w:p w14:paraId="543ECED1" w14:textId="77777777" w:rsidR="009B55A0" w:rsidRDefault="009B55A0" w:rsidP="009B55A0">
      <w:pPr>
        <w:numPr>
          <w:ilvl w:val="0"/>
          <w:numId w:val="4"/>
        </w:numPr>
        <w:spacing w:after="0"/>
      </w:pPr>
      <w:r w:rsidRPr="009B55A0">
        <w:t>Are rents aligned with market benchmarks?</w:t>
      </w:r>
    </w:p>
    <w:p w14:paraId="4DA00D08" w14:textId="77777777" w:rsidR="00BA56A7" w:rsidRDefault="00BA56A7" w:rsidP="009B55A0">
      <w:pPr>
        <w:rPr>
          <w:b/>
          <w:bCs/>
        </w:rPr>
      </w:pPr>
    </w:p>
    <w:p w14:paraId="35B6E551" w14:textId="1DD51EB2" w:rsidR="009B55A0" w:rsidRDefault="009B55A0" w:rsidP="009B55A0">
      <w:pPr>
        <w:rPr>
          <w:b/>
          <w:bCs/>
        </w:rPr>
      </w:pPr>
      <w:r>
        <w:rPr>
          <w:b/>
          <w:bCs/>
        </w:rPr>
        <w:t xml:space="preserve">3- </w:t>
      </w:r>
      <w:r w:rsidRPr="009B55A0">
        <w:rPr>
          <w:b/>
          <w:bCs/>
        </w:rPr>
        <w:t>Residential Properties – Leasing Dashboard</w:t>
      </w:r>
    </w:p>
    <w:p w14:paraId="2E38DEA2" w14:textId="531A69EE" w:rsidR="009B55A0" w:rsidRDefault="009B55A0" w:rsidP="009B55A0">
      <w:r w:rsidRPr="009B55A0">
        <w:rPr>
          <w:b/>
          <w:bCs/>
        </w:rPr>
        <w:t xml:space="preserve">Purpose: </w:t>
      </w:r>
      <w:r w:rsidRPr="009B55A0">
        <w:t>“Is residential demand and yield healthy?”</w:t>
      </w:r>
    </w:p>
    <w:p w14:paraId="631FD9E8" w14:textId="77777777" w:rsidR="009B55A0" w:rsidRPr="009B55A0" w:rsidRDefault="009B55A0" w:rsidP="009B55A0">
      <w:pPr>
        <w:rPr>
          <w:b/>
          <w:bCs/>
        </w:rPr>
      </w:pPr>
      <w:r w:rsidRPr="009B55A0">
        <w:rPr>
          <w:b/>
          <w:bCs/>
        </w:rPr>
        <w:t>Key Coverage</w:t>
      </w:r>
    </w:p>
    <w:p w14:paraId="57F78E9E" w14:textId="77777777" w:rsidR="009B55A0" w:rsidRPr="009B55A0" w:rsidRDefault="009B55A0" w:rsidP="009B55A0">
      <w:pPr>
        <w:numPr>
          <w:ilvl w:val="0"/>
          <w:numId w:val="5"/>
        </w:numPr>
        <w:spacing w:after="0"/>
      </w:pPr>
      <w:r w:rsidRPr="009B55A0">
        <w:t>Units available vs leased</w:t>
      </w:r>
    </w:p>
    <w:p w14:paraId="345C7666" w14:textId="77777777" w:rsidR="00F44F37" w:rsidRPr="009B55A0" w:rsidRDefault="00F44F37" w:rsidP="00F44F37">
      <w:pPr>
        <w:numPr>
          <w:ilvl w:val="0"/>
          <w:numId w:val="5"/>
        </w:numPr>
        <w:spacing w:after="0"/>
      </w:pPr>
      <w:r w:rsidRPr="009B55A0">
        <w:t xml:space="preserve">Occupancy rate by asset / </w:t>
      </w:r>
      <w:r>
        <w:t>area / unit type / unit age</w:t>
      </w:r>
    </w:p>
    <w:p w14:paraId="2D2EA117" w14:textId="42BFBAB9" w:rsidR="009B55A0" w:rsidRPr="009B55A0" w:rsidRDefault="009B55A0" w:rsidP="009B55A0">
      <w:pPr>
        <w:numPr>
          <w:ilvl w:val="0"/>
          <w:numId w:val="5"/>
        </w:numPr>
        <w:spacing w:after="0"/>
      </w:pPr>
      <w:r w:rsidRPr="009B55A0">
        <w:t>Average rental yield</w:t>
      </w:r>
      <w:r w:rsidR="003C6AF6">
        <w:t xml:space="preserve"> / per area / per unit type</w:t>
      </w:r>
    </w:p>
    <w:p w14:paraId="70E6AD9E" w14:textId="77777777" w:rsidR="009B55A0" w:rsidRPr="009B55A0" w:rsidRDefault="009B55A0" w:rsidP="009B55A0">
      <w:pPr>
        <w:numPr>
          <w:ilvl w:val="0"/>
          <w:numId w:val="5"/>
        </w:numPr>
        <w:spacing w:after="0"/>
      </w:pPr>
      <w:r w:rsidRPr="009B55A0">
        <w:t>Renewal vs new lease ratio</w:t>
      </w:r>
    </w:p>
    <w:p w14:paraId="5C9F846D" w14:textId="77777777" w:rsidR="009B55A0" w:rsidRPr="009B55A0" w:rsidRDefault="009B55A0" w:rsidP="009B55A0">
      <w:pPr>
        <w:numPr>
          <w:ilvl w:val="0"/>
          <w:numId w:val="5"/>
        </w:numPr>
        <w:spacing w:after="0"/>
      </w:pPr>
      <w:r w:rsidRPr="009B55A0">
        <w:t>Tenant turnover</w:t>
      </w:r>
    </w:p>
    <w:p w14:paraId="6EA83784" w14:textId="77777777" w:rsidR="009B55A0" w:rsidRPr="009B55A0" w:rsidRDefault="009B55A0" w:rsidP="009B55A0">
      <w:pPr>
        <w:numPr>
          <w:ilvl w:val="0"/>
          <w:numId w:val="5"/>
        </w:numPr>
        <w:spacing w:after="0"/>
      </w:pPr>
      <w:r w:rsidRPr="009B55A0">
        <w:t>Rent delinquency &amp; late payments</w:t>
      </w:r>
    </w:p>
    <w:p w14:paraId="4666AEB3" w14:textId="77777777" w:rsidR="009B55A0" w:rsidRDefault="009B55A0" w:rsidP="009B55A0">
      <w:pPr>
        <w:numPr>
          <w:ilvl w:val="0"/>
          <w:numId w:val="5"/>
        </w:numPr>
        <w:spacing w:after="0"/>
      </w:pPr>
      <w:r w:rsidRPr="009B55A0">
        <w:t>Average days on market</w:t>
      </w:r>
    </w:p>
    <w:p w14:paraId="1F783525" w14:textId="3DF21BC0" w:rsidR="00565E1C" w:rsidRDefault="00565E1C" w:rsidP="00565E1C">
      <w:pPr>
        <w:numPr>
          <w:ilvl w:val="0"/>
          <w:numId w:val="5"/>
        </w:numPr>
        <w:spacing w:after="0"/>
      </w:pPr>
      <w:r>
        <w:t>Occupancy rate vs target (59% vs 70%)</w:t>
      </w:r>
    </w:p>
    <w:p w14:paraId="29839E22" w14:textId="16271381" w:rsidR="00565E1C" w:rsidRDefault="00565E1C" w:rsidP="00565E1C">
      <w:pPr>
        <w:numPr>
          <w:ilvl w:val="0"/>
          <w:numId w:val="5"/>
        </w:numPr>
        <w:spacing w:after="0"/>
      </w:pPr>
      <w:r>
        <w:t>Units vacant &amp; aging buckets</w:t>
      </w:r>
    </w:p>
    <w:p w14:paraId="3FAA8B2C" w14:textId="3FC6C7C1" w:rsidR="00565E1C" w:rsidRDefault="00565E1C" w:rsidP="00565E1C">
      <w:pPr>
        <w:numPr>
          <w:ilvl w:val="0"/>
          <w:numId w:val="5"/>
        </w:numPr>
        <w:spacing w:after="0"/>
      </w:pPr>
      <w:r>
        <w:t>Time-to-lease</w:t>
      </w:r>
    </w:p>
    <w:p w14:paraId="6ECABD59" w14:textId="1E562C3C" w:rsidR="00565E1C" w:rsidRDefault="00565E1C" w:rsidP="00565E1C">
      <w:pPr>
        <w:numPr>
          <w:ilvl w:val="0"/>
          <w:numId w:val="5"/>
        </w:numPr>
        <w:spacing w:after="0"/>
      </w:pPr>
      <w:r>
        <w:t>Renewal rate vs churn rate</w:t>
      </w:r>
    </w:p>
    <w:p w14:paraId="0767FC63" w14:textId="4D3DFB1F" w:rsidR="00565E1C" w:rsidRDefault="00565E1C" w:rsidP="00565E1C">
      <w:pPr>
        <w:numPr>
          <w:ilvl w:val="0"/>
          <w:numId w:val="5"/>
        </w:numPr>
        <w:spacing w:after="0"/>
      </w:pPr>
      <w:r>
        <w:t>Rent achieved vs asking</w:t>
      </w:r>
    </w:p>
    <w:p w14:paraId="2727BF11" w14:textId="4FB0B062" w:rsidR="00565E1C" w:rsidRDefault="00565E1C" w:rsidP="00565E1C">
      <w:pPr>
        <w:numPr>
          <w:ilvl w:val="0"/>
          <w:numId w:val="5"/>
        </w:numPr>
        <w:spacing w:after="0"/>
      </w:pPr>
      <w:r>
        <w:t>Service-related churn indicators</w:t>
      </w:r>
    </w:p>
    <w:p w14:paraId="3EBDBBE3" w14:textId="3AD9AA4B" w:rsidR="00565E1C" w:rsidRPr="009B55A0" w:rsidRDefault="00565E1C" w:rsidP="00565E1C">
      <w:pPr>
        <w:numPr>
          <w:ilvl w:val="0"/>
          <w:numId w:val="5"/>
        </w:numPr>
        <w:spacing w:after="0"/>
      </w:pPr>
      <w:r>
        <w:t>Revenue at risk from upcoming expiries</w:t>
      </w:r>
    </w:p>
    <w:p w14:paraId="16B9944C" w14:textId="77777777" w:rsidR="0002243F" w:rsidRPr="0002243F" w:rsidRDefault="0002243F" w:rsidP="0002243F">
      <w:pPr>
        <w:spacing w:after="0"/>
      </w:pPr>
      <w:r w:rsidRPr="0002243F">
        <w:rPr>
          <w:b/>
          <w:bCs/>
        </w:rPr>
        <w:t>Strategic Insight</w:t>
      </w:r>
    </w:p>
    <w:p w14:paraId="445F22DF" w14:textId="77BFDE21" w:rsidR="009B55A0" w:rsidRPr="009B55A0" w:rsidRDefault="009B55A0" w:rsidP="009B55A0">
      <w:pPr>
        <w:numPr>
          <w:ilvl w:val="0"/>
          <w:numId w:val="6"/>
        </w:numPr>
        <w:spacing w:after="0"/>
      </w:pPr>
      <w:r w:rsidRPr="009B55A0">
        <w:t>Stability vs volatility</w:t>
      </w:r>
    </w:p>
    <w:p w14:paraId="10C997F6" w14:textId="77777777" w:rsidR="009B55A0" w:rsidRPr="009B55A0" w:rsidRDefault="009B55A0" w:rsidP="009B55A0">
      <w:pPr>
        <w:numPr>
          <w:ilvl w:val="0"/>
          <w:numId w:val="6"/>
        </w:numPr>
        <w:spacing w:after="0"/>
      </w:pPr>
      <w:r w:rsidRPr="009B55A0">
        <w:t>Income predictability</w:t>
      </w:r>
    </w:p>
    <w:p w14:paraId="20D76EC4" w14:textId="77777777" w:rsidR="009B55A0" w:rsidRPr="009B55A0" w:rsidRDefault="009B55A0" w:rsidP="009B55A0">
      <w:pPr>
        <w:numPr>
          <w:ilvl w:val="0"/>
          <w:numId w:val="6"/>
        </w:numPr>
        <w:spacing w:after="0"/>
      </w:pPr>
      <w:r w:rsidRPr="009B55A0">
        <w:t>Demand trends by unit type</w:t>
      </w:r>
    </w:p>
    <w:p w14:paraId="234FA5B6" w14:textId="77777777" w:rsidR="00427118" w:rsidRDefault="00427118" w:rsidP="009B55A0">
      <w:pPr>
        <w:rPr>
          <w:b/>
          <w:bCs/>
        </w:rPr>
      </w:pPr>
    </w:p>
    <w:p w14:paraId="4456360A" w14:textId="2623315E" w:rsidR="000B1644" w:rsidRDefault="000B1644" w:rsidP="009B55A0">
      <w:pPr>
        <w:rPr>
          <w:b/>
          <w:bCs/>
        </w:rPr>
      </w:pPr>
      <w:r>
        <w:rPr>
          <w:b/>
          <w:bCs/>
        </w:rPr>
        <w:t xml:space="preserve">4- </w:t>
      </w:r>
      <w:r w:rsidRPr="000B1644">
        <w:rPr>
          <w:b/>
          <w:bCs/>
        </w:rPr>
        <w:t>Maintenance &amp; Tenant Satisfaction Dashboard</w:t>
      </w:r>
    </w:p>
    <w:p w14:paraId="3CFF53E4" w14:textId="5828F553" w:rsidR="000B1644" w:rsidRDefault="0062311B" w:rsidP="0062311B">
      <w:r w:rsidRPr="0062311B">
        <w:rPr>
          <w:b/>
          <w:bCs/>
        </w:rPr>
        <w:t>Purpose</w:t>
      </w:r>
      <w:r>
        <w:rPr>
          <w:b/>
          <w:bCs/>
        </w:rPr>
        <w:t xml:space="preserve">: </w:t>
      </w:r>
      <w:r w:rsidRPr="0062311B">
        <w:t>“To assess the effectiveness of maintenance operations and their direct impact on tenant satisfaction, retention, and asset performance.”</w:t>
      </w:r>
    </w:p>
    <w:p w14:paraId="7BDB7949" w14:textId="77777777" w:rsidR="00AF5988" w:rsidRDefault="00AF5988" w:rsidP="00AF5988">
      <w:r w:rsidRPr="00AF5988">
        <w:rPr>
          <w:b/>
          <w:bCs/>
        </w:rPr>
        <w:t>Key Coverage</w:t>
      </w:r>
    </w:p>
    <w:p w14:paraId="06817796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Preventive vs corrective maintenance ratio</w:t>
      </w:r>
    </w:p>
    <w:p w14:paraId="0F2CB6A9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Work orders (open, closed, overdue)</w:t>
      </w:r>
    </w:p>
    <w:p w14:paraId="08DF9F7B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Average response and resolution time</w:t>
      </w:r>
    </w:p>
    <w:p w14:paraId="133BD89C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Maintenance cost per asset / per tenant</w:t>
      </w:r>
    </w:p>
    <w:p w14:paraId="11D47766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Repeat maintenance requests by tenant / asset</w:t>
      </w:r>
    </w:p>
    <w:p w14:paraId="5469067C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Contractor performance and SLA compliance</w:t>
      </w:r>
    </w:p>
    <w:p w14:paraId="2EBE8C36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Tenant complaints and service request trends</w:t>
      </w:r>
    </w:p>
    <w:p w14:paraId="0015FB24" w14:textId="6D4C9A0B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Tenant satisfaction scores (CSAT / surveys)</w:t>
      </w:r>
    </w:p>
    <w:p w14:paraId="50AAFC33" w14:textId="62DD2709" w:rsidR="00A31FED" w:rsidRDefault="00A31FED" w:rsidP="00A31FED">
      <w:pPr>
        <w:pStyle w:val="ListParagraph"/>
        <w:numPr>
          <w:ilvl w:val="0"/>
          <w:numId w:val="15"/>
        </w:numPr>
      </w:pPr>
      <w:r>
        <w:t>Average response time (hours)</w:t>
      </w:r>
    </w:p>
    <w:p w14:paraId="11675704" w14:textId="434A0672" w:rsidR="00A31FED" w:rsidRDefault="00A31FED" w:rsidP="00A31FED">
      <w:pPr>
        <w:pStyle w:val="ListParagraph"/>
        <w:numPr>
          <w:ilvl w:val="0"/>
          <w:numId w:val="15"/>
        </w:numPr>
      </w:pPr>
      <w:r>
        <w:t>Average resolution time</w:t>
      </w:r>
    </w:p>
    <w:p w14:paraId="465AEAC1" w14:textId="2AC55AAB" w:rsidR="00A31FED" w:rsidRDefault="00A31FED" w:rsidP="00A31FED">
      <w:pPr>
        <w:pStyle w:val="ListParagraph"/>
        <w:numPr>
          <w:ilvl w:val="0"/>
          <w:numId w:val="15"/>
        </w:numPr>
      </w:pPr>
      <w:r>
        <w:t>First-time-fix rate</w:t>
      </w:r>
    </w:p>
    <w:p w14:paraId="1EB9ED93" w14:textId="4A92B61C" w:rsidR="00A31FED" w:rsidRDefault="00A31FED" w:rsidP="00A31FED">
      <w:pPr>
        <w:pStyle w:val="ListParagraph"/>
        <w:numPr>
          <w:ilvl w:val="0"/>
          <w:numId w:val="15"/>
        </w:numPr>
      </w:pPr>
      <w:r>
        <w:t>Repeat ticket rate</w:t>
      </w:r>
    </w:p>
    <w:p w14:paraId="568722F6" w14:textId="1517E704" w:rsidR="00A31FED" w:rsidRDefault="00A31FED" w:rsidP="00A31FED">
      <w:pPr>
        <w:pStyle w:val="ListParagraph"/>
        <w:numPr>
          <w:ilvl w:val="0"/>
          <w:numId w:val="15"/>
        </w:numPr>
      </w:pPr>
      <w:r>
        <w:t>Maintenance cost per unit</w:t>
      </w:r>
    </w:p>
    <w:p w14:paraId="3EF186A7" w14:textId="15A7531E" w:rsidR="00A31FED" w:rsidRDefault="00A31FED" w:rsidP="00A31FED">
      <w:pPr>
        <w:pStyle w:val="ListParagraph"/>
        <w:numPr>
          <w:ilvl w:val="0"/>
          <w:numId w:val="15"/>
        </w:numPr>
      </w:pPr>
      <w:r>
        <w:t>Tenant complaints per 100 units</w:t>
      </w:r>
    </w:p>
    <w:p w14:paraId="497FA7C2" w14:textId="258B6B6A" w:rsidR="00A31FED" w:rsidRDefault="00A31FED" w:rsidP="00A31FED">
      <w:pPr>
        <w:pStyle w:val="ListParagraph"/>
        <w:numPr>
          <w:ilvl w:val="0"/>
          <w:numId w:val="15"/>
        </w:numPr>
      </w:pPr>
      <w:r>
        <w:t>Tenant satisfaction score (CSAT)</w:t>
      </w:r>
    </w:p>
    <w:p w14:paraId="1786463B" w14:textId="77777777" w:rsidR="00AF5988" w:rsidRDefault="00AF5988" w:rsidP="00AF5988">
      <w:pPr>
        <w:ind w:left="360"/>
        <w:rPr>
          <w:b/>
          <w:bCs/>
        </w:rPr>
      </w:pPr>
      <w:r w:rsidRPr="00AF5988">
        <w:rPr>
          <w:b/>
          <w:bCs/>
        </w:rPr>
        <w:t>Strategic Insight</w:t>
      </w:r>
    </w:p>
    <w:p w14:paraId="7D1C364A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Service quality impact on tenant retention</w:t>
      </w:r>
    </w:p>
    <w:p w14:paraId="493EA133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Effectiveness of preventive maintenance strategy</w:t>
      </w:r>
    </w:p>
    <w:p w14:paraId="47B4EB97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High-risk assets driving dissatisfaction</w:t>
      </w:r>
    </w:p>
    <w:p w14:paraId="192EBCC4" w14:textId="77777777" w:rsidR="00AF5988" w:rsidRDefault="00AF5988" w:rsidP="00AF5988">
      <w:pPr>
        <w:pStyle w:val="ListParagraph"/>
        <w:numPr>
          <w:ilvl w:val="0"/>
          <w:numId w:val="15"/>
        </w:numPr>
      </w:pPr>
      <w:r w:rsidRPr="00AF5988">
        <w:t>Contractor reliability and performance gaps</w:t>
      </w:r>
    </w:p>
    <w:p w14:paraId="7572763C" w14:textId="38CC51C5" w:rsidR="004D1A69" w:rsidRDefault="00AF5988" w:rsidP="00AF5988">
      <w:pPr>
        <w:pStyle w:val="ListParagraph"/>
        <w:numPr>
          <w:ilvl w:val="0"/>
          <w:numId w:val="15"/>
        </w:numPr>
      </w:pPr>
      <w:r w:rsidRPr="00AF5988">
        <w:t>Early indicators of churn due to service issues</w:t>
      </w:r>
    </w:p>
    <w:p w14:paraId="1169C9B6" w14:textId="77777777" w:rsidR="004D1A69" w:rsidRDefault="004D1A69">
      <w:r>
        <w:br w:type="page"/>
      </w:r>
    </w:p>
    <w:p w14:paraId="5D7CF792" w14:textId="421B8FA7" w:rsidR="009B55A0" w:rsidRDefault="00AF5988" w:rsidP="009B55A0">
      <w:pPr>
        <w:rPr>
          <w:b/>
          <w:bCs/>
        </w:rPr>
      </w:pPr>
      <w:r>
        <w:rPr>
          <w:b/>
          <w:bCs/>
        </w:rPr>
        <w:t>5</w:t>
      </w:r>
      <w:r w:rsidR="009B55A0">
        <w:rPr>
          <w:b/>
          <w:bCs/>
        </w:rPr>
        <w:t xml:space="preserve">- </w:t>
      </w:r>
      <w:r w:rsidR="009B55A0" w:rsidRPr="009B55A0">
        <w:rPr>
          <w:b/>
          <w:bCs/>
        </w:rPr>
        <w:t>Properties for Sale – Sales Performance Dashboard</w:t>
      </w:r>
    </w:p>
    <w:p w14:paraId="5A9BDF4A" w14:textId="727A6F6C" w:rsidR="009B55A0" w:rsidRDefault="009B55A0" w:rsidP="009B55A0">
      <w:r w:rsidRPr="009B55A0">
        <w:rPr>
          <w:b/>
          <w:bCs/>
        </w:rPr>
        <w:t xml:space="preserve">Purpose: </w:t>
      </w:r>
      <w:r w:rsidRPr="009B55A0">
        <w:t>“Are we monetizing assets efficiently?”</w:t>
      </w:r>
    </w:p>
    <w:p w14:paraId="7881C41C" w14:textId="77777777" w:rsidR="009B55A0" w:rsidRPr="009B55A0" w:rsidRDefault="009B55A0" w:rsidP="009B55A0">
      <w:r w:rsidRPr="009B55A0">
        <w:rPr>
          <w:b/>
          <w:bCs/>
        </w:rPr>
        <w:t>Key Coverage</w:t>
      </w:r>
    </w:p>
    <w:p w14:paraId="254D7177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Units listed vs sold</w:t>
      </w:r>
    </w:p>
    <w:p w14:paraId="2706AF7C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Sales pipeline (lead → deal → closed)</w:t>
      </w:r>
    </w:p>
    <w:p w14:paraId="4686E5F0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Average selling price vs valuation</w:t>
      </w:r>
    </w:p>
    <w:p w14:paraId="40300360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Time to sell</w:t>
      </w:r>
    </w:p>
    <w:p w14:paraId="0CFE55E4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Inventory aging</w:t>
      </w:r>
    </w:p>
    <w:p w14:paraId="1431C168" w14:textId="77777777" w:rsidR="009B55A0" w:rsidRPr="009B55A0" w:rsidRDefault="009B55A0" w:rsidP="009B55A0">
      <w:pPr>
        <w:numPr>
          <w:ilvl w:val="0"/>
          <w:numId w:val="7"/>
        </w:numPr>
        <w:spacing w:after="0"/>
      </w:pPr>
      <w:r w:rsidRPr="009B55A0">
        <w:t>Revenue realized vs forecast</w:t>
      </w:r>
    </w:p>
    <w:p w14:paraId="53D56163" w14:textId="77777777" w:rsidR="009B55A0" w:rsidRDefault="009B55A0" w:rsidP="009B55A0">
      <w:pPr>
        <w:numPr>
          <w:ilvl w:val="0"/>
          <w:numId w:val="7"/>
        </w:numPr>
        <w:spacing w:after="0"/>
      </w:pPr>
      <w:r w:rsidRPr="009B55A0">
        <w:t>Unsold inventory exposure</w:t>
      </w:r>
    </w:p>
    <w:p w14:paraId="57BBE3E4" w14:textId="26E834AD" w:rsidR="003A57D2" w:rsidRDefault="003A57D2" w:rsidP="003A57D2">
      <w:pPr>
        <w:numPr>
          <w:ilvl w:val="0"/>
          <w:numId w:val="7"/>
        </w:numPr>
        <w:spacing w:after="0"/>
      </w:pPr>
      <w:r>
        <w:t>Units sold &amp; value (YTD / MTD)</w:t>
      </w:r>
    </w:p>
    <w:p w14:paraId="08A464F3" w14:textId="08F8DC6D" w:rsidR="003A57D2" w:rsidRDefault="003A57D2" w:rsidP="003A57D2">
      <w:pPr>
        <w:numPr>
          <w:ilvl w:val="0"/>
          <w:numId w:val="7"/>
        </w:numPr>
        <w:spacing w:after="0"/>
      </w:pPr>
      <w:r>
        <w:t>Margin bridge (price, discount, cost drivers)</w:t>
      </w:r>
    </w:p>
    <w:p w14:paraId="0A4C9E3E" w14:textId="5C7B19DE" w:rsidR="003A57D2" w:rsidRDefault="003A57D2" w:rsidP="003A57D2">
      <w:pPr>
        <w:numPr>
          <w:ilvl w:val="0"/>
          <w:numId w:val="7"/>
        </w:numPr>
        <w:spacing w:after="0"/>
      </w:pPr>
      <w:r>
        <w:t>Price per sqm vs market resale</w:t>
      </w:r>
    </w:p>
    <w:p w14:paraId="41D0A00A" w14:textId="7B46AB0C" w:rsidR="003A57D2" w:rsidRDefault="003A57D2" w:rsidP="003A57D2">
      <w:pPr>
        <w:numPr>
          <w:ilvl w:val="0"/>
          <w:numId w:val="7"/>
        </w:numPr>
        <w:spacing w:after="0"/>
      </w:pPr>
      <w:r>
        <w:t>Inventory aging (including LTO units)</w:t>
      </w:r>
    </w:p>
    <w:p w14:paraId="21E95A9B" w14:textId="3333854A" w:rsidR="003A57D2" w:rsidRDefault="003A57D2" w:rsidP="003A57D2">
      <w:pPr>
        <w:numPr>
          <w:ilvl w:val="0"/>
          <w:numId w:val="7"/>
        </w:numPr>
        <w:spacing w:after="0"/>
      </w:pPr>
      <w:r>
        <w:t>Absorption rate</w:t>
      </w:r>
    </w:p>
    <w:p w14:paraId="5F5C76A6" w14:textId="0207A634" w:rsidR="003A57D2" w:rsidRDefault="003A57D2" w:rsidP="003A57D2">
      <w:pPr>
        <w:numPr>
          <w:ilvl w:val="0"/>
          <w:numId w:val="7"/>
        </w:numPr>
        <w:spacing w:after="0"/>
      </w:pPr>
      <w:r>
        <w:t>LTO exposure (% of inventory &amp; value)</w:t>
      </w:r>
    </w:p>
    <w:p w14:paraId="20472AB3" w14:textId="7940A314" w:rsidR="003A57D2" w:rsidRDefault="003A57D2" w:rsidP="003A57D2">
      <w:pPr>
        <w:numPr>
          <w:ilvl w:val="0"/>
          <w:numId w:val="7"/>
        </w:numPr>
        <w:spacing w:after="0"/>
      </w:pPr>
      <w:r>
        <w:t>Post-handover margin adjustment risk</w:t>
      </w:r>
    </w:p>
    <w:p w14:paraId="1B0E4D1D" w14:textId="528E2029" w:rsidR="00AB5F9F" w:rsidRPr="009B55A0" w:rsidRDefault="00AB5F9F" w:rsidP="003A57D2">
      <w:pPr>
        <w:numPr>
          <w:ilvl w:val="0"/>
          <w:numId w:val="7"/>
        </w:numPr>
        <w:spacing w:after="0"/>
      </w:pPr>
      <w:r>
        <w:t>Sales by nationality (Owner)</w:t>
      </w:r>
    </w:p>
    <w:p w14:paraId="3C05EC0E" w14:textId="77777777" w:rsidR="009B55A0" w:rsidRPr="009B55A0" w:rsidRDefault="009B55A0" w:rsidP="009B55A0">
      <w:r w:rsidRPr="009B55A0">
        <w:rPr>
          <w:b/>
          <w:bCs/>
        </w:rPr>
        <w:t>Strategic Insight</w:t>
      </w:r>
    </w:p>
    <w:p w14:paraId="4A3DADCD" w14:textId="77777777" w:rsidR="009B55A0" w:rsidRPr="009B55A0" w:rsidRDefault="009B55A0" w:rsidP="009B55A0">
      <w:pPr>
        <w:numPr>
          <w:ilvl w:val="0"/>
          <w:numId w:val="8"/>
        </w:numPr>
        <w:spacing w:after="0"/>
      </w:pPr>
      <w:r w:rsidRPr="009B55A0">
        <w:t>Capital recycling effectiveness</w:t>
      </w:r>
    </w:p>
    <w:p w14:paraId="3B416DB6" w14:textId="77777777" w:rsidR="009B55A0" w:rsidRPr="009B55A0" w:rsidRDefault="009B55A0" w:rsidP="009B55A0">
      <w:pPr>
        <w:numPr>
          <w:ilvl w:val="0"/>
          <w:numId w:val="8"/>
        </w:numPr>
        <w:spacing w:after="0"/>
      </w:pPr>
      <w:r w:rsidRPr="009B55A0">
        <w:t>Pricing strategy success</w:t>
      </w:r>
    </w:p>
    <w:p w14:paraId="581AA998" w14:textId="77777777" w:rsidR="009B55A0" w:rsidRPr="009B55A0" w:rsidRDefault="009B55A0" w:rsidP="009B55A0">
      <w:pPr>
        <w:numPr>
          <w:ilvl w:val="0"/>
          <w:numId w:val="8"/>
        </w:numPr>
        <w:spacing w:after="0"/>
      </w:pPr>
      <w:r w:rsidRPr="009B55A0">
        <w:t>Market absorption speed</w:t>
      </w:r>
    </w:p>
    <w:p w14:paraId="1D25D11A" w14:textId="77777777" w:rsidR="00427118" w:rsidRDefault="00427118" w:rsidP="0002243F">
      <w:pPr>
        <w:rPr>
          <w:b/>
          <w:bCs/>
        </w:rPr>
      </w:pPr>
    </w:p>
    <w:p w14:paraId="00D709BA" w14:textId="06566B0D" w:rsidR="0002243F" w:rsidRPr="0002243F" w:rsidRDefault="00AF5988" w:rsidP="0002243F">
      <w:pPr>
        <w:rPr>
          <w:b/>
          <w:bCs/>
        </w:rPr>
      </w:pPr>
      <w:r>
        <w:rPr>
          <w:b/>
          <w:bCs/>
        </w:rPr>
        <w:t>6</w:t>
      </w:r>
      <w:r w:rsidR="0002243F">
        <w:rPr>
          <w:b/>
          <w:bCs/>
        </w:rPr>
        <w:t xml:space="preserve">- </w:t>
      </w:r>
      <w:r w:rsidR="0002243F" w:rsidRPr="0002243F">
        <w:rPr>
          <w:b/>
          <w:bCs/>
        </w:rPr>
        <w:t>Finance Dashboard (Cash &amp; Profitability)</w:t>
      </w:r>
    </w:p>
    <w:p w14:paraId="69116343" w14:textId="77777777" w:rsidR="0002243F" w:rsidRPr="0002243F" w:rsidRDefault="0002243F" w:rsidP="0002243F">
      <w:r w:rsidRPr="0002243F">
        <w:rPr>
          <w:b/>
          <w:bCs/>
        </w:rPr>
        <w:t>Purpose:</w:t>
      </w:r>
      <w:r w:rsidRPr="0002243F">
        <w:t xml:space="preserve"> </w:t>
      </w:r>
      <w:r w:rsidRPr="0002243F">
        <w:rPr>
          <w:i/>
          <w:iCs/>
        </w:rPr>
        <w:t>“Do we have financial control and visibility?”</w:t>
      </w:r>
    </w:p>
    <w:p w14:paraId="49C56F51" w14:textId="77777777" w:rsidR="0002243F" w:rsidRPr="0002243F" w:rsidRDefault="0002243F" w:rsidP="0002243F">
      <w:r w:rsidRPr="0002243F">
        <w:rPr>
          <w:b/>
          <w:bCs/>
        </w:rPr>
        <w:t>Key Coverage</w:t>
      </w:r>
    </w:p>
    <w:p w14:paraId="364C61CD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Cash inflows vs outflows (monthly trend)</w:t>
      </w:r>
    </w:p>
    <w:p w14:paraId="2B50B41D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Operating expenses vs budget</w:t>
      </w:r>
    </w:p>
    <w:p w14:paraId="521A90AE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NOI by asset class</w:t>
      </w:r>
    </w:p>
    <w:p w14:paraId="602D3C60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EBITDA margin</w:t>
      </w:r>
    </w:p>
    <w:p w14:paraId="42720E8F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Receivables aging</w:t>
      </w:r>
    </w:p>
    <w:p w14:paraId="2CA55C11" w14:textId="77777777" w:rsidR="0002243F" w:rsidRPr="0002243F" w:rsidRDefault="0002243F" w:rsidP="0002243F">
      <w:pPr>
        <w:numPr>
          <w:ilvl w:val="0"/>
          <w:numId w:val="9"/>
        </w:numPr>
        <w:spacing w:after="0"/>
      </w:pPr>
      <w:r w:rsidRPr="0002243F">
        <w:t>CapEx vs plan</w:t>
      </w:r>
    </w:p>
    <w:p w14:paraId="5EC9C307" w14:textId="77777777" w:rsidR="0002243F" w:rsidRDefault="0002243F" w:rsidP="0002243F">
      <w:pPr>
        <w:numPr>
          <w:ilvl w:val="0"/>
          <w:numId w:val="9"/>
        </w:numPr>
        <w:spacing w:after="0"/>
      </w:pPr>
      <w:r w:rsidRPr="0002243F">
        <w:t>Debt service coverage ratio (if applicable)</w:t>
      </w:r>
    </w:p>
    <w:p w14:paraId="21A052F8" w14:textId="3F17B898" w:rsidR="00D0312F" w:rsidRDefault="00D0312F" w:rsidP="00D0312F">
      <w:pPr>
        <w:numPr>
          <w:ilvl w:val="0"/>
          <w:numId w:val="9"/>
        </w:numPr>
        <w:spacing w:after="0"/>
      </w:pPr>
      <w:r>
        <w:t>Operating cash inflow vs outflow</w:t>
      </w:r>
    </w:p>
    <w:p w14:paraId="5704E05A" w14:textId="2D50C632" w:rsidR="00D0312F" w:rsidRDefault="00D0312F" w:rsidP="00D0312F">
      <w:pPr>
        <w:numPr>
          <w:ilvl w:val="0"/>
          <w:numId w:val="9"/>
        </w:numPr>
        <w:spacing w:after="0"/>
      </w:pPr>
      <w:r>
        <w:t>Financing cash flow (loan dependency)</w:t>
      </w:r>
    </w:p>
    <w:p w14:paraId="2C7182E1" w14:textId="43806511" w:rsidR="00D0312F" w:rsidRDefault="00D0312F" w:rsidP="00D0312F">
      <w:pPr>
        <w:numPr>
          <w:ilvl w:val="0"/>
          <w:numId w:val="9"/>
        </w:numPr>
        <w:spacing w:after="0"/>
      </w:pPr>
      <w:r>
        <w:t>True staff cost (gross, not net-off allocations)</w:t>
      </w:r>
    </w:p>
    <w:p w14:paraId="10E40A06" w14:textId="3F75B9ED" w:rsidR="00D0312F" w:rsidRDefault="00D0312F" w:rsidP="00D0312F">
      <w:pPr>
        <w:numPr>
          <w:ilvl w:val="0"/>
          <w:numId w:val="9"/>
        </w:numPr>
        <w:spacing w:after="0"/>
      </w:pPr>
      <w:r>
        <w:t>Maintenance OPEX vs budget</w:t>
      </w:r>
    </w:p>
    <w:p w14:paraId="0951412A" w14:textId="5A18C1A5" w:rsidR="00D0312F" w:rsidRDefault="00D0312F" w:rsidP="00D0312F">
      <w:pPr>
        <w:numPr>
          <w:ilvl w:val="0"/>
          <w:numId w:val="9"/>
        </w:numPr>
        <w:spacing w:after="0"/>
      </w:pPr>
      <w:r>
        <w:t>NOI by asset class</w:t>
      </w:r>
    </w:p>
    <w:p w14:paraId="0D11098E" w14:textId="76A33876" w:rsidR="00D0312F" w:rsidRDefault="00D0312F" w:rsidP="00D0312F">
      <w:pPr>
        <w:numPr>
          <w:ilvl w:val="0"/>
          <w:numId w:val="9"/>
        </w:numPr>
        <w:spacing w:after="0"/>
      </w:pPr>
      <w:r>
        <w:t>Receivables aging</w:t>
      </w:r>
    </w:p>
    <w:p w14:paraId="2E463A48" w14:textId="61A835A5" w:rsidR="00D0312F" w:rsidRPr="0002243F" w:rsidRDefault="00D0312F" w:rsidP="00D0312F">
      <w:pPr>
        <w:numPr>
          <w:ilvl w:val="0"/>
          <w:numId w:val="9"/>
        </w:numPr>
        <w:spacing w:after="0"/>
      </w:pPr>
      <w:r>
        <w:t>CapEx vs ROI / payback</w:t>
      </w:r>
    </w:p>
    <w:p w14:paraId="2C1541A1" w14:textId="77777777" w:rsidR="0002243F" w:rsidRPr="0002243F" w:rsidRDefault="0002243F" w:rsidP="0002243F">
      <w:pPr>
        <w:spacing w:after="0"/>
      </w:pPr>
      <w:r w:rsidRPr="0002243F">
        <w:rPr>
          <w:b/>
          <w:bCs/>
        </w:rPr>
        <w:t>Strategic Insight</w:t>
      </w:r>
    </w:p>
    <w:p w14:paraId="6050ABE1" w14:textId="4F37D5E3" w:rsidR="0002243F" w:rsidRPr="0002243F" w:rsidRDefault="0002243F" w:rsidP="0002243F">
      <w:pPr>
        <w:numPr>
          <w:ilvl w:val="0"/>
          <w:numId w:val="10"/>
        </w:numPr>
        <w:spacing w:after="0"/>
      </w:pPr>
      <w:r w:rsidRPr="0002243F">
        <w:t>Liquidity health</w:t>
      </w:r>
    </w:p>
    <w:p w14:paraId="11DECD34" w14:textId="77777777" w:rsidR="0002243F" w:rsidRPr="0002243F" w:rsidRDefault="0002243F" w:rsidP="0002243F">
      <w:pPr>
        <w:numPr>
          <w:ilvl w:val="0"/>
          <w:numId w:val="10"/>
        </w:numPr>
        <w:spacing w:after="0"/>
      </w:pPr>
      <w:r w:rsidRPr="0002243F">
        <w:t>Cost discipline</w:t>
      </w:r>
    </w:p>
    <w:p w14:paraId="2B72FE09" w14:textId="77777777" w:rsidR="0002243F" w:rsidRPr="0002243F" w:rsidRDefault="0002243F" w:rsidP="0002243F">
      <w:pPr>
        <w:numPr>
          <w:ilvl w:val="0"/>
          <w:numId w:val="10"/>
        </w:numPr>
        <w:spacing w:after="0"/>
      </w:pPr>
      <w:r w:rsidRPr="0002243F">
        <w:t>Predictability of cash flows</w:t>
      </w:r>
    </w:p>
    <w:p w14:paraId="665ABBFB" w14:textId="77777777" w:rsidR="00AF5988" w:rsidRDefault="00AF5988" w:rsidP="0002243F">
      <w:pPr>
        <w:rPr>
          <w:b/>
          <w:bCs/>
        </w:rPr>
      </w:pPr>
    </w:p>
    <w:p w14:paraId="1DD514F7" w14:textId="325AF44B" w:rsidR="0002243F" w:rsidRDefault="00AF5988" w:rsidP="0002243F">
      <w:pPr>
        <w:rPr>
          <w:b/>
          <w:bCs/>
        </w:rPr>
      </w:pPr>
      <w:r>
        <w:rPr>
          <w:b/>
          <w:bCs/>
        </w:rPr>
        <w:t>7</w:t>
      </w:r>
      <w:r w:rsidR="0002243F">
        <w:rPr>
          <w:b/>
          <w:bCs/>
        </w:rPr>
        <w:t xml:space="preserve">- </w:t>
      </w:r>
      <w:r w:rsidR="0002243F" w:rsidRPr="0002243F">
        <w:rPr>
          <w:b/>
          <w:bCs/>
        </w:rPr>
        <w:t>Human Resources Dashboard</w:t>
      </w:r>
    </w:p>
    <w:p w14:paraId="06D382F0" w14:textId="71079106" w:rsidR="0002243F" w:rsidRDefault="0002243F" w:rsidP="0002243F">
      <w:r w:rsidRPr="0002243F">
        <w:rPr>
          <w:b/>
          <w:bCs/>
        </w:rPr>
        <w:t xml:space="preserve">Purpose: </w:t>
      </w:r>
      <w:r w:rsidRPr="0002243F">
        <w:t>“Do we have the right people, sized correctly?”</w:t>
      </w:r>
    </w:p>
    <w:p w14:paraId="3D02A97D" w14:textId="77777777" w:rsidR="00AE55F9" w:rsidRPr="00AE55F9" w:rsidRDefault="00AE55F9" w:rsidP="00AE55F9">
      <w:pPr>
        <w:rPr>
          <w:b/>
          <w:bCs/>
        </w:rPr>
      </w:pPr>
      <w:r w:rsidRPr="00AE55F9">
        <w:rPr>
          <w:b/>
          <w:bCs/>
        </w:rPr>
        <w:t>Key Coverage</w:t>
      </w:r>
    </w:p>
    <w:p w14:paraId="2A2D0424" w14:textId="4C711F37" w:rsidR="00AE55F9" w:rsidRPr="00AE55F9" w:rsidRDefault="00AE55F9" w:rsidP="00AE55F9">
      <w:pPr>
        <w:numPr>
          <w:ilvl w:val="0"/>
          <w:numId w:val="11"/>
        </w:numPr>
        <w:spacing w:after="0"/>
      </w:pPr>
      <w:r w:rsidRPr="00AE55F9">
        <w:t>Total headcount by function</w:t>
      </w:r>
      <w:r>
        <w:t xml:space="preserve"> / department</w:t>
      </w:r>
    </w:p>
    <w:p w14:paraId="1C04A9DA" w14:textId="77777777" w:rsidR="00AE55F9" w:rsidRDefault="00AE55F9" w:rsidP="00AE55F9">
      <w:pPr>
        <w:numPr>
          <w:ilvl w:val="0"/>
          <w:numId w:val="11"/>
        </w:numPr>
        <w:spacing w:after="0"/>
      </w:pPr>
      <w:r w:rsidRPr="00AE55F9">
        <w:t>Cost per employee</w:t>
      </w:r>
    </w:p>
    <w:p w14:paraId="27E5F9A0" w14:textId="3F6A9AEC" w:rsidR="003D3BB8" w:rsidRPr="00AE55F9" w:rsidRDefault="003D3BB8" w:rsidP="00AE55F9">
      <w:pPr>
        <w:numPr>
          <w:ilvl w:val="0"/>
          <w:numId w:val="11"/>
        </w:numPr>
        <w:spacing w:after="0"/>
      </w:pPr>
      <w:r w:rsidRPr="003D3BB8">
        <w:t>Staff cost as % of revenue</w:t>
      </w:r>
    </w:p>
    <w:p w14:paraId="79F4E2B0" w14:textId="77777777" w:rsidR="00AE55F9" w:rsidRPr="00AE55F9" w:rsidRDefault="00AE55F9" w:rsidP="00AE55F9">
      <w:pPr>
        <w:numPr>
          <w:ilvl w:val="0"/>
          <w:numId w:val="11"/>
        </w:numPr>
        <w:spacing w:after="0"/>
      </w:pPr>
      <w:r w:rsidRPr="00AE55F9">
        <w:t>Revenue per employee</w:t>
      </w:r>
    </w:p>
    <w:p w14:paraId="42A9799E" w14:textId="77777777" w:rsidR="00AE55F9" w:rsidRPr="00AE55F9" w:rsidRDefault="00AE55F9" w:rsidP="00AE55F9">
      <w:pPr>
        <w:numPr>
          <w:ilvl w:val="0"/>
          <w:numId w:val="11"/>
        </w:numPr>
        <w:spacing w:after="0"/>
      </w:pPr>
      <w:r w:rsidRPr="00AE55F9">
        <w:t>Attrition rate</w:t>
      </w:r>
    </w:p>
    <w:p w14:paraId="7AAB69A7" w14:textId="77777777" w:rsidR="00AE55F9" w:rsidRPr="00AE55F9" w:rsidRDefault="00AE55F9" w:rsidP="00AE55F9">
      <w:pPr>
        <w:numPr>
          <w:ilvl w:val="0"/>
          <w:numId w:val="11"/>
        </w:numPr>
        <w:spacing w:after="0"/>
      </w:pPr>
      <w:r w:rsidRPr="00AE55F9">
        <w:t>Key role vacancies</w:t>
      </w:r>
    </w:p>
    <w:p w14:paraId="1D0121E8" w14:textId="77777777" w:rsidR="00AE55F9" w:rsidRPr="00AE55F9" w:rsidRDefault="00AE55F9" w:rsidP="00AE55F9">
      <w:pPr>
        <w:numPr>
          <w:ilvl w:val="0"/>
          <w:numId w:val="11"/>
        </w:numPr>
        <w:spacing w:after="0"/>
      </w:pPr>
      <w:r w:rsidRPr="00AE55F9">
        <w:t>Outsourcing vs in-house ratio</w:t>
      </w:r>
    </w:p>
    <w:p w14:paraId="07ECF09A" w14:textId="77777777" w:rsidR="002251D1" w:rsidRPr="002251D1" w:rsidRDefault="002251D1" w:rsidP="002251D1">
      <w:pPr>
        <w:spacing w:after="0"/>
      </w:pPr>
      <w:r w:rsidRPr="002251D1">
        <w:rPr>
          <w:b/>
          <w:bCs/>
        </w:rPr>
        <w:t>Strategic Insight</w:t>
      </w:r>
    </w:p>
    <w:p w14:paraId="142D77C6" w14:textId="75D5034F" w:rsidR="00AE55F9" w:rsidRPr="00AE55F9" w:rsidRDefault="00AE55F9" w:rsidP="00AE55F9">
      <w:pPr>
        <w:numPr>
          <w:ilvl w:val="0"/>
          <w:numId w:val="12"/>
        </w:numPr>
        <w:spacing w:after="0"/>
      </w:pPr>
      <w:r w:rsidRPr="00AE55F9">
        <w:t>Workforce efficiency</w:t>
      </w:r>
    </w:p>
    <w:p w14:paraId="2F589516" w14:textId="77777777" w:rsidR="00AE55F9" w:rsidRPr="00AE55F9" w:rsidRDefault="00AE55F9" w:rsidP="00AE55F9">
      <w:pPr>
        <w:numPr>
          <w:ilvl w:val="0"/>
          <w:numId w:val="12"/>
        </w:numPr>
        <w:spacing w:after="0"/>
      </w:pPr>
      <w:r w:rsidRPr="00AE55F9">
        <w:t>Over/under staffing risks</w:t>
      </w:r>
    </w:p>
    <w:p w14:paraId="745C42A2" w14:textId="77777777" w:rsidR="00AE55F9" w:rsidRPr="00AE55F9" w:rsidRDefault="00AE55F9" w:rsidP="00AE55F9">
      <w:pPr>
        <w:numPr>
          <w:ilvl w:val="0"/>
          <w:numId w:val="12"/>
        </w:numPr>
        <w:spacing w:after="0"/>
      </w:pPr>
      <w:r w:rsidRPr="00AE55F9">
        <w:t>Talent retention health</w:t>
      </w:r>
    </w:p>
    <w:p w14:paraId="4E27F7C9" w14:textId="59A41A3D" w:rsidR="00A66BAF" w:rsidRDefault="00A66BAF">
      <w:pPr>
        <w:rPr>
          <w:b/>
          <w:bCs/>
        </w:rPr>
      </w:pPr>
    </w:p>
    <w:p w14:paraId="4FCB2137" w14:textId="5DE7A5D5" w:rsidR="00A66BAF" w:rsidRDefault="00AF5988" w:rsidP="00A66BAF">
      <w:pPr>
        <w:rPr>
          <w:b/>
          <w:bCs/>
        </w:rPr>
      </w:pPr>
      <w:r>
        <w:rPr>
          <w:b/>
          <w:bCs/>
        </w:rPr>
        <w:t>8</w:t>
      </w:r>
      <w:r w:rsidR="00A66BAF">
        <w:rPr>
          <w:b/>
          <w:bCs/>
        </w:rPr>
        <w:t xml:space="preserve">- </w:t>
      </w:r>
      <w:r w:rsidR="00A66BAF" w:rsidRPr="00A66BAF">
        <w:rPr>
          <w:b/>
          <w:bCs/>
        </w:rPr>
        <w:t>Procurement &amp; Contracts Dashboard</w:t>
      </w:r>
    </w:p>
    <w:p w14:paraId="4698DE4C" w14:textId="77777777" w:rsidR="00A66BAF" w:rsidRPr="00A66BAF" w:rsidRDefault="00A66BAF" w:rsidP="00A66BAF">
      <w:pPr>
        <w:rPr>
          <w:b/>
          <w:bCs/>
        </w:rPr>
      </w:pPr>
      <w:r w:rsidRPr="00A66BAF">
        <w:rPr>
          <w:b/>
          <w:bCs/>
        </w:rPr>
        <w:t>Key Coverage</w:t>
      </w:r>
    </w:p>
    <w:p w14:paraId="7194E34C" w14:textId="3EA8757A" w:rsidR="00A66BAF" w:rsidRPr="00A66BAF" w:rsidRDefault="00D96D3D" w:rsidP="00A66BAF">
      <w:pPr>
        <w:numPr>
          <w:ilvl w:val="0"/>
          <w:numId w:val="13"/>
        </w:numPr>
        <w:spacing w:after="0"/>
      </w:pPr>
      <w:r w:rsidRPr="00A66BAF">
        <w:t>Totals</w:t>
      </w:r>
      <w:r w:rsidR="00A66BAF" w:rsidRPr="00A66BAF">
        <w:t xml:space="preserve"> spend by category</w:t>
      </w:r>
    </w:p>
    <w:p w14:paraId="77E0C4B4" w14:textId="77777777" w:rsidR="00A66BAF" w:rsidRPr="00A66BAF" w:rsidRDefault="00A66BAF" w:rsidP="00A66BAF">
      <w:pPr>
        <w:numPr>
          <w:ilvl w:val="0"/>
          <w:numId w:val="13"/>
        </w:numPr>
        <w:spacing w:after="0"/>
      </w:pPr>
      <w:r w:rsidRPr="00A66BAF">
        <w:t>Top vendors concentration</w:t>
      </w:r>
    </w:p>
    <w:p w14:paraId="04E73564" w14:textId="77777777" w:rsidR="00A66BAF" w:rsidRPr="00A66BAF" w:rsidRDefault="00A66BAF" w:rsidP="00A66BAF">
      <w:pPr>
        <w:numPr>
          <w:ilvl w:val="0"/>
          <w:numId w:val="13"/>
        </w:numPr>
        <w:spacing w:after="0"/>
      </w:pPr>
      <w:r w:rsidRPr="00A66BAF">
        <w:t>Contract expiries</w:t>
      </w:r>
    </w:p>
    <w:p w14:paraId="34F7E484" w14:textId="77777777" w:rsidR="00A66BAF" w:rsidRPr="00A66BAF" w:rsidRDefault="00A66BAF" w:rsidP="00A66BAF">
      <w:pPr>
        <w:numPr>
          <w:ilvl w:val="0"/>
          <w:numId w:val="13"/>
        </w:numPr>
        <w:spacing w:after="0"/>
      </w:pPr>
      <w:r w:rsidRPr="00A66BAF">
        <w:t>Savings achieved vs target</w:t>
      </w:r>
    </w:p>
    <w:p w14:paraId="250675B8" w14:textId="77777777" w:rsidR="00A66BAF" w:rsidRPr="00A66BAF" w:rsidRDefault="00A66BAF" w:rsidP="00A66BAF">
      <w:pPr>
        <w:numPr>
          <w:ilvl w:val="0"/>
          <w:numId w:val="13"/>
        </w:numPr>
        <w:spacing w:after="0"/>
      </w:pPr>
      <w:r w:rsidRPr="00A66BAF">
        <w:t>Budget variance</w:t>
      </w:r>
    </w:p>
    <w:p w14:paraId="03DEDE8D" w14:textId="77777777" w:rsidR="00A66BAF" w:rsidRDefault="00A66BAF" w:rsidP="00A66BAF">
      <w:pPr>
        <w:numPr>
          <w:ilvl w:val="0"/>
          <w:numId w:val="13"/>
        </w:numPr>
        <w:spacing w:after="0"/>
      </w:pPr>
      <w:r w:rsidRPr="00A66BAF">
        <w:t>Emergency / non-planned spend</w:t>
      </w:r>
    </w:p>
    <w:p w14:paraId="64221D89" w14:textId="70896B2F" w:rsidR="00BA1C56" w:rsidRDefault="00BA1C56" w:rsidP="00A66BAF">
      <w:pPr>
        <w:numPr>
          <w:ilvl w:val="0"/>
          <w:numId w:val="13"/>
        </w:numPr>
        <w:spacing w:after="0"/>
      </w:pPr>
      <w:r>
        <w:t>Procurement turnaround time</w:t>
      </w:r>
    </w:p>
    <w:p w14:paraId="4712B4D6" w14:textId="785082FF" w:rsidR="003D26D3" w:rsidRDefault="003D26D3" w:rsidP="003D26D3">
      <w:pPr>
        <w:numPr>
          <w:ilvl w:val="0"/>
          <w:numId w:val="13"/>
        </w:numPr>
        <w:spacing w:after="0"/>
      </w:pPr>
      <w:r>
        <w:t>Procurement cycle time (request → PO → contract)</w:t>
      </w:r>
    </w:p>
    <w:p w14:paraId="0C3AAC34" w14:textId="58AA879A" w:rsidR="003D26D3" w:rsidRDefault="003D26D3" w:rsidP="003D26D3">
      <w:pPr>
        <w:numPr>
          <w:ilvl w:val="0"/>
          <w:numId w:val="13"/>
        </w:numPr>
        <w:spacing w:after="0"/>
      </w:pPr>
      <w:r>
        <w:t>Average time to onboard vendors</w:t>
      </w:r>
    </w:p>
    <w:p w14:paraId="3BE33319" w14:textId="3C703C43" w:rsidR="003D26D3" w:rsidRDefault="003D26D3" w:rsidP="003D26D3">
      <w:pPr>
        <w:numPr>
          <w:ilvl w:val="0"/>
          <w:numId w:val="13"/>
        </w:numPr>
        <w:spacing w:after="0"/>
      </w:pPr>
      <w:r>
        <w:t>Cost variance: contracted price vs actual spend</w:t>
      </w:r>
    </w:p>
    <w:p w14:paraId="3261D9FB" w14:textId="3A349520" w:rsidR="003D26D3" w:rsidRDefault="003D26D3" w:rsidP="003D26D3">
      <w:pPr>
        <w:numPr>
          <w:ilvl w:val="0"/>
          <w:numId w:val="13"/>
        </w:numPr>
        <w:spacing w:after="0"/>
      </w:pPr>
      <w:r>
        <w:t>Savings achieved vs negotiated savings target</w:t>
      </w:r>
    </w:p>
    <w:p w14:paraId="2C465D2A" w14:textId="15DCFE81" w:rsidR="003D26D3" w:rsidRDefault="003D26D3" w:rsidP="003D26D3">
      <w:pPr>
        <w:numPr>
          <w:ilvl w:val="0"/>
          <w:numId w:val="13"/>
        </w:numPr>
        <w:spacing w:after="0"/>
      </w:pPr>
      <w:r>
        <w:t>% spend under contract vs off-contract spend</w:t>
      </w:r>
    </w:p>
    <w:p w14:paraId="5FD898DC" w14:textId="781BA85E" w:rsidR="003D26D3" w:rsidRDefault="003D26D3" w:rsidP="003D26D3">
      <w:pPr>
        <w:numPr>
          <w:ilvl w:val="0"/>
          <w:numId w:val="13"/>
        </w:numPr>
        <w:spacing w:after="0"/>
      </w:pPr>
      <w:r>
        <w:t>Emergency / non-planned procurement rate</w:t>
      </w:r>
    </w:p>
    <w:p w14:paraId="59448DB3" w14:textId="3567F1FD" w:rsidR="003D26D3" w:rsidRDefault="003D26D3" w:rsidP="003D26D3">
      <w:pPr>
        <w:numPr>
          <w:ilvl w:val="0"/>
          <w:numId w:val="13"/>
        </w:numPr>
        <w:spacing w:after="0"/>
      </w:pPr>
      <w:r>
        <w:t>Re-procurement frequency (repeat purchases)</w:t>
      </w:r>
    </w:p>
    <w:p w14:paraId="44D4273F" w14:textId="2D9B4726" w:rsidR="003D26D3" w:rsidRDefault="003D26D3" w:rsidP="003D26D3">
      <w:pPr>
        <w:numPr>
          <w:ilvl w:val="0"/>
          <w:numId w:val="13"/>
        </w:numPr>
        <w:spacing w:after="0"/>
      </w:pPr>
      <w:r>
        <w:t>Vendor performance vs SLA (cost, quality, delivery)</w:t>
      </w:r>
    </w:p>
    <w:p w14:paraId="27764375" w14:textId="19F28311" w:rsidR="003D26D3" w:rsidRPr="00A66BAF" w:rsidRDefault="003D26D3" w:rsidP="003D26D3">
      <w:pPr>
        <w:numPr>
          <w:ilvl w:val="0"/>
          <w:numId w:val="13"/>
        </w:numPr>
        <w:spacing w:after="0"/>
      </w:pPr>
      <w:r>
        <w:t>Contract utilization rate (planned vs actual value)</w:t>
      </w:r>
    </w:p>
    <w:p w14:paraId="301159EE" w14:textId="77777777" w:rsidR="002251D1" w:rsidRPr="002251D1" w:rsidRDefault="002251D1" w:rsidP="002251D1">
      <w:pPr>
        <w:spacing w:after="0"/>
      </w:pPr>
      <w:r w:rsidRPr="002251D1">
        <w:rPr>
          <w:b/>
          <w:bCs/>
        </w:rPr>
        <w:t>Strategic Insight</w:t>
      </w:r>
    </w:p>
    <w:p w14:paraId="3258D05D" w14:textId="3367CC32" w:rsidR="00A66BAF" w:rsidRPr="00A66BAF" w:rsidRDefault="00A66BAF" w:rsidP="00A66BAF">
      <w:pPr>
        <w:numPr>
          <w:ilvl w:val="0"/>
          <w:numId w:val="14"/>
        </w:numPr>
        <w:spacing w:after="0"/>
      </w:pPr>
      <w:r w:rsidRPr="00A66BAF">
        <w:t>Cost leakage</w:t>
      </w:r>
    </w:p>
    <w:p w14:paraId="143E4F10" w14:textId="77777777" w:rsidR="00A66BAF" w:rsidRPr="00A66BAF" w:rsidRDefault="00A66BAF" w:rsidP="00A66BAF">
      <w:pPr>
        <w:numPr>
          <w:ilvl w:val="0"/>
          <w:numId w:val="14"/>
        </w:numPr>
        <w:spacing w:after="0"/>
      </w:pPr>
      <w:r w:rsidRPr="00A66BAF">
        <w:t>Supplier dependency risks</w:t>
      </w:r>
    </w:p>
    <w:p w14:paraId="1F809C5A" w14:textId="2791320E" w:rsidR="00A66BAF" w:rsidRPr="009B55A0" w:rsidRDefault="00A66BAF" w:rsidP="00BA1C56">
      <w:pPr>
        <w:numPr>
          <w:ilvl w:val="0"/>
          <w:numId w:val="14"/>
        </w:numPr>
        <w:spacing w:after="0"/>
      </w:pPr>
      <w:r w:rsidRPr="00A66BAF">
        <w:t>Negotiation opportunities</w:t>
      </w:r>
    </w:p>
    <w:p>
      <w:r>
        <w:br w:type="page"/>
      </w:r>
    </w:p>
    <w:p>
      <w:pPr>
        <w:pStyle w:val="Heading2"/>
      </w:pPr>
      <w:r>
        <w:rPr>
          <w:color w:val="800000"/>
        </w:rPr>
        <w:t>9- Subsidiary Performance Dashboard</w:t>
      </w:r>
    </w:p>
    <w:p>
      <w:r>
        <w:rPr>
          <w:b/>
        </w:rPr>
        <w:t xml:space="preserve">Purpose: </w:t>
      </w:r>
      <w:r>
        <w:t>"Which subsidiaries are performing and which are bleeding?"</w:t>
      </w:r>
    </w:p>
    <w:p/>
    <w:p>
      <w:r>
        <w:rPr>
          <w:b/>
        </w:rPr>
        <w:t>Key Coverage</w:t>
      </w:r>
    </w:p>
    <w:p>
      <w:r>
        <w:t>Revenue by subsidiary (MTD / YTD vs target)</w:t>
      </w:r>
    </w:p>
    <w:p>
      <w:r>
        <w:t>EBITDA by subsidiary</w:t>
      </w:r>
    </w:p>
    <w:p>
      <w:r>
        <w:t>Operating cash flow by subsidiary</w:t>
      </w:r>
    </w:p>
    <w:p>
      <w:r>
        <w:t>Headcount and cost allocation by subsidiary</w:t>
      </w:r>
    </w:p>
    <w:p>
      <w:r>
        <w:t>Inter-company transactions and allocations</w:t>
      </w:r>
    </w:p>
    <w:p>
      <w:r>
        <w:t>Subsidiary contribution to group performance</w:t>
      </w:r>
    </w:p>
    <w:p>
      <w:r>
        <w:t>Capital allocation and ROI by subsidiary</w:t>
      </w:r>
    </w:p>
    <w:p/>
    <w:p>
      <w:r>
        <w:rPr>
          <w:b/>
        </w:rPr>
        <w:t>KPIs</w:t>
      </w:r>
    </w:p>
    <w:p>
      <w:r>
        <w:t>Revenue growth % YoY by subsidiary</w:t>
      </w:r>
    </w:p>
    <w:p>
      <w:r>
        <w:t>EBITDA margin by subsidiary</w:t>
      </w:r>
    </w:p>
    <w:p>
      <w:r>
        <w:t>Return on capital employed (ROCE)</w:t>
      </w:r>
    </w:p>
    <w:p>
      <w:r>
        <w:t>Cost-to-serve by subsidiary</w:t>
      </w:r>
    </w:p>
    <w:p>
      <w:r>
        <w:t>Staff cost as % of revenue by subsidiary</w:t>
      </w:r>
    </w:p>
    <w:p>
      <w:r>
        <w:t>Cross-charging accuracy and timeliness</w:t>
      </w:r>
    </w:p>
    <w:p/>
    <w:p>
      <w:r>
        <w:rPr>
          <w:b/>
        </w:rPr>
        <w:t>Strategic Insight</w:t>
      </w:r>
    </w:p>
    <w:p>
      <w:r>
        <w:t>Which subsidiaries should scale vs restructure?</w:t>
      </w:r>
    </w:p>
    <w:p>
      <w:r>
        <w:t>Capital allocation optimization</w:t>
      </w:r>
    </w:p>
    <w:p>
      <w:r>
        <w:t>Hidden cost centers masking as profit centers</w:t>
      </w:r>
    </w:p>
    <w:p>
      <w:r>
        <w:t>Cross-subsidy visibility</w:t>
      </w:r>
    </w:p>
    <w:p>
      <w:r>
        <w:br w:type="page"/>
      </w:r>
    </w:p>
    <w:p>
      <w:pPr>
        <w:pStyle w:val="Heading2"/>
      </w:pPr>
      <w:r>
        <w:rPr>
          <w:color w:val="800000"/>
        </w:rPr>
        <w:t>10- Community Management (TPOC) Dashboard</w:t>
      </w:r>
    </w:p>
    <w:p>
      <w:r>
        <w:rPr>
          <w:b/>
        </w:rPr>
        <w:t xml:space="preserve">Purpose: </w:t>
      </w:r>
      <w:r>
        <w:t>"Are we managing The Pearl community effectively?"</w:t>
      </w:r>
    </w:p>
    <w:p/>
    <w:p>
      <w:r>
        <w:rPr>
          <w:b/>
        </w:rPr>
        <w:t>Key Coverage</w:t>
      </w:r>
    </w:p>
    <w:p>
      <w:r>
        <w:t>Community fees collection rate</w:t>
      </w:r>
    </w:p>
    <w:p>
      <w:r>
        <w:t>Owner satisfaction scores</w:t>
      </w:r>
    </w:p>
    <w:p>
      <w:r>
        <w:t>Common area maintenance costs</w:t>
      </w:r>
    </w:p>
    <w:p>
      <w:r>
        <w:t>Community services utilization</w:t>
      </w:r>
    </w:p>
    <w:p>
      <w:r>
        <w:t>Owner complaints and resolution time</w:t>
      </w:r>
    </w:p>
    <w:p>
      <w:r>
        <w:t>Community events and engagement</w:t>
      </w:r>
    </w:p>
    <w:p>
      <w:r>
        <w:t>Regulatory compliance (government requirements)</w:t>
      </w:r>
    </w:p>
    <w:p/>
    <w:p>
      <w:r>
        <w:rPr>
          <w:b/>
        </w:rPr>
        <w:t>KPIs</w:t>
      </w:r>
    </w:p>
    <w:p>
      <w:r>
        <w:t>Community fees collection rate (%)</w:t>
      </w:r>
    </w:p>
    <w:p>
      <w:r>
        <w:t>Days outstanding on community fees</w:t>
      </w:r>
    </w:p>
    <w:p>
      <w:r>
        <w:t>Cost per unit for community services</w:t>
      </w:r>
    </w:p>
    <w:p>
      <w:r>
        <w:t>Owner satisfaction (CSAT survey)</w:t>
      </w:r>
    </w:p>
    <w:p>
      <w:r>
        <w:t>Complaint resolution time (days)</w:t>
      </w:r>
    </w:p>
    <w:p>
      <w:r>
        <w:t>Repeat complaint rate</w:t>
      </w:r>
    </w:p>
    <w:p>
      <w:r>
        <w:t>Community service SLA compliance</w:t>
      </w:r>
    </w:p>
    <w:p/>
    <w:p>
      <w:r>
        <w:rPr>
          <w:b/>
        </w:rPr>
        <w:t>Strategic Insight</w:t>
      </w:r>
    </w:p>
    <w:p>
      <w:r>
        <w:t>Community fee collection efficiency vs cost of collection</w:t>
      </w:r>
    </w:p>
    <w:p>
      <w:r>
        <w:t>Service quality impact on property values</w:t>
      </w:r>
    </w:p>
    <w:p>
      <w:r>
        <w:t>Owner engagement level (active vs passive)</w:t>
      </w:r>
    </w:p>
    <w:p>
      <w:r>
        <w:t>Risk of owner dissatisfaction affecting resale values</w:t>
      </w:r>
    </w:p>
    <w:p>
      <w:r>
        <w:br w:type="page"/>
      </w:r>
    </w:p>
    <w:p>
      <w:pPr>
        <w:pStyle w:val="Heading2"/>
      </w:pPr>
      <w:r>
        <w:rPr>
          <w:color w:val="800000"/>
        </w:rPr>
        <w:t>11- Lead-to-Lease Conversion Dashboard</w:t>
      </w:r>
    </w:p>
    <w:p>
      <w:r>
        <w:rPr>
          <w:b/>
        </w:rPr>
        <w:t xml:space="preserve">Purpose: </w:t>
      </w:r>
      <w:r>
        <w:t>"Are we converting inquiries into revenue efficiently?"</w:t>
      </w:r>
    </w:p>
    <w:p/>
    <w:p>
      <w:r>
        <w:rPr>
          <w:b/>
        </w:rPr>
        <w:t>Key Coverage</w:t>
      </w:r>
    </w:p>
    <w:p>
      <w:r>
        <w:t>Lead volume by source (website, agents, walk-in, referral)</w:t>
      </w:r>
    </w:p>
    <w:p>
      <w:r>
        <w:t>Lead-to-viewing conversion rate</w:t>
      </w:r>
    </w:p>
    <w:p>
      <w:r>
        <w:t>Viewing-to-application conversion rate</w:t>
      </w:r>
    </w:p>
    <w:p>
      <w:r>
        <w:t>Application-to-contract conversion rate</w:t>
      </w:r>
    </w:p>
    <w:p>
      <w:r>
        <w:t>Average cycle time (lead to move-in)</w:t>
      </w:r>
    </w:p>
    <w:p>
      <w:r>
        <w:t>Lead quality by source</w:t>
      </w:r>
    </w:p>
    <w:p>
      <w:r>
        <w:t>Sales team performance</w:t>
      </w:r>
    </w:p>
    <w:p>
      <w:r>
        <w:t>Lost opportunity analysis (why did leads not convert?)</w:t>
      </w:r>
    </w:p>
    <w:p/>
    <w:p>
      <w:r>
        <w:rPr>
          <w:b/>
        </w:rPr>
        <w:t>KPIs</w:t>
      </w:r>
    </w:p>
    <w:p>
      <w:r>
        <w:t>Overall lead-to-lease conversion rate (%)</w:t>
      </w:r>
    </w:p>
    <w:p>
      <w:r>
        <w:t>Conversion rate by segment (residential / commercial / sales)</w:t>
      </w:r>
    </w:p>
    <w:p>
      <w:r>
        <w:t>Average days from lead to contract</w:t>
      </w:r>
    </w:p>
    <w:p>
      <w:r>
        <w:t>Lead response time (hours)</w:t>
      </w:r>
    </w:p>
    <w:p>
      <w:r>
        <w:t>Cost per lead by channel</w:t>
      </w:r>
    </w:p>
    <w:p>
      <w:r>
        <w:t>Cost per conversion</w:t>
      </w:r>
    </w:p>
    <w:p>
      <w:r>
        <w:t>Pipeline value (leads × conversion rate × avg contract value)</w:t>
      </w:r>
    </w:p>
    <w:p>
      <w:r>
        <w:t>Revenue at risk (applications pending approval)</w:t>
      </w:r>
    </w:p>
    <w:p/>
    <w:p>
      <w:r>
        <w:rPr>
          <w:b/>
        </w:rPr>
        <w:t>Strategic Insight</w:t>
      </w:r>
    </w:p>
    <w:p>
      <w:r>
        <w:t>Which lead sources have highest ROI?</w:t>
      </w:r>
    </w:p>
    <w:p>
      <w:r>
        <w:t>Where in the funnel are we losing prospects?</w:t>
      </w:r>
    </w:p>
    <w:p>
      <w:r>
        <w:t>Sales team efficiency vs market demand</w:t>
      </w:r>
    </w:p>
    <w:p>
      <w:r>
        <w:t>Marketing spend effectiveness</w:t>
      </w:r>
    </w:p>
    <w:sectPr w:rsidR="00A66BAF" w:rsidRPr="009B5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2DFD" w14:textId="77777777" w:rsidR="00323C9B" w:rsidRDefault="00323C9B" w:rsidP="009B55A0">
      <w:pPr>
        <w:spacing w:after="0" w:line="240" w:lineRule="auto"/>
      </w:pPr>
      <w:r>
        <w:separator/>
      </w:r>
    </w:p>
  </w:endnote>
  <w:endnote w:type="continuationSeparator" w:id="0">
    <w:p w14:paraId="61E729E7" w14:textId="77777777" w:rsidR="00323C9B" w:rsidRDefault="00323C9B" w:rsidP="009B5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8D213" w14:textId="77777777" w:rsidR="00323C9B" w:rsidRDefault="00323C9B" w:rsidP="009B55A0">
      <w:pPr>
        <w:spacing w:after="0" w:line="240" w:lineRule="auto"/>
      </w:pPr>
      <w:r>
        <w:separator/>
      </w:r>
    </w:p>
  </w:footnote>
  <w:footnote w:type="continuationSeparator" w:id="0">
    <w:p w14:paraId="67FB6094" w14:textId="77777777" w:rsidR="00323C9B" w:rsidRDefault="00323C9B" w:rsidP="009B5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7D8"/>
    <w:multiLevelType w:val="multilevel"/>
    <w:tmpl w:val="618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068"/>
    <w:multiLevelType w:val="multilevel"/>
    <w:tmpl w:val="F3C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3850"/>
    <w:multiLevelType w:val="hybridMultilevel"/>
    <w:tmpl w:val="6186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D3EA1"/>
    <w:multiLevelType w:val="multilevel"/>
    <w:tmpl w:val="C8A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24F20"/>
    <w:multiLevelType w:val="multilevel"/>
    <w:tmpl w:val="A2A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2776"/>
    <w:multiLevelType w:val="multilevel"/>
    <w:tmpl w:val="108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C7883"/>
    <w:multiLevelType w:val="multilevel"/>
    <w:tmpl w:val="3D8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01CFA"/>
    <w:multiLevelType w:val="multilevel"/>
    <w:tmpl w:val="BF3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F1489"/>
    <w:multiLevelType w:val="multilevel"/>
    <w:tmpl w:val="F41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472B"/>
    <w:multiLevelType w:val="multilevel"/>
    <w:tmpl w:val="F1F0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249D7"/>
    <w:multiLevelType w:val="multilevel"/>
    <w:tmpl w:val="E6B6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D2D51"/>
    <w:multiLevelType w:val="multilevel"/>
    <w:tmpl w:val="90A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77744"/>
    <w:multiLevelType w:val="multilevel"/>
    <w:tmpl w:val="761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119EC"/>
    <w:multiLevelType w:val="multilevel"/>
    <w:tmpl w:val="3A1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0665C"/>
    <w:multiLevelType w:val="multilevel"/>
    <w:tmpl w:val="6E8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004A7"/>
    <w:multiLevelType w:val="hybridMultilevel"/>
    <w:tmpl w:val="6BAE7F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5517775">
    <w:abstractNumId w:val="10"/>
  </w:num>
  <w:num w:numId="2" w16cid:durableId="2071077197">
    <w:abstractNumId w:val="11"/>
  </w:num>
  <w:num w:numId="3" w16cid:durableId="1991598563">
    <w:abstractNumId w:val="13"/>
  </w:num>
  <w:num w:numId="4" w16cid:durableId="1696232535">
    <w:abstractNumId w:val="6"/>
  </w:num>
  <w:num w:numId="5" w16cid:durableId="2125030296">
    <w:abstractNumId w:val="3"/>
  </w:num>
  <w:num w:numId="6" w16cid:durableId="2023428630">
    <w:abstractNumId w:val="4"/>
  </w:num>
  <w:num w:numId="7" w16cid:durableId="1149008863">
    <w:abstractNumId w:val="12"/>
  </w:num>
  <w:num w:numId="8" w16cid:durableId="1441684363">
    <w:abstractNumId w:val="14"/>
  </w:num>
  <w:num w:numId="9" w16cid:durableId="1156188884">
    <w:abstractNumId w:val="8"/>
  </w:num>
  <w:num w:numId="10" w16cid:durableId="384764369">
    <w:abstractNumId w:val="1"/>
  </w:num>
  <w:num w:numId="11" w16cid:durableId="1836066699">
    <w:abstractNumId w:val="5"/>
  </w:num>
  <w:num w:numId="12" w16cid:durableId="1623269175">
    <w:abstractNumId w:val="9"/>
  </w:num>
  <w:num w:numId="13" w16cid:durableId="270477527">
    <w:abstractNumId w:val="7"/>
  </w:num>
  <w:num w:numId="14" w16cid:durableId="1944993646">
    <w:abstractNumId w:val="0"/>
  </w:num>
  <w:num w:numId="15" w16cid:durableId="2131118722">
    <w:abstractNumId w:val="2"/>
  </w:num>
  <w:num w:numId="16" w16cid:durableId="1960866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A0"/>
    <w:rsid w:val="00015F7A"/>
    <w:rsid w:val="0001798C"/>
    <w:rsid w:val="0002243F"/>
    <w:rsid w:val="00033B52"/>
    <w:rsid w:val="00046CA7"/>
    <w:rsid w:val="000832D0"/>
    <w:rsid w:val="000A4CFC"/>
    <w:rsid w:val="000B1644"/>
    <w:rsid w:val="000E2072"/>
    <w:rsid w:val="000F7EF2"/>
    <w:rsid w:val="0010131E"/>
    <w:rsid w:val="00121DAA"/>
    <w:rsid w:val="00126244"/>
    <w:rsid w:val="00194868"/>
    <w:rsid w:val="001A7B50"/>
    <w:rsid w:val="001C5963"/>
    <w:rsid w:val="001D1605"/>
    <w:rsid w:val="001D6AC7"/>
    <w:rsid w:val="00207C86"/>
    <w:rsid w:val="002251D1"/>
    <w:rsid w:val="00231923"/>
    <w:rsid w:val="00251F98"/>
    <w:rsid w:val="002825F3"/>
    <w:rsid w:val="00295A40"/>
    <w:rsid w:val="002C7AF9"/>
    <w:rsid w:val="002D73FA"/>
    <w:rsid w:val="002E003C"/>
    <w:rsid w:val="00322E6B"/>
    <w:rsid w:val="00323C9B"/>
    <w:rsid w:val="003361ED"/>
    <w:rsid w:val="00341684"/>
    <w:rsid w:val="003754CD"/>
    <w:rsid w:val="00380D6D"/>
    <w:rsid w:val="00382BC8"/>
    <w:rsid w:val="00392CE7"/>
    <w:rsid w:val="003A57D2"/>
    <w:rsid w:val="003B6D43"/>
    <w:rsid w:val="003C6AF6"/>
    <w:rsid w:val="003D26D3"/>
    <w:rsid w:val="003D3BB8"/>
    <w:rsid w:val="003D44BE"/>
    <w:rsid w:val="003E157F"/>
    <w:rsid w:val="00407691"/>
    <w:rsid w:val="00427118"/>
    <w:rsid w:val="00450B3C"/>
    <w:rsid w:val="00454382"/>
    <w:rsid w:val="00460C89"/>
    <w:rsid w:val="004664C6"/>
    <w:rsid w:val="00482CDE"/>
    <w:rsid w:val="00485093"/>
    <w:rsid w:val="00490CDB"/>
    <w:rsid w:val="004C6077"/>
    <w:rsid w:val="004D1A69"/>
    <w:rsid w:val="004D406E"/>
    <w:rsid w:val="004D70C9"/>
    <w:rsid w:val="004F2475"/>
    <w:rsid w:val="004F6DB6"/>
    <w:rsid w:val="00517839"/>
    <w:rsid w:val="00537BC0"/>
    <w:rsid w:val="005520EF"/>
    <w:rsid w:val="00556A77"/>
    <w:rsid w:val="00565E1C"/>
    <w:rsid w:val="0056668C"/>
    <w:rsid w:val="005739FE"/>
    <w:rsid w:val="0059148B"/>
    <w:rsid w:val="0059250F"/>
    <w:rsid w:val="005B1609"/>
    <w:rsid w:val="005C0BC3"/>
    <w:rsid w:val="005C7A5E"/>
    <w:rsid w:val="005F6D4D"/>
    <w:rsid w:val="0062311B"/>
    <w:rsid w:val="006460A6"/>
    <w:rsid w:val="00665BF6"/>
    <w:rsid w:val="0068223A"/>
    <w:rsid w:val="006836E7"/>
    <w:rsid w:val="006B0A84"/>
    <w:rsid w:val="006E7BED"/>
    <w:rsid w:val="0071515D"/>
    <w:rsid w:val="00722805"/>
    <w:rsid w:val="00733F29"/>
    <w:rsid w:val="00740E1D"/>
    <w:rsid w:val="007609F7"/>
    <w:rsid w:val="007636F6"/>
    <w:rsid w:val="00795E54"/>
    <w:rsid w:val="007E7B5C"/>
    <w:rsid w:val="007E7F87"/>
    <w:rsid w:val="008109CF"/>
    <w:rsid w:val="0086722E"/>
    <w:rsid w:val="008702D7"/>
    <w:rsid w:val="00890A05"/>
    <w:rsid w:val="00893AC8"/>
    <w:rsid w:val="008A6F55"/>
    <w:rsid w:val="008B4BA6"/>
    <w:rsid w:val="008D3E78"/>
    <w:rsid w:val="009069C4"/>
    <w:rsid w:val="00914AFC"/>
    <w:rsid w:val="00941243"/>
    <w:rsid w:val="00944C1B"/>
    <w:rsid w:val="00951D78"/>
    <w:rsid w:val="00967C3F"/>
    <w:rsid w:val="009A7D60"/>
    <w:rsid w:val="009B55A0"/>
    <w:rsid w:val="009B5A55"/>
    <w:rsid w:val="009D1F53"/>
    <w:rsid w:val="009E0FCD"/>
    <w:rsid w:val="00A31FED"/>
    <w:rsid w:val="00A6430C"/>
    <w:rsid w:val="00A66BAF"/>
    <w:rsid w:val="00A758FA"/>
    <w:rsid w:val="00A775B3"/>
    <w:rsid w:val="00A8051E"/>
    <w:rsid w:val="00A80897"/>
    <w:rsid w:val="00AA0C0B"/>
    <w:rsid w:val="00AA4029"/>
    <w:rsid w:val="00AA4BAC"/>
    <w:rsid w:val="00AB4FE6"/>
    <w:rsid w:val="00AB5F9F"/>
    <w:rsid w:val="00AD0E51"/>
    <w:rsid w:val="00AD2465"/>
    <w:rsid w:val="00AE3F11"/>
    <w:rsid w:val="00AE55F9"/>
    <w:rsid w:val="00AF5988"/>
    <w:rsid w:val="00AF663E"/>
    <w:rsid w:val="00B01B81"/>
    <w:rsid w:val="00B0731B"/>
    <w:rsid w:val="00B106CE"/>
    <w:rsid w:val="00B134D0"/>
    <w:rsid w:val="00B23AF0"/>
    <w:rsid w:val="00B255B8"/>
    <w:rsid w:val="00B34B6E"/>
    <w:rsid w:val="00B360DD"/>
    <w:rsid w:val="00B967C8"/>
    <w:rsid w:val="00BA03AC"/>
    <w:rsid w:val="00BA1C56"/>
    <w:rsid w:val="00BA29DD"/>
    <w:rsid w:val="00BA56A7"/>
    <w:rsid w:val="00BB21D5"/>
    <w:rsid w:val="00BB2797"/>
    <w:rsid w:val="00BB4351"/>
    <w:rsid w:val="00BC1548"/>
    <w:rsid w:val="00BC2C95"/>
    <w:rsid w:val="00BC30F6"/>
    <w:rsid w:val="00BC6449"/>
    <w:rsid w:val="00BE23A4"/>
    <w:rsid w:val="00BE3BEB"/>
    <w:rsid w:val="00BF448D"/>
    <w:rsid w:val="00C40A2E"/>
    <w:rsid w:val="00C40F80"/>
    <w:rsid w:val="00C4483D"/>
    <w:rsid w:val="00C56C3F"/>
    <w:rsid w:val="00C606B1"/>
    <w:rsid w:val="00CA00B5"/>
    <w:rsid w:val="00CA4143"/>
    <w:rsid w:val="00CB3197"/>
    <w:rsid w:val="00CE0B57"/>
    <w:rsid w:val="00CE73B4"/>
    <w:rsid w:val="00CE7A55"/>
    <w:rsid w:val="00D0312F"/>
    <w:rsid w:val="00D1700E"/>
    <w:rsid w:val="00D22DCC"/>
    <w:rsid w:val="00D345CA"/>
    <w:rsid w:val="00D36562"/>
    <w:rsid w:val="00D7411A"/>
    <w:rsid w:val="00D96D3D"/>
    <w:rsid w:val="00DB156B"/>
    <w:rsid w:val="00DB65DF"/>
    <w:rsid w:val="00DB7653"/>
    <w:rsid w:val="00DD66EF"/>
    <w:rsid w:val="00E15B4E"/>
    <w:rsid w:val="00E21CA3"/>
    <w:rsid w:val="00E21D24"/>
    <w:rsid w:val="00E262B1"/>
    <w:rsid w:val="00E30545"/>
    <w:rsid w:val="00E35E0A"/>
    <w:rsid w:val="00E36B30"/>
    <w:rsid w:val="00E40C30"/>
    <w:rsid w:val="00E86882"/>
    <w:rsid w:val="00EA5568"/>
    <w:rsid w:val="00EB4FBF"/>
    <w:rsid w:val="00EB782F"/>
    <w:rsid w:val="00F37142"/>
    <w:rsid w:val="00F419C8"/>
    <w:rsid w:val="00F44F37"/>
    <w:rsid w:val="00F67890"/>
    <w:rsid w:val="00F81D81"/>
    <w:rsid w:val="00F86956"/>
    <w:rsid w:val="00FB12FD"/>
    <w:rsid w:val="00FC2D32"/>
    <w:rsid w:val="00FE36DB"/>
    <w:rsid w:val="00FF341B"/>
    <w:rsid w:val="00FF3A30"/>
    <w:rsid w:val="0271BC20"/>
    <w:rsid w:val="034FE993"/>
    <w:rsid w:val="0D5019F6"/>
    <w:rsid w:val="19C96BAF"/>
    <w:rsid w:val="1BAE5D46"/>
    <w:rsid w:val="1E300D75"/>
    <w:rsid w:val="29D75B76"/>
    <w:rsid w:val="3374F4B5"/>
    <w:rsid w:val="346C2413"/>
    <w:rsid w:val="443B9D42"/>
    <w:rsid w:val="5158FA1F"/>
    <w:rsid w:val="54FB22B6"/>
    <w:rsid w:val="57CF7806"/>
    <w:rsid w:val="5FAB9A32"/>
    <w:rsid w:val="725747E6"/>
    <w:rsid w:val="730D3880"/>
    <w:rsid w:val="74F3D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7945"/>
  <w15:chartTrackingRefBased/>
  <w15:docId w15:val="{2458C6E4-E8C6-4DB7-A0C7-36B1E460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5A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B5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5A0"/>
  </w:style>
  <w:style w:type="paragraph" w:styleId="Footer">
    <w:name w:val="footer"/>
    <w:basedOn w:val="Normal"/>
    <w:link w:val="FooterChar"/>
    <w:uiPriority w:val="99"/>
    <w:unhideWhenUsed/>
    <w:rsid w:val="009B5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5A0"/>
  </w:style>
  <w:style w:type="table" w:styleId="TableGrid">
    <w:name w:val="Table Grid"/>
    <w:basedOn w:val="TableNormal"/>
    <w:uiPriority w:val="39"/>
    <w:rsid w:val="00591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013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13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13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3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3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1179</Words>
  <Characters>6723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Abozrarh</dc:creator>
  <cp:keywords/>
  <dc:description/>
  <cp:lastModifiedBy>Ahmad Abozrarh</cp:lastModifiedBy>
  <cp:revision>114</cp:revision>
  <dcterms:created xsi:type="dcterms:W3CDTF">2025-12-22T05:10:00Z</dcterms:created>
  <dcterms:modified xsi:type="dcterms:W3CDTF">2025-12-21T19:40:00Z</dcterms:modified>
</cp:coreProperties>
</file>