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Workforce Report</w:t>
      </w:r>
    </w:p>
    <w:p>
      <w:r>
        <w:t>This report covers workforce metrics for Q1 2026.</w:t>
      </w:r>
    </w:p>
    <w:p>
      <w:pPr>
        <w:pStyle w:val="Heading2"/>
      </w:pPr>
      <w:r>
        <w:t>Summary</w:t>
      </w:r>
    </w:p>
    <w:p>
      <w:r>
        <w:t>Total headcount increased by 5% compared to Q4 2025.</w:t>
      </w:r>
    </w:p>
    <w:p>
      <w:r>
        <w:t>Attrition rate remained stable at 3.2%.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Q4 2025</w:t>
            </w:r>
          </w:p>
        </w:tc>
        <w:tc>
          <w:tcPr>
            <w:tcW w:type="dxa" w:w="2880"/>
          </w:tcPr>
          <w:p>
            <w:r>
              <w:t>Q1 2026</w:t>
            </w:r>
          </w:p>
        </w:tc>
      </w:tr>
      <w:tr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1260</w:t>
            </w:r>
          </w:p>
        </w:tc>
      </w:tr>
      <w:tr>
        <w:tc>
          <w:tcPr>
            <w:tcW w:type="dxa" w:w="2880"/>
          </w:tcPr>
          <w:p>
            <w:r>
              <w:t>New Hires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Exits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