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Actividades Repaso E/R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objetivo de esta actividad es identificar las entidades del modelo ER en varias situaciones del mundo real.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Busca e indica las entidades en los siguientes enunciados: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hospital de Puerta del Hierro visitan médicos, que atienden a pacientes, los cuales tienen enfermedades.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tienda informática Siglo22 venden productos, los cuales tienen un código de barras y un precio asociado. En la tienda, despachan 2 empleados, los cuales tienen DNI y nombre. La tienda también dispone de proveedores.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El objetivo de esta actividad es identificar los atributos de las entidades seleccionadas en varias situaciones del mundo real.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Busca e indica los atributos de cada entidad en los siguientes enunciados: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el hospital de Santo Socorro visitan médicos (que se caracterizan por un DNI, y tienen nombre y apellidos), que atienden pacientes (que tienen un código, nombre y apellidos), los cuales tienen enfermedades (que codificamos con un número y que tienen un nombre técnico y un nombre común).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 la tienda informática Siglo22 venden productos, los cuales tienen un código de barras y un precio asociado. En la tienda, despachan 2 empleados, los cuales tienen DNI y nombre. La tienda también dispone de proveedores que se caracterizan por un nombre y tienen un número de teléfono.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los diagramas de los siguientes enunciados: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el hospital de Santo Socorro visitan médicos (que se caracterizan por un DNI, y tienen nombre y apellidos), que atienden pacientes (que tienen un código, nombre y apellidos), los cuales tienen enfermedades (que codificamos con un número y que tienen un nombre técnico y un nombre común).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Los médicos atienden a uno o varios pacientes, mientras que un paciente puede ser atendido por 1 o varios médicos.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Los pacientes pueden o no tener enfermedades, y una enfermedad puede afectar a uno o varios pacientes.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Diseña un pequeño diagrama para el siguiente fragmento del sistema: una cadena de pizzerías tiene locales que sólo pueden ser de tipo restaurante, donde los clientes pueden degustar las pizzas in situ, o de tipo “para llevar”. Un mismo local puede ser, a la vez, restaurante y admitir pedidos para llevar.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Indica el tipo de relación o jerarquía que hayas utilizado.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Diseña un pequeño diagrama para el siguiente fragmento del sistema: en una pizzería quieren registrar las líneas que componen cada pedido. Un pedido puede contener 0 o varias líneas, mientras que una línea solo puede pertenecer a un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Diseña un pequeño diagrama para el siguiente fragmento del sistema: Cada local de una pizzería tiene asignados varios empleados, que pueden ser únicamente de uno de estos tipos: cocineros, camareros, telefonistas o motoristas. Los empleados pueden tener más de un rol, en un momento dado. Por ejemplo, un camarero puede ser telefonista.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Diseña un pequeño diagrama para el siguiente fragmento del sistema: Cada escudería tiene varios monoplazas (identificados por un número) para participar en cada Campeonato. Los monoplazas de una misma escudería pueden ir equipados con diferente motor.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Recuerda que todas las entidades deben tener una clave principal.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Relaciona con el tipo de jerarquía que corresponda: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Una misma entidad superclase no puede aparecer en dos entidades subclase diferentes 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....................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Una misma entidad superclase puede aparecer en dos (o, incluso, en más de dos) entidades subclase diferentes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.....................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Toda instancia de la entidad superclase tiene que pertenecer, como mínimo, a una de sus entidades subclase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....................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Algunas instancias de la entidad superclase podrán no pertenecer a ninguno de sus entidades subclase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....................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DDB91A-E97C-4393-9D29-D04AA6661D31}"/>
</file>

<file path=customXml/itemProps2.xml><?xml version="1.0" encoding="utf-8"?>
<ds:datastoreItem xmlns:ds="http://schemas.openxmlformats.org/officeDocument/2006/customXml" ds:itemID="{4434DBDC-4BA7-42EA-A6E0-664376FBC1A1}"/>
</file>

<file path=customXml/itemProps3.xml><?xml version="1.0" encoding="utf-8"?>
<ds:datastoreItem xmlns:ds="http://schemas.openxmlformats.org/officeDocument/2006/customXml" ds:itemID="{C564567E-6DE9-479E-8039-7C09E68B12B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