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GridTable4-Accent1"/>
        <w:tblW w:w="937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45"/>
        <w:gridCol w:w="1648"/>
        <w:gridCol w:w="1583"/>
        <w:gridCol w:w="1464"/>
        <w:gridCol w:w="1583"/>
        <w:gridCol w:w="1552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b/>
                <w:bCs/>
                <w:color w:themeColor="background1" w:val="FFFFFF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bCs/>
                <w:color w:themeColor="background1" w:val="FFFFFF"/>
                <w:kern w:val="0"/>
                <w:sz w:val="22"/>
                <w:szCs w:val="22"/>
                <w:lang w:val="en-US" w:eastAsia="en-US" w:bidi="ar-SA"/>
              </w:rPr>
              <w:t>Perspective</w:t>
            </w:r>
          </w:p>
        </w:tc>
        <w:tc>
          <w:tcPr>
            <w:tcW w:w="1648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b/>
                <w:bCs/>
                <w:color w:themeColor="background1" w:val="FFFFFF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bCs/>
                <w:color w:themeColor="background1" w:val="FFFFFF"/>
                <w:kern w:val="0"/>
                <w:sz w:val="22"/>
                <w:szCs w:val="22"/>
                <w:lang w:val="en-US" w:eastAsia="en-US" w:bidi="ar-SA"/>
              </w:rPr>
              <w:t>Strategic objective/ critical factor Goals</w:t>
            </w:r>
          </w:p>
        </w:tc>
        <w:tc>
          <w:tcPr>
            <w:tcW w:w="1583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b/>
                <w:bCs/>
                <w:color w:themeColor="background1" w:val="FFFFFF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bCs/>
                <w:color w:themeColor="background1" w:val="FFFFFF"/>
                <w:kern w:val="0"/>
                <w:sz w:val="22"/>
                <w:szCs w:val="22"/>
                <w:lang w:val="en-US" w:eastAsia="en-US" w:bidi="ar-SA"/>
              </w:rPr>
              <w:t xml:space="preserve">Critical Factor Goals </w:t>
            </w:r>
          </w:p>
        </w:tc>
        <w:tc>
          <w:tcPr>
            <w:tcW w:w="1464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b/>
                <w:bCs/>
                <w:color w:themeColor="background1" w:val="FFFFFF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bCs/>
                <w:color w:themeColor="background1" w:val="FFFFFF"/>
                <w:kern w:val="0"/>
                <w:sz w:val="22"/>
                <w:szCs w:val="22"/>
                <w:lang w:val="en-US" w:eastAsia="en-US" w:bidi="ar-SA"/>
              </w:rPr>
              <w:t>Efficiency objective / critical factors</w:t>
            </w:r>
          </w:p>
        </w:tc>
        <w:tc>
          <w:tcPr>
            <w:tcW w:w="1583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b/>
                <w:bCs/>
                <w:color w:themeColor="background1" w:val="FFFFFF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bCs/>
                <w:color w:themeColor="background1" w:val="FFFFFF"/>
                <w:kern w:val="0"/>
                <w:sz w:val="22"/>
                <w:szCs w:val="22"/>
                <w:lang w:val="en-US" w:eastAsia="en-US" w:bidi="ar-SA"/>
              </w:rPr>
              <w:t>Real time data platform modernization</w:t>
            </w:r>
          </w:p>
        </w:tc>
        <w:tc>
          <w:tcPr>
            <w:tcW w:w="1552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  <w:shd w:color="auto" w:fill="4F81BD" w:themeFill="accent1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b/>
                <w:bCs/>
                <w:color w:themeColor="background1" w:val="FFFFFF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bCs/>
                <w:color w:themeColor="background1" w:val="FFFFFF"/>
                <w:kern w:val="0"/>
                <w:sz w:val="22"/>
                <w:szCs w:val="22"/>
                <w:lang w:val="en-US" w:eastAsia="en-US" w:bidi="ar-SA"/>
              </w:rPr>
              <w:t xml:space="preserve">Back office process optimization 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54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val="en-US" w:eastAsia="en-US" w:bidi="ar-SA"/>
              </w:rPr>
              <w:t>Finance</w:t>
            </w:r>
          </w:p>
        </w:tc>
        <w:tc>
          <w:tcPr>
            <w:tcW w:w="1648" w:type="dxa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Increase revenue from parking operations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Reduce operational and labor costs through automation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Improve asset utilization (maximaze occupancy per square meter)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Enhance financial predictability via analytics and demand forecasting</w:t>
            </w:r>
          </w:p>
        </w:tc>
        <w:tc>
          <w:tcPr>
            <w:tcW w:w="1583" w:type="dxa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Increase overall revenue by 10-30% with dynamic pricing and higher occupancy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Reduce manual enforcement and staff costs by 20-40% via LPR automation.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Achieve &gt;= 90% peak-hour occupancy across the parking network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Operational cost reduction 20% by decreasing hardware downtime/ maintenance.</w:t>
            </w:r>
          </w:p>
        </w:tc>
        <w:tc>
          <w:tcPr>
            <w:tcW w:w="1464" w:type="dxa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0.2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0.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5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0.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7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0.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6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83" w:type="dxa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4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6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5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7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52" w:type="dxa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9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5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4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8</w:t>
            </w:r>
          </w:p>
        </w:tc>
      </w:tr>
      <w:tr>
        <w:trPr/>
        <w:tc>
          <w:tcPr>
            <w:tcW w:w="154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val="en-US" w:eastAsia="en-US" w:bidi="ar-SA"/>
              </w:rPr>
              <w:t>Customer / Stakeholder</w:t>
            </w:r>
          </w:p>
        </w:tc>
        <w:tc>
          <w:tcPr>
            <w:tcW w:w="164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Improve user satisfaction throught frictionless parking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Reduce parking search time&amp; congestion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Increase trust in real-timeavailable accuracy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Ensure safety, accessibility and regulatory aligment for city stakeholders</w:t>
            </w:r>
          </w:p>
        </w:tc>
        <w:tc>
          <w:tcPr>
            <w:tcW w:w="158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Maintain app satisfaction at &gt;=4.5 stars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Reduce time to park by 40-60% using guidance and predictions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Deliver real_time availability accuracy of &gt;=98%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&gt;= 95% satisfaction rating from municipalityies or property managers</w:t>
            </w:r>
          </w:p>
        </w:tc>
        <w:tc>
          <w:tcPr>
            <w:tcW w:w="146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0.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7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0.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4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0.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8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</w:t>
            </w:r>
          </w:p>
        </w:tc>
        <w:tc>
          <w:tcPr>
            <w:tcW w:w="158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6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5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6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9</w:t>
            </w:r>
          </w:p>
        </w:tc>
        <w:tc>
          <w:tcPr>
            <w:tcW w:w="155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7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4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8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7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54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val="en-US" w:eastAsia="en-US" w:bidi="ar-SA"/>
              </w:rPr>
              <w:t>Internal process</w:t>
            </w:r>
          </w:p>
        </w:tc>
        <w:tc>
          <w:tcPr>
            <w:tcW w:w="1648" w:type="dxa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 xml:space="preserve">Ensure reilble real-time data collection and processing  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Maximize system uptime (hardware +software)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Automate enforcement and operations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Optimize parking flow through AI routing &amp; predictions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Maintaining high cybersecurity &amp; privacy standards</w:t>
            </w:r>
          </w:p>
        </w:tc>
        <w:tc>
          <w:tcPr>
            <w:tcW w:w="1583" w:type="dxa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End to end data latency &lt; 2 seconds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Overall system uptime &gt;= 99.9%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LPR accuracy &gt;= 95% in all conditions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 xml:space="preserve">Predictive models for occupancy &gt;= 90% accurancy 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100% compliance with GDPR/CCPA + encrypted data flows</w:t>
            </w:r>
          </w:p>
        </w:tc>
        <w:tc>
          <w:tcPr>
            <w:tcW w:w="1464" w:type="dxa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0.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3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0.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2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0.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7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0.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6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0.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7</w:t>
            </w:r>
          </w:p>
        </w:tc>
        <w:tc>
          <w:tcPr>
            <w:tcW w:w="1583" w:type="dxa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6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5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6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7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3</w:t>
            </w:r>
          </w:p>
        </w:tc>
        <w:tc>
          <w:tcPr>
            <w:tcW w:w="1552" w:type="dxa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6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7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8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9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6</w:t>
            </w:r>
          </w:p>
        </w:tc>
      </w:tr>
      <w:tr>
        <w:trPr/>
        <w:tc>
          <w:tcPr>
            <w:tcW w:w="154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val="en-US" w:eastAsia="en-US" w:bidi="ar-SA"/>
              </w:rPr>
              <w:t>Partners</w:t>
            </w:r>
          </w:p>
        </w:tc>
        <w:tc>
          <w:tcPr>
            <w:tcW w:w="164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Build strong relationships with technology vendors(sensor, cameras etc.)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Strengthen collaboration with municipalities &amp; parking operators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Ensure high_quality installation &amp; maintenance services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Enable interoperability via APIs and standards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Create long-term, mutually beneficial partnerships</w:t>
            </w:r>
          </w:p>
        </w:tc>
        <w:tc>
          <w:tcPr>
            <w:tcW w:w="158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Vendor |SLA compliance &gt;=99%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Reduce hardware installation time by 30%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Achived 95% partner satisfaction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Ensure 100% compatibility with major smart-city APIs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Reduce  maintenance response time to &lt; 24 hours via partner coordination</w:t>
            </w:r>
          </w:p>
        </w:tc>
        <w:tc>
          <w:tcPr>
            <w:tcW w:w="146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0.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6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0.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5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0.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9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0.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6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0.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5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0.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4</w:t>
            </w:r>
          </w:p>
        </w:tc>
        <w:tc>
          <w:tcPr>
            <w:tcW w:w="158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5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3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7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5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3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4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5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6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7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9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7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5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2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54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val="en-US" w:eastAsia="en-US" w:bidi="ar-SA"/>
              </w:rPr>
              <w:t>Employee</w:t>
            </w:r>
          </w:p>
        </w:tc>
        <w:tc>
          <w:tcPr>
            <w:tcW w:w="1648" w:type="dxa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Build a skilled, motivated workforce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Improve employee productivity through tools &amp; automation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Encourage innovation and continuous improvement culture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Increase engagement and retention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 xml:space="preserve">Ensure safety, compliance and technical readiness 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 xml:space="preserve"> </w:t>
            </w:r>
          </w:p>
        </w:tc>
        <w:tc>
          <w:tcPr>
            <w:tcW w:w="1583" w:type="dxa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Provide ongoing training -&gt; min. 20 hours per employee per year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Employee satisfaction score &gt;= 85%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Reduce employee turnover by 15-30%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Skill certification: 90% of tech staff certified in system operation</w:t>
            </w:r>
          </w:p>
        </w:tc>
        <w:tc>
          <w:tcPr>
            <w:tcW w:w="1464" w:type="dxa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0.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6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0.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8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0.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9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0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0.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3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83" w:type="dxa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6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5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6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7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6</w:t>
            </w:r>
          </w:p>
        </w:tc>
        <w:tc>
          <w:tcPr>
            <w:tcW w:w="1552" w:type="dxa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5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7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8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7</w:t>
            </w:r>
          </w:p>
        </w:tc>
      </w:tr>
      <w:tr>
        <w:trPr/>
        <w:tc>
          <w:tcPr>
            <w:tcW w:w="154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val="en-US" w:eastAsia="en-US" w:bidi="ar-SA"/>
              </w:rPr>
              <w:t>Learning, inovations and development</w:t>
            </w:r>
          </w:p>
        </w:tc>
        <w:tc>
          <w:tcPr>
            <w:tcW w:w="164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Foster continuous AI model improvement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Increase staff AI/tech competency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Accelerate R&amp;D for new features  (dynamic pricing, autonomous valet, etc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Support scalability and adaptability  for smart_city integration</w:t>
            </w:r>
          </w:p>
        </w:tc>
        <w:tc>
          <w:tcPr>
            <w:tcW w:w="158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Update and retrain AI models quarterly with new sensor data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Train 80-100% of operational staff in AI system usage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Release 3-5 innovative features per years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System scales to 100K+ spaces without performance degradation</w:t>
            </w:r>
          </w:p>
        </w:tc>
        <w:tc>
          <w:tcPr>
            <w:tcW w:w="146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0.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3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0.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4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0.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6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0.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7</w:t>
            </w:r>
          </w:p>
        </w:tc>
        <w:tc>
          <w:tcPr>
            <w:tcW w:w="158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6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3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8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9</w:t>
            </w:r>
          </w:p>
        </w:tc>
        <w:tc>
          <w:tcPr>
            <w:tcW w:w="155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6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2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7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6</w:t>
            </w:r>
            <w:bookmarkStart w:id="0" w:name="_GoBack"/>
            <w:bookmarkEnd w:id="0"/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545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648" w:type="dxa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83" w:type="dxa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464" w:type="dxa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83" w:type="dxa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52" w:type="dxa"/>
            <w:tcBorders/>
            <w:shd w:color="auto" w:fill="DBE5F1" w:themeFill="accen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c23eb7"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d63525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GridTable4-Accent1">
    <w:name w:val="Grid Table 4 Accent 1"/>
    <w:basedOn w:val="TableNormal"/>
    <w:uiPriority w:val="49"/>
    <w:rsid w:val="00d63525"/>
    <w:pPr>
      <w:spacing w:after="0" w:line="240" w:lineRule="auto"/>
    </w:pPr>
    <w:tblPr>
      <w:tblStyleRowBandSize w:val="1"/>
      <w:tblStyleColBandSize w:val="1"/>
      <w:tblBorders>
        <w:top w:val="single" w:color="95B3D7" w:themeColor="accent1" w:themeTint="99" w:sz="4" w:space="0"/>
        <w:left w:val="single" w:color="95B3D7" w:themeColor="accent1" w:themeTint="99" w:sz="4" w:space="0"/>
        <w:bottom w:val="single" w:color="95B3D7" w:themeColor="accent1" w:themeTint="99" w:sz="4" w:space="0"/>
        <w:right w:val="single" w:color="95B3D7" w:themeColor="accent1" w:themeTint="99" w:sz="4" w:space="0"/>
        <w:insideH w:val="single" w:color="95B3D7" w:themeColor="accent1" w:themeTint="99" w:sz="4" w:space="0"/>
        <w:insideV w:val="single" w:color="95B3D7" w:themeColor="accent1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color="4F81BD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5</Pages>
  <Words>490</Words>
  <Characters>2807</Characters>
  <CharactersWithSpaces>3158</CharactersWithSpaces>
  <Paragraphs>150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2025-12-05T15:19:00Z</dcterms:created>
  <dc:creator>Windows User</dc:creator>
  <dc:description/>
  <dc:language>en-US</dc:language>
  <cp:lastModifiedBy/>
  <dcterms:modified xsi:type="dcterms:W3CDTF">2025-12-12T15:35:03Z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