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Huajuapan de Leon Oaxaca (I Delegación)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vamos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66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No prende / No inicia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escaner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>d</w:t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>dd</w:t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>dd</w:t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