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AUXILIAR,  BANCARIA, INDUSTRIAL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 xml:space="preserve">NO. DE PEDIDO___________RECURSO___________________________ </w:t>
      </w:r>
      <w:bookmarkStart w:id="0" w:name="_GoBack"/>
      <w:bookmarkEnd w:id="0"/>
      <w:r w:rsidRPr="002F32D2">
        <w:rPr>
          <w:sz w:val="21"/>
          <w:lang w:val="es-MX"/>
        </w:rPr>
        <w:t>FOLIO__________________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27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2017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Recursos Humanos Recursos Humanos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Botellon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Botellon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spacing w:line="259" w:lineRule="auto"/>
        <w:ind w:left="15"/>
      </w:pPr>
      <w:r>
        <w:t>MIGUEL PACHECO 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2F32D2"/>
    <w:rsid w:val="00387D7D"/>
    <w:rsid w:val="004903D0"/>
    <w:rsid w:val="00670BDD"/>
    <w:rsid w:val="008636BD"/>
    <w:rsid w:val="00CD3C74"/>
    <w:rsid w:val="00D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19B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9</cp:revision>
  <dcterms:created xsi:type="dcterms:W3CDTF">2017-03-14T16:15:00Z</dcterms:created>
  <dcterms:modified xsi:type="dcterms:W3CDTF">2017-03-27T15:17:00Z</dcterms:modified>
</cp:coreProperties>
</file>