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400"/>
        <w:ind/>
        <w:jc w:val="center"/>
        <w:rPr/>
      </w:pPr>
      <w:r>
        <w:rPr>
          <w:b/>
          <w:bCs/>
          <w:color w:val="0d9488"/>
          <w:spacing w:val="120"/>
          <w:sz w:val="20"/>
          <w:szCs w:val="20"/>
        </w:rPr>
        <w:t xml:space="preserve">CASO DE ESTUDIO</w:t>
      </w:r>
      <w:r/>
    </w:p>
    <w:p>
      <w:pPr>
        <w:pBdr/>
        <w:spacing w:after="60"/>
        <w:ind/>
        <w:jc w:val="center"/>
        <w:rPr/>
      </w:pPr>
      <w:r>
        <w:rPr>
          <w:b/>
          <w:bCs/>
          <w:color w:val="0f1f3d"/>
          <w:sz w:val="44"/>
          <w:szCs w:val="44"/>
        </w:rPr>
        <w:t xml:space="preserve">Meridian Distribuciones S.A.</w:t>
      </w:r>
      <w:r/>
    </w:p>
    <w:p>
      <w:pPr>
        <w:pBdr/>
        <w:spacing w:after="60"/>
        <w:ind/>
        <w:jc w:val="center"/>
        <w:rPr/>
      </w:pPr>
      <w:r>
        <w:rPr>
          <w:color w:val="334155"/>
        </w:rPr>
        <w:t xml:space="preserve">Modernización de infraestructura TI: cableado, soporte y Windows Server 2025</w:t>
      </w:r>
      <w:r/>
    </w:p>
    <w:p>
      <w:pPr>
        <w:pBdr>
          <w:bottom w:val="single" w:color="0d9488" w:sz="8" w:space="1"/>
        </w:pBdr>
        <w:spacing w:after="18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120"/>
        <w:gridCol w:w="6240"/>
      </w:tblGrid>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3120" w:type="dxa"/>
          </w:tcPr>
          <w:p>
            <w:pPr>
              <w:pBdr/>
              <w:spacing w:after="100"/>
              <w:ind/>
              <w:rPr/>
            </w:pPr>
            <w:r>
              <w:rPr>
                <w:b/>
                <w:bCs/>
                <w:color w:val="0f1f3d"/>
              </w:rPr>
              <w:t xml:space="preserve">Materia</w:t>
            </w:r>
            <w:r/>
          </w:p>
        </w:tc>
        <w:tc>
          <w:tcPr>
            <w:shd w:val="clear" w:color="auto" w:fill="f8fafc"/>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6240" w:type="dxa"/>
          </w:tcPr>
          <w:p>
            <w:pPr>
              <w:pBdr/>
              <w:spacing w:after="100"/>
              <w:ind/>
              <w:rPr/>
            </w:pPr>
            <w:r>
              <w:rPr>
                <w:color w:val="334155"/>
              </w:rPr>
              <w:t xml:space="preserve">Sistemas y Organizaciones</w:t>
            </w:r>
            <w:r/>
          </w:p>
        </w:tc>
      </w:tr>
      <w:tr>
        <w:trPr/>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3120" w:type="dxa"/>
          </w:tcPr>
          <w:p>
            <w:pPr>
              <w:pBdr/>
              <w:spacing w:after="100"/>
              <w:ind/>
              <w:rPr/>
            </w:pPr>
            <w:r>
              <w:rPr>
                <w:b/>
                <w:bCs/>
                <w:color w:val="0f1f3d"/>
              </w:rPr>
              <w:t xml:space="preserve">Temas evaluados</w:t>
            </w:r>
            <w:r/>
          </w:p>
        </w:tc>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6240" w:type="dxa"/>
          </w:tcPr>
          <w:p>
            <w:pPr>
              <w:pBdr/>
              <w:spacing w:after="100"/>
              <w:ind/>
              <w:rPr/>
            </w:pPr>
            <w:r>
              <w:rPr>
                <w:color w:val="334155"/>
              </w:rPr>
              <w:t xml:space="preserve">Planeación estratégica/táctica/operacional · Objetivos SMART · Plan TI · Fases · Alcance · Roles · FODA · SCRUM</w:t>
            </w:r>
            <w:r/>
          </w:p>
        </w:tc>
      </w:tr>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3120" w:type="dxa"/>
          </w:tcPr>
          <w:p>
            <w:pPr>
              <w:pBdr/>
              <w:spacing w:after="100"/>
              <w:ind/>
              <w:rPr/>
            </w:pPr>
            <w:r>
              <w:rPr>
                <w:b/>
                <w:bCs/>
                <w:color w:val="0f1f3d"/>
              </w:rPr>
              <w:t xml:space="preserve">Modalidad</w:t>
            </w:r>
            <w:r/>
          </w:p>
        </w:tc>
        <w:tc>
          <w:tcPr>
            <w:shd w:val="clear" w:color="auto" w:fill="f8fafc"/>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6240" w:type="dxa"/>
          </w:tcPr>
          <w:p>
            <w:pPr>
              <w:pBdr/>
              <w:spacing w:after="100"/>
              <w:ind/>
              <w:rPr/>
            </w:pPr>
            <w:r>
              <w:rPr>
                <w:color w:val="334155"/>
              </w:rPr>
              <w:t xml:space="preserve">Resolución individual — para entregar</w:t>
            </w:r>
            <w:r/>
          </w:p>
        </w:tc>
      </w:tr>
      <w:tr>
        <w:trPr/>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3120" w:type="dxa"/>
          </w:tcPr>
          <w:p>
            <w:pPr>
              <w:pBdr/>
              <w:spacing w:after="100"/>
              <w:ind/>
              <w:rPr/>
            </w:pPr>
            <w:r>
              <w:rPr>
                <w:b/>
                <w:bCs/>
                <w:color w:val="0f1f3d"/>
              </w:rPr>
              <w:t xml:space="preserve">Tiempo estimado</w:t>
            </w:r>
            <w:r/>
          </w:p>
        </w:tc>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6240" w:type="dxa"/>
          </w:tcPr>
          <w:p>
            <w:pPr>
              <w:pBdr/>
              <w:spacing w:after="100"/>
              <w:ind/>
              <w:rPr/>
            </w:pPr>
            <w:r>
              <w:rPr>
                <w:color w:val="334155"/>
              </w:rPr>
              <w:t xml:space="preserve">60–90 minutos</w:t>
            </w:r>
            <w:r/>
          </w:p>
        </w:tc>
      </w:tr>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3120" w:type="dxa"/>
          </w:tcPr>
          <w:p>
            <w:pPr>
              <w:pBdr/>
              <w:spacing w:after="100"/>
              <w:ind/>
              <w:rPr/>
            </w:pPr>
            <w:r>
              <w:rPr>
                <w:b/>
                <w:bCs/>
                <w:color w:val="0f1f3d"/>
              </w:rPr>
              <w:t xml:space="preserve">Nivel</w:t>
            </w:r>
            <w:r/>
          </w:p>
        </w:tc>
        <w:tc>
          <w:tcPr>
            <w:shd w:val="clear" w:color="auto" w:fill="f8fafc"/>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6240" w:type="dxa"/>
          </w:tcPr>
          <w:p>
            <w:pPr>
              <w:pBdr/>
              <w:spacing w:after="100"/>
              <w:ind/>
              <w:rPr/>
            </w:pPr>
            <w:r>
              <w:rPr>
                <w:color w:val="334155"/>
              </w:rPr>
              <w:t xml:space="preserve">Intermedio — se requiere justificar cada respuesta con conceptos de la materia y citas del caso</w:t>
            </w:r>
            <w:r/>
          </w:p>
        </w:tc>
      </w:tr>
    </w:tbl>
    <w:p>
      <w:pPr>
        <w:pBdr/>
        <w:spacing w:after="80"/>
        <w:ind/>
        <w:rPr/>
      </w:pPr>
      <w:r/>
      <w:r/>
    </w:p>
    <w:p>
      <w:pPr>
        <w:pBdr/>
        <w:spacing w:after="80"/>
        <w:ind/>
        <w:rPr/>
      </w:pPr>
      <w:r/>
      <w:r/>
    </w:p>
    <w:p>
      <w:pPr>
        <w:pBdr>
          <w:bottom w:val="single" w:color="e2e8f0" w:sz="8" w:space="1"/>
        </w:pBdr>
        <w:spacing w:after="180"/>
        <w:ind/>
        <w:rPr/>
      </w:pPr>
      <w:r/>
      <w:r/>
    </w:p>
    <w:p>
      <w:pPr>
        <w:pStyle w:val="730"/>
        <w:pBdr/>
        <w:spacing w:after="120" w:before="240"/>
        <w:ind/>
        <w:rPr/>
      </w:pPr>
      <w:r>
        <w:t xml:space="preserve">Contexto: Meridian Distribuciones S.A.</w:t>
      </w:r>
      <w:r/>
    </w:p>
    <w:p>
      <w:pPr>
        <w:pBdr/>
        <w:spacing w:after="100"/>
        <w:ind/>
        <w:rPr/>
      </w:pPr>
      <w:r>
        <w:rPr>
          <w:color w:val="334155"/>
        </w:rPr>
        <w:t xml:space="preserve">El año es 2025. </w:t>
      </w:r>
      <w:r>
        <w:rPr>
          <w:b/>
          <w:bCs/>
          <w:color w:val="0f1f3d"/>
        </w:rPr>
        <w:t xml:space="preserve">Meridian Distribuciones S.A.</w:t>
      </w:r>
      <w:r>
        <w:rPr>
          <w:color w:val="334155"/>
        </w:rPr>
        <w:t xml:space="preserve"> es una empresa de logística y distribución mayorista con sede central en Buenos Aires (Palermo) y dos sucursales: Rosario y Córdoba. Tiene 180 empleados, 60 de ellos en el área administrativa y el resto en depósitos y logística.</w:t>
      </w:r>
      <w:r/>
    </w:p>
    <w:p>
      <w:pPr>
        <w:pBdr/>
        <w:spacing w:after="80"/>
        <w:ind/>
        <w:rPr/>
      </w:pPr>
      <w:r/>
      <w:r/>
    </w:p>
    <w:p>
      <w:pPr>
        <w:pBdr/>
        <w:spacing w:after="100"/>
        <w:ind/>
        <w:rPr/>
      </w:pPr>
      <w:r>
        <w:rPr>
          <w:color w:val="334155"/>
          <w:highlight w:val="yellow"/>
        </w:rPr>
        <w:t xml:space="preserve">La empresa lleva 12 años operando sobre una infraestructura TI que nadie actualizó de manera planificada</w:t>
      </w:r>
      <w:r>
        <w:rPr>
          <w:color w:val="334155"/>
        </w:rPr>
        <w:t xml:space="preserve">. Los servidores corren </w:t>
      </w:r>
      <w:r>
        <w:rPr>
          <w:color w:val="334155"/>
          <w:highlight w:val="yellow"/>
        </w:rPr>
        <w:t xml:space="preserve">Windows Server 2008 </w:t>
      </w:r>
      <w:r>
        <w:rPr>
          <w:color w:val="334155"/>
        </w:rPr>
        <w:t xml:space="preserve">R2 (fuera de soporte desde enero 2020)</w:t>
      </w:r>
      <w:r>
        <w:rPr>
          <w:color w:val="334155"/>
        </w:rPr>
        <w:t xml:space="preserve">, el </w:t>
      </w:r>
      <w:r>
        <w:rPr>
          <w:color w:val="334155"/>
          <w:highlight w:val="yellow"/>
        </w:rPr>
        <w:t xml:space="preserve">cableado </w:t>
      </w:r>
      <w:r>
        <w:rPr>
          <w:color w:val="334155"/>
        </w:rPr>
        <w:t xml:space="preserve">estructurado fue instalado por contratistas distintos en distintos momentos </w:t>
      </w:r>
      <w:r>
        <w:rPr>
          <w:color w:val="334155"/>
          <w:highlight w:val="yellow"/>
        </w:rPr>
        <w:t xml:space="preserve">sin documentación ni normas unificadas, y el soporte técnico lo maneja un grupo de tres personas que responden consultas por WhatsApp personal y anotaciones en papel</w:t>
      </w:r>
      <w:r>
        <w:rPr>
          <w:color w:val="334155"/>
        </w:rPr>
        <w:t xml:space="preserve">.</w:t>
      </w:r>
      <w:r/>
    </w:p>
    <w:p>
      <w:pPr>
        <w:pBdr/>
        <w:spacing w:after="80"/>
        <w:ind/>
        <w:rPr/>
      </w:pPr>
      <w:r/>
      <w:r/>
    </w:p>
    <w:p>
      <w:pPr>
        <w:pBdr/>
        <w:spacing w:after="100"/>
        <w:ind/>
        <w:rPr/>
      </w:pPr>
      <w:r>
        <w:rPr>
          <w:color w:val="334155"/>
        </w:rPr>
        <w:t xml:space="preserve">En marzo de 2025, el directorio aprueba un presupuesto de USD 95.000 para modernizar toda la infraestructura. El objetivo declarado es </w:t>
      </w:r>
      <w:r>
        <w:rPr>
          <w:color w:val="334155"/>
          <w:highlight w:val="yellow"/>
        </w:rPr>
        <w:t xml:space="preserve">estar operativos con la nueva plataforma antes del cierre de ejercicio fiscal (31 de julio de 2025 — 5 meses).</w:t>
      </w:r>
      <w:r/>
    </w:p>
    <w:p>
      <w:pPr>
        <w:pBdr/>
        <w:spacing w:after="80"/>
        <w:ind/>
        <w:rPr/>
      </w:pPr>
      <w:r/>
      <w:r/>
    </w:p>
    <w:p>
      <w:pPr>
        <w:pStyle w:val="731"/>
        <w:pBdr/>
        <w:spacing w:after="100" w:before="200"/>
        <w:ind/>
        <w:rPr/>
      </w:pPr>
      <w:r>
        <w:t xml:space="preserve">El equipo de TI</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000"/>
        <w:gridCol w:w="6360"/>
      </w:tblGrid>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3000" w:type="dxa"/>
          </w:tcPr>
          <w:p>
            <w:pPr>
              <w:pBdr/>
              <w:spacing w:after="100"/>
              <w:ind/>
              <w:rPr/>
            </w:pPr>
            <w:r>
              <w:rPr>
                <w:b/>
                <w:bCs/>
                <w:color w:val="0f1f3d"/>
              </w:rPr>
              <w:t xml:space="preserve">Hernán Villalba</w:t>
            </w:r>
            <w:r/>
          </w:p>
        </w:tc>
        <w:tc>
          <w:tcPr>
            <w:shd w:val="clear" w:color="auto" w:fill="f8fafc"/>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6360" w:type="dxa"/>
          </w:tcPr>
          <w:p>
            <w:pPr>
              <w:pBdr/>
              <w:spacing w:after="100"/>
              <w:ind/>
              <w:rPr/>
            </w:pPr>
            <w:r>
              <w:rPr>
                <w:color w:val="334155"/>
              </w:rPr>
              <w:t xml:space="preserve">Gerente de TI (recién contratado). Ex-consultor de infraestructura en una firma externa. Conoce las mejores prácticas pero </w:t>
            </w:r>
            <w:r>
              <w:rPr>
                <w:color w:val="334155"/>
                <w:highlight w:val="yellow"/>
              </w:rPr>
              <w:t xml:space="preserve">nunca lideró un equipo interno de más de 2 personas</w:t>
            </w:r>
            <w:r>
              <w:rPr>
                <w:color w:val="334155"/>
              </w:rPr>
              <w:t xml:space="preserve">.</w:t>
            </w:r>
            <w:r/>
          </w:p>
        </w:tc>
      </w:tr>
      <w:tr>
        <w:trPr/>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3000" w:type="dxa"/>
          </w:tcPr>
          <w:p>
            <w:pPr>
              <w:pBdr/>
              <w:spacing w:after="100"/>
              <w:ind/>
              <w:rPr/>
            </w:pPr>
            <w:r>
              <w:rPr>
                <w:b/>
                <w:bCs/>
                <w:color w:val="0f1f3d"/>
              </w:rPr>
              <w:t xml:space="preserve">Federico "Fede" Paz</w:t>
            </w:r>
            <w:r/>
          </w:p>
        </w:tc>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6360" w:type="dxa"/>
          </w:tcPr>
          <w:p>
            <w:pPr>
              <w:pBdr/>
              <w:spacing w:after="100"/>
              <w:ind/>
              <w:rPr/>
            </w:pPr>
            <w:r>
              <w:rPr>
                <w:color w:val="334155"/>
              </w:rPr>
              <w:t xml:space="preserve">Administrador de servidores (sysadmin). 10 años en la empresa. Conoce cada byte de los servidores viejos. </w:t>
            </w:r>
            <w:r>
              <w:rPr>
                <w:color w:val="334155"/>
                <w:highlight w:val="yellow"/>
              </w:rPr>
              <w:t xml:space="preserve">Desconfía de los cambios y tiene resistencia pasiva a las nuevas tecnologías</w:t>
            </w:r>
            <w:r>
              <w:rPr>
                <w:color w:val="334155"/>
              </w:rPr>
              <w:t xml:space="preserve">.</w:t>
            </w:r>
            <w:r/>
          </w:p>
        </w:tc>
      </w:tr>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3000" w:type="dxa"/>
          </w:tcPr>
          <w:p>
            <w:pPr>
              <w:pBdr/>
              <w:spacing w:after="100"/>
              <w:ind/>
              <w:rPr/>
            </w:pPr>
            <w:r>
              <w:rPr>
                <w:b/>
                <w:bCs/>
                <w:color w:val="0f1f3d"/>
              </w:rPr>
              <w:t xml:space="preserve">Romina Castillo</w:t>
            </w:r>
            <w:r/>
          </w:p>
        </w:tc>
        <w:tc>
          <w:tcPr>
            <w:shd w:val="clear" w:color="auto" w:fill="f8fafc"/>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6360" w:type="dxa"/>
          </w:tcPr>
          <w:p>
            <w:pPr>
              <w:pBdr/>
              <w:spacing w:after="100"/>
              <w:ind/>
              <w:rPr/>
            </w:pPr>
            <w:r>
              <w:rPr>
                <w:color w:val="334155"/>
              </w:rPr>
              <w:t xml:space="preserve">Técnica de redes. Recién recibida como Técnica en Telecomunicaciones. Certificada en cableado estructurado (BICSI). Entusiasta y proactiva, pero </w:t>
            </w:r>
            <w:r>
              <w:rPr>
                <w:color w:val="334155"/>
                <w:highlight w:val="yellow"/>
              </w:rPr>
              <w:t xml:space="preserve">sin experiencia en proyectos grandes</w:t>
            </w:r>
            <w:r>
              <w:rPr>
                <w:color w:val="334155"/>
              </w:rPr>
              <w:t xml:space="preserve">.</w:t>
            </w:r>
            <w:r/>
          </w:p>
        </w:tc>
      </w:tr>
      <w:tr>
        <w:trPr/>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3000" w:type="dxa"/>
          </w:tcPr>
          <w:p>
            <w:pPr>
              <w:pBdr/>
              <w:spacing w:after="100"/>
              <w:ind/>
              <w:rPr/>
            </w:pPr>
            <w:r>
              <w:rPr>
                <w:b/>
                <w:bCs/>
                <w:color w:val="0f1f3d"/>
              </w:rPr>
              <w:t xml:space="preserve">Tomás Ferreyra</w:t>
            </w:r>
            <w:r/>
          </w:p>
        </w:tc>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6360" w:type="dxa"/>
          </w:tcPr>
          <w:p>
            <w:pPr>
              <w:pBdr/>
              <w:spacing w:after="100"/>
              <w:ind/>
              <w:rPr/>
            </w:pPr>
            <w:r>
              <w:rPr>
                <w:color w:val="334155"/>
              </w:rPr>
              <w:t xml:space="preserve">Líder de soporte técnico (Help Desk). Maneja un equipo de 3 técnicos de mesa de ayuda. </w:t>
            </w:r>
            <w:r>
              <w:rPr>
                <w:color w:val="334155"/>
                <w:highlight w:val="yellow"/>
              </w:rPr>
              <w:t xml:space="preserve">Acostumbrado al caos — no usa ningún sistema de tickets</w:t>
            </w:r>
            <w:r>
              <w:rPr>
                <w:color w:val="334155"/>
              </w:rPr>
              <w:t xml:space="preserve">.</w:t>
            </w:r>
            <w:r/>
          </w:p>
        </w:tc>
      </w:tr>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3000" w:type="dxa"/>
          </w:tcPr>
          <w:p>
            <w:pPr>
              <w:pBdr/>
              <w:spacing w:after="100"/>
              <w:ind/>
              <w:rPr/>
            </w:pPr>
            <w:r>
              <w:rPr>
                <w:b/>
                <w:bCs/>
                <w:color w:val="0f1f3d"/>
              </w:rPr>
              <w:t xml:space="preserve">CablePro S.R.L.</w:t>
            </w:r>
            <w:r/>
          </w:p>
        </w:tc>
        <w:tc>
          <w:tcPr>
            <w:shd w:val="clear" w:color="auto" w:fill="f8fafc"/>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6360" w:type="dxa"/>
          </w:tcPr>
          <w:p>
            <w:pPr>
              <w:pBdr/>
              <w:spacing w:after="100"/>
              <w:ind/>
              <w:rPr/>
            </w:pPr>
            <w:r>
              <w:rPr>
                <w:color w:val="334155"/>
              </w:rPr>
              <w:t xml:space="preserve">Empresa contratista especializada en cableado estructurado. Contratada para instalar cableado Cat 6A en las tres sedes. Su contacto principal es el técnico Ariel Soto.</w:t>
            </w:r>
            <w:r/>
          </w:p>
        </w:tc>
      </w:tr>
    </w:tbl>
    <w:p>
      <w:pPr>
        <w:pBdr/>
        <w:spacing w:after="80"/>
        <w:ind/>
        <w:rPr/>
      </w:pPr>
      <w:r/>
      <w:r/>
    </w:p>
    <w:p>
      <w:pPr>
        <w:pBdr/>
        <w:spacing w:after="80"/>
        <w:ind/>
        <w:rPr/>
      </w:pPr>
      <w:r/>
      <w:r/>
    </w:p>
    <w:p>
      <w:pPr>
        <w:pBdr>
          <w:bottom w:val="single" w:color="e2e8f0" w:sz="8" w:space="1"/>
        </w:pBdr>
        <w:spacing w:after="180"/>
        <w:ind/>
        <w:rPr/>
      </w:pPr>
      <w:r/>
      <w:r/>
    </w:p>
    <w:p>
      <w:pPr>
        <w:pStyle w:val="730"/>
        <w:pBdr/>
        <w:spacing w:after="120" w:before="240"/>
        <w:ind/>
        <w:rPr/>
      </w:pPr>
      <w:r>
        <w:t xml:space="preserve">Cronología del proyecto</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2"/>
        <w:gridCol w:w="9218"/>
      </w:tblGrid>
      <w:tr>
        <w:trPr/>
        <w:tc>
          <w:tcPr>
            <w:gridSpan w:val="2"/>
            <w:shd w:val="clear" w:color="auto" w:fill="0d9488"/>
            <w:tcBorders>
              <w:top w:val="single" w:color="0d9488" w:sz="1" w:space="0"/>
              <w:left w:val="single" w:color="0d9488" w:sz="1" w:space="0"/>
              <w:bottom w:val="single" w:color="0d9488" w:sz="1" w:space="0"/>
              <w:right w:val="single" w:color="0d9488" w:sz="1" w:space="0"/>
            </w:tcBorders>
            <w:tcMar>
              <w:left w:w="160" w:type="dxa"/>
              <w:top w:w="80" w:type="dxa"/>
              <w:right w:w="120" w:type="dxa"/>
              <w:bottom w:w="80" w:type="dxa"/>
            </w:tcMar>
            <w:tcW w:w="9360" w:type="dxa"/>
          </w:tcPr>
          <w:p>
            <w:pPr>
              <w:pBdr/>
              <w:spacing w:after="100"/>
              <w:ind/>
              <w:rPr/>
            </w:pPr>
            <w:r>
              <w:rPr>
                <w:b/>
                <w:bCs/>
                <w:color w:val="ffffff"/>
              </w:rPr>
              <w:t xml:space="preserve">Marzo 2025 — Arranque del proyecto</w:t>
            </w:r>
            <w:r/>
          </w:p>
        </w:tc>
      </w:tr>
      <w:tr>
        <w:trPr>
          <w:gridBefore w:val="1"/>
        </w:trPr>
        <w:tc>
          <w:tcPr>
            <w:shd w:val="clear" w:color="auto" w:fill="f0fdfa"/>
            <w:tcBorders>
              <w:top w:val="single" w:color="0d9488" w:sz="1" w:space="0"/>
              <w:left w:val="single" w:color="0d9488" w:sz="1" w:space="0"/>
              <w:bottom w:val="single" w:color="0d9488" w:sz="1" w:space="0"/>
              <w:right w:val="single" w:color="0d9488" w:sz="1" w:space="0"/>
            </w:tcBorders>
            <w:tcMar>
              <w:left w:w="200" w:type="dxa"/>
              <w:top w:w="120" w:type="dxa"/>
              <w:right w:w="160" w:type="dxa"/>
              <w:bottom w:w="120" w:type="dxa"/>
            </w:tcMar>
            <w:tcW w:w="9218" w:type="dxa"/>
          </w:tcPr>
          <w:p>
            <w:pPr>
              <w:pBdr/>
              <w:spacing w:after="100"/>
              <w:ind/>
              <w:rPr/>
            </w:pPr>
            <w:r>
              <w:rPr>
                <w:color w:val="334155"/>
              </w:rPr>
              <w:t xml:space="preserve">Hernán asume como Gerente de TI el 3 de marzo. Su primera semana la dedica a recorrer la empresa y hablar con el equipo. Lo que encuentra es preocupante: </w:t>
            </w:r>
            <w:r>
              <w:rPr>
                <w:b/>
                <w:bCs/>
                <w:color w:val="0f1f3d"/>
                <w:highlight w:val="yellow"/>
              </w:rPr>
              <w:t xml:space="preserve">no existe un inventario de equipos actualizado</w:t>
            </w:r>
            <w:r>
              <w:rPr>
                <w:color w:val="334155"/>
              </w:rPr>
              <w:t xml:space="preserve">, los </w:t>
            </w:r>
            <w:r>
              <w:rPr>
                <w:color w:val="334155"/>
                <w:highlight w:val="yellow"/>
              </w:rPr>
              <w:t xml:space="preserve">switches del rack están conectados sin documentación de puertos</w:t>
            </w:r>
            <w:r>
              <w:rPr>
                <w:color w:val="334155"/>
              </w:rPr>
              <w:t xml:space="preserve">, y los tres servidores físicos que sostienen toda la operación </w:t>
            </w:r>
            <w:r>
              <w:rPr>
                <w:color w:val="334155"/>
                <w:highlight w:val="yellow"/>
              </w:rPr>
              <w:t xml:space="preserve">comparten un UPS doméstico de 1400 VA</w:t>
            </w:r>
            <w:r>
              <w:rPr>
                <w:color w:val="334155"/>
              </w:rPr>
              <w:t xml:space="preserve">.</w:t>
            </w:r>
            <w:r/>
          </w:p>
          <w:p>
            <w:pPr>
              <w:pBdr/>
              <w:spacing w:after="80"/>
              <w:ind/>
              <w:rPr/>
            </w:pPr>
            <w:r/>
            <w:r/>
          </w:p>
          <w:p>
            <w:pPr>
              <w:pBdr/>
              <w:spacing w:after="100"/>
              <w:ind/>
              <w:rPr/>
            </w:pPr>
            <w:r>
              <w:rPr>
                <w:color w:val="334155"/>
              </w:rPr>
              <w:t xml:space="preserve">Hernán convoca una reunión con Fede, Romina y Tomás. </w:t>
            </w:r>
            <w:r>
              <w:rPr>
                <w:color w:val="334155"/>
                <w:highlight w:val="yellow"/>
              </w:rPr>
              <w:t xml:space="preserve">Las decisiones tomadas en esa reunión, de manera verbal y </w:t>
            </w:r>
            <w:r>
              <w:rPr>
                <w:color w:val="334155"/>
                <w:highlight w:val="red"/>
              </w:rPr>
              <w:t xml:space="preserve">sin acta</w:t>
            </w:r>
            <w:r>
              <w:rPr>
                <w:color w:val="334155"/>
              </w:rPr>
              <w:t xml:space="preserve">, son:</w:t>
            </w:r>
            <w:r/>
          </w:p>
          <w:p>
            <w:pPr>
              <w:pStyle w:val="757"/>
              <w:numPr>
                <w:ilvl w:val="0"/>
                <w:numId w:val="2"/>
              </w:numPr>
              <w:pBdr/>
              <w:spacing w:after="80"/>
              <w:ind/>
              <w:contextualSpacing w:val="false"/>
              <w:rPr/>
            </w:pPr>
            <w:r>
              <w:rPr>
                <w:color w:val="334155"/>
              </w:rPr>
              <w:t xml:space="preserve">CablePro comenzará el cableado Cat 6A en Buenos Aires en la primera semana de abril.</w:t>
            </w:r>
            <w:r/>
          </w:p>
          <w:p>
            <w:pPr>
              <w:pStyle w:val="757"/>
              <w:numPr>
                <w:ilvl w:val="0"/>
                <w:numId w:val="2"/>
              </w:numPr>
              <w:pBdr/>
              <w:spacing w:after="80"/>
              <w:ind/>
              <w:contextualSpacing w:val="false"/>
              <w:rPr/>
            </w:pPr>
            <w:r>
              <w:rPr>
                <w:color w:val="334155"/>
              </w:rPr>
              <w:t xml:space="preserve">Fede hará el pedido de licencias de Windows Server 2025 y del hardware de servidores.</w:t>
            </w:r>
            <w:r/>
          </w:p>
          <w:p>
            <w:pPr>
              <w:pStyle w:val="757"/>
              <w:numPr>
                <w:ilvl w:val="0"/>
                <w:numId w:val="2"/>
              </w:numPr>
              <w:pBdr/>
              <w:spacing w:after="80"/>
              <w:ind/>
              <w:contextualSpacing w:val="false"/>
              <w:rPr/>
            </w:pPr>
            <w:r>
              <w:rPr>
                <w:color w:val="334155"/>
              </w:rPr>
              <w:t xml:space="preserve">Romina será responsable del relevamiento de cableado en Rosario y Córdoba.</w:t>
            </w:r>
            <w:r/>
          </w:p>
          <w:p>
            <w:pPr>
              <w:pStyle w:val="757"/>
              <w:numPr>
                <w:ilvl w:val="0"/>
                <w:numId w:val="2"/>
              </w:numPr>
              <w:pBdr/>
              <w:spacing w:after="80"/>
              <w:ind/>
              <w:contextualSpacing w:val="false"/>
              <w:rPr/>
            </w:pPr>
            <w:r>
              <w:rPr>
                <w:color w:val="334155"/>
              </w:rPr>
              <w:t xml:space="preserve">Tomás implementará un sistema de tickets (Freshdesk) para el equipo de soporte.</w:t>
            </w:r>
            <w:r/>
          </w:p>
          <w:p>
            <w:pPr>
              <w:pBdr/>
              <w:spacing w:after="80"/>
              <w:ind/>
              <w:rPr/>
            </w:pPr>
            <w:r/>
            <w:r/>
          </w:p>
          <w:p>
            <w:pPr>
              <w:pBdr/>
              <w:spacing w:after="100"/>
              <w:ind/>
              <w:rPr/>
            </w:pPr>
            <w:r>
              <w:rPr>
                <w:b/>
                <w:bCs/>
                <w:color w:val="e11d48"/>
                <w:highlight w:val="yellow"/>
              </w:rPr>
              <w:t xml:space="preserve">Lo que NO se hace en marzo:</w:t>
            </w:r>
            <w:r>
              <w:rPr>
                <w:color w:val="334155"/>
                <w:highlight w:val="yellow"/>
              </w:rPr>
              <w:t xml:space="preserve"> definir un documento de alcance, crear un cronograma formal, asignar presupuesto por tarea, regis</w:t>
            </w:r>
            <w:r>
              <w:rPr>
                <w:color w:val="334155"/>
                <w:highlight w:val="yellow"/>
              </w:rPr>
              <w:t xml:space="preserve">trar riesgos ni establecer criterios de éxito</w:t>
            </w:r>
            <w:r>
              <w:rPr>
                <w:color w:val="334155"/>
              </w:rPr>
              <w:t xml:space="preserve">.</w:t>
            </w:r>
            <w:r/>
          </w:p>
        </w:tc>
      </w:tr>
    </w:tbl>
    <w:p>
      <w:pPr>
        <w:pBdr/>
        <w:spacing w:after="80"/>
        <w:ind/>
        <w:rPr/>
      </w:pPr>
      <w:r/>
      <w:r/>
    </w:p>
    <w:p>
      <w:pPr>
        <w:pBdr/>
        <w:spacing w:after="8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360"/>
      </w:tblGrid>
      <w:tr>
        <w:trPr/>
        <w:tc>
          <w:tcPr>
            <w:shd w:val="clear" w:color="auto" w:fill="d97706"/>
            <w:tcBorders>
              <w:top w:val="single" w:color="d97706" w:sz="1" w:space="0"/>
              <w:left w:val="single" w:color="d97706" w:sz="1" w:space="0"/>
              <w:bottom w:val="single" w:color="d97706" w:sz="1" w:space="0"/>
              <w:right w:val="single" w:color="d97706" w:sz="1" w:space="0"/>
            </w:tcBorders>
            <w:tcMar>
              <w:left w:w="160" w:type="dxa"/>
              <w:top w:w="80" w:type="dxa"/>
              <w:right w:w="120" w:type="dxa"/>
              <w:bottom w:w="80" w:type="dxa"/>
            </w:tcMar>
            <w:tcW w:w="9360" w:type="dxa"/>
          </w:tcPr>
          <w:p>
            <w:pPr>
              <w:pBdr/>
              <w:spacing w:after="100"/>
              <w:ind/>
              <w:rPr/>
            </w:pPr>
            <w:r>
              <w:rPr>
                <w:b/>
                <w:bCs/>
                <w:color w:val="ffffff"/>
              </w:rPr>
              <w:t xml:space="preserve">Abril 2025 — El cableado empieza y los problemas aparecen</w:t>
            </w:r>
            <w:r/>
          </w:p>
        </w:tc>
      </w:tr>
      <w:tr>
        <w:trPr/>
        <w:tc>
          <w:tcPr>
            <w:shd w:val="clear" w:color="auto" w:fill="fef3c7"/>
            <w:tcBorders>
              <w:top w:val="single" w:color="d97706" w:sz="1" w:space="0"/>
              <w:left w:val="single" w:color="d97706" w:sz="1" w:space="0"/>
              <w:bottom w:val="single" w:color="d97706" w:sz="1" w:space="0"/>
              <w:right w:val="single" w:color="d97706" w:sz="1" w:space="0"/>
            </w:tcBorders>
            <w:tcMar>
              <w:left w:w="200" w:type="dxa"/>
              <w:top w:w="120" w:type="dxa"/>
              <w:right w:w="160" w:type="dxa"/>
              <w:bottom w:w="120" w:type="dxa"/>
            </w:tcMar>
            <w:tcW w:w="9360" w:type="dxa"/>
          </w:tcPr>
          <w:p>
            <w:pPr>
              <w:pBdr/>
              <w:spacing w:after="100"/>
              <w:ind/>
              <w:rPr/>
            </w:pPr>
            <w:r>
              <w:rPr>
                <w:color w:val="334155"/>
              </w:rPr>
              <w:t xml:space="preserve">CablePro inicia los trabajos en la sede de Buenos Aires el 7 de abril. A los tres días, </w:t>
            </w:r>
            <w:r>
              <w:rPr>
                <w:color w:val="334155"/>
              </w:rPr>
              <w:t xml:space="preserve">el técnico Ariel Soto llama a Hernán para reportar que las bandejas portacables existentes no tienen capacidad para el volumen de cables Cat 6A planificado. </w:t>
            </w:r>
            <w:r>
              <w:rPr>
                <w:color w:val="334155"/>
                <w:highlight w:val="yellow"/>
              </w:rPr>
              <w:t xml:space="preserve">Hacen falta bandejas nuevas y dos días adicionales de obra. Esto no estaba en el contrato original</w:t>
            </w:r>
            <w:r>
              <w:rPr>
                <w:color w:val="334155"/>
              </w:rPr>
              <w:t xml:space="preserve">.</w:t>
            </w:r>
            <w:r/>
          </w:p>
          <w:p>
            <w:pPr>
              <w:pBdr/>
              <w:spacing w:after="80"/>
              <w:ind/>
              <w:rPr/>
            </w:pPr>
            <w:r/>
            <w:r/>
          </w:p>
          <w:p>
            <w:pPr>
              <w:pBdr/>
              <w:spacing w:after="100"/>
              <w:ind/>
              <w:rPr/>
            </w:pPr>
            <w:r>
              <w:rPr>
                <w:b/>
                <w:bCs/>
                <w:color w:val="e11d48"/>
              </w:rPr>
              <w:t xml:space="preserve">El problema de las licencias:</w:t>
            </w:r>
            <w:r>
              <w:rPr>
                <w:color w:val="334155"/>
              </w:rPr>
              <w:t xml:space="preserve"> Fede envía el pedido de licencias de Windows Server 2025 a proveedores. </w:t>
            </w:r>
            <w:r>
              <w:rPr>
                <w:color w:val="334155"/>
                <w:highlight w:val="yellow"/>
              </w:rPr>
              <w:t xml:space="preserve">Compra </w:t>
            </w:r>
            <w:r>
              <w:rPr>
                <w:b/>
                <w:bCs/>
                <w:color w:val="0f1f3d"/>
                <w:highlight w:val="yellow"/>
              </w:rPr>
              <w:t xml:space="preserve">licencias Datacenter en lugar de Standard</w:t>
            </w:r>
            <w:r>
              <w:rPr>
                <w:color w:val="334155"/>
                <w:highlight w:val="yellow"/>
              </w:rPr>
              <w:t xml:space="preserve"> para los tres servidores físicos. El costo es 3 veces mayor al estimado</w:t>
            </w:r>
            <w:r>
              <w:rPr>
                <w:color w:val="334155"/>
              </w:rPr>
              <w:t xml:space="preserve">. Cuando Hernán lo descubre, Fede argumenta que 'Datacenter es mejor'. El error no se puede revertir fácilmente porque el proveedor ya procesó la orden.</w:t>
            </w:r>
            <w:r/>
          </w:p>
          <w:p>
            <w:pPr>
              <w:pBdr/>
              <w:spacing w:after="80"/>
              <w:ind/>
              <w:rPr/>
            </w:pPr>
            <w:r/>
            <w:r/>
          </w:p>
          <w:p>
            <w:pPr>
              <w:pBdr/>
              <w:spacing w:after="100"/>
              <w:ind/>
              <w:rPr/>
            </w:pPr>
            <w:r>
              <w:rPr>
                <w:color w:val="334155"/>
                <w:highlight w:val="yellow"/>
              </w:rPr>
              <w:t xml:space="preserve">Tomás intenta implementar Freshdesk pero descubre que el plan gratuito tiene límites que no alcanzan para 180 usuarios</w:t>
            </w:r>
            <w:r>
              <w:rPr>
                <w:color w:val="334155"/>
              </w:rPr>
              <w:t xml:space="preserve">. El plan pago cuesta USD 180/mes y no estaba contemplado en el presupuesto.</w:t>
            </w:r>
            <w:r/>
          </w:p>
          <w:p>
            <w:pPr>
              <w:pBdr/>
              <w:spacing w:after="80"/>
              <w:ind/>
              <w:rPr/>
            </w:pPr>
            <w:r/>
            <w:r/>
          </w:p>
          <w:p>
            <w:pPr>
              <w:pBdr/>
              <w:spacing w:after="100"/>
              <w:ind/>
              <w:rPr/>
            </w:pPr>
            <w:r>
              <w:rPr>
                <w:b/>
                <w:bCs/>
                <w:color w:val="d97706"/>
              </w:rPr>
              <w:t xml:space="preserve">Estado del presupuesto al 30 de abril:</w:t>
            </w:r>
            <w:r/>
          </w:p>
          <w:p>
            <w:pPr>
              <w:pStyle w:val="757"/>
              <w:numPr>
                <w:ilvl w:val="0"/>
                <w:numId w:val="2"/>
              </w:numPr>
              <w:pBdr/>
              <w:spacing w:after="80"/>
              <w:ind/>
              <w:contextualSpacing w:val="false"/>
              <w:rPr/>
            </w:pPr>
            <w:r>
              <w:rPr>
                <w:color w:val="334155"/>
              </w:rPr>
              <w:t xml:space="preserve">Licencias Windows Server 2025 Datacenter (x3): USD 18.400 (presupuestado: USD 6.200)</w:t>
            </w:r>
            <w:r/>
          </w:p>
          <w:p>
            <w:pPr>
              <w:pStyle w:val="757"/>
              <w:numPr>
                <w:ilvl w:val="0"/>
                <w:numId w:val="2"/>
              </w:numPr>
              <w:pBdr/>
              <w:spacing w:after="80"/>
              <w:ind/>
              <w:contextualSpacing w:val="false"/>
              <w:rPr/>
            </w:pPr>
            <w:r>
              <w:rPr>
                <w:color w:val="334155"/>
              </w:rPr>
              <w:t xml:space="preserve">Hardware servidores (x2 Dell PowerEdge R750): USD 28.600 (dentro del presupuesto)</w:t>
            </w:r>
            <w:r/>
          </w:p>
          <w:p>
            <w:pPr>
              <w:pStyle w:val="757"/>
              <w:numPr>
                <w:ilvl w:val="0"/>
                <w:numId w:val="2"/>
              </w:numPr>
              <w:pBdr/>
              <w:spacing w:after="80"/>
              <w:ind/>
              <w:contextualSpacing w:val="false"/>
              <w:rPr/>
            </w:pPr>
            <w:r>
              <w:rPr>
                <w:color w:val="334155"/>
              </w:rPr>
              <w:t xml:space="preserve">CablePro Buenos Aires + bandejas extra: USD 14.200 (presupuestado: USD 11.000)</w:t>
            </w:r>
            <w:r/>
          </w:p>
          <w:p>
            <w:pPr>
              <w:pStyle w:val="757"/>
              <w:numPr>
                <w:ilvl w:val="0"/>
                <w:numId w:val="2"/>
              </w:numPr>
              <w:pBdr/>
              <w:spacing w:after="80"/>
              <w:ind/>
              <w:contextualSpacing w:val="false"/>
              <w:rPr/>
            </w:pPr>
            <w:r>
              <w:rPr>
                <w:color w:val="334155"/>
              </w:rPr>
              <w:t xml:space="preserve">Presupuesto total restante: USD 33.800 para cubrir Rosario, Córdoba, Freshdesk y contingencia</w:t>
            </w:r>
            <w:r/>
          </w:p>
        </w:tc>
      </w:tr>
    </w:tbl>
    <w:p>
      <w:pPr>
        <w:pBdr/>
        <w:spacing w:after="8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360"/>
      </w:tblGrid>
      <w:tr>
        <w:trPr/>
        <w:tc>
          <w:tcPr>
            <w:shd w:val="clear" w:color="auto" w:fill="e11d48"/>
            <w:tcBorders>
              <w:top w:val="single" w:color="e11d48" w:sz="1" w:space="0"/>
              <w:left w:val="single" w:color="e11d48" w:sz="1" w:space="0"/>
              <w:bottom w:val="single" w:color="e11d48" w:sz="1" w:space="0"/>
              <w:right w:val="single" w:color="e11d48" w:sz="1" w:space="0"/>
            </w:tcBorders>
            <w:tcMar>
              <w:left w:w="160" w:type="dxa"/>
              <w:top w:w="80" w:type="dxa"/>
              <w:right w:w="120" w:type="dxa"/>
              <w:bottom w:w="80" w:type="dxa"/>
            </w:tcMar>
            <w:tcW w:w="9360" w:type="dxa"/>
          </w:tcPr>
          <w:p>
            <w:pPr>
              <w:pBdr/>
              <w:spacing w:after="100"/>
              <w:ind/>
              <w:rPr/>
            </w:pPr>
            <w:r>
              <w:rPr>
                <w:b/>
                <w:bCs/>
                <w:color w:val="ffffff"/>
              </w:rPr>
              <w:t xml:space="preserve">Mayo 2025 — La crisis de infraestructura</w:t>
            </w:r>
            <w:r/>
          </w:p>
        </w:tc>
      </w:tr>
      <w:tr>
        <w:trPr/>
        <w:tc>
          <w:tcPr>
            <w:shd w:val="clear" w:color="auto" w:fill="ffe4e6"/>
            <w:tcBorders>
              <w:top w:val="single" w:color="e11d48" w:sz="1" w:space="0"/>
              <w:left w:val="single" w:color="e11d48" w:sz="1" w:space="0"/>
              <w:bottom w:val="single" w:color="e11d48" w:sz="1" w:space="0"/>
              <w:right w:val="single" w:color="e11d48" w:sz="1" w:space="0"/>
            </w:tcBorders>
            <w:tcMar>
              <w:left w:w="200" w:type="dxa"/>
              <w:top w:w="120" w:type="dxa"/>
              <w:right w:w="160" w:type="dxa"/>
              <w:bottom w:w="120" w:type="dxa"/>
            </w:tcMar>
            <w:tcW w:w="9360" w:type="dxa"/>
          </w:tcPr>
          <w:p>
            <w:pPr>
              <w:pBdr/>
              <w:spacing w:after="100"/>
              <w:ind/>
              <w:rPr/>
            </w:pPr>
            <w:r>
              <w:rPr>
                <w:color w:val="334155"/>
              </w:rPr>
              <w:t xml:space="preserve">Los dos servidores Dell PowerEdge R750 llegan a la sede de Buenos Aires. Al momento de instalarlos en el rack, Romina descubre que </w:t>
            </w:r>
            <w:r>
              <w:rPr>
                <w:b/>
                <w:bCs/>
                <w:color w:val="0f1f3d"/>
              </w:rPr>
              <w:t xml:space="preserve">el rack existente tiene 2U libres</w:t>
            </w:r>
            <w:r>
              <w:rPr>
                <w:color w:val="334155"/>
              </w:rPr>
              <w:t xml:space="preserve"> y cada </w:t>
            </w:r>
            <w:r>
              <w:rPr>
                <w:color w:val="334155"/>
              </w:rPr>
              <w:t xml:space="preserve">servidor ocupa 2U. Solo entra uno. El </w:t>
            </w:r>
            <w:r>
              <w:rPr>
                <w:color w:val="334155"/>
                <w:highlight w:val="yellow"/>
              </w:rPr>
              <w:t xml:space="preserve">segundo servidor no tiene dónde instalarse. Necesitan comprar o alquilar un rack adicional de 12U, lo que no estaba planificado</w:t>
            </w:r>
            <w:r>
              <w:rPr>
                <w:color w:val="334155"/>
              </w:rPr>
              <w:t xml:space="preserve">.</w:t>
            </w:r>
            <w:r/>
          </w:p>
          <w:p>
            <w:pPr>
              <w:pBdr/>
              <w:spacing w:after="80"/>
              <w:ind/>
              <w:rPr/>
            </w:pPr>
            <w:r/>
            <w:r/>
          </w:p>
          <w:p>
            <w:pPr>
              <w:pBdr/>
              <w:spacing w:after="100"/>
              <w:ind/>
              <w:rPr/>
            </w:pPr>
            <w:r>
              <w:rPr>
                <w:b/>
                <w:bCs/>
                <w:color w:val="e11d48"/>
              </w:rPr>
              <w:t xml:space="preserve">El desastre de Rosario:</w:t>
            </w:r>
            <w:r>
              <w:rPr>
                <w:color w:val="334155"/>
              </w:rPr>
              <w:t xml:space="preserve"> Romina viaja a Rosario para el relevamiento de cableado y encuentra que toda la red de la sucursal fue cableada hace 6 años por un empleado que ya </w:t>
            </w:r>
            <w:r>
              <w:rPr>
                <w:color w:val="334155"/>
              </w:rPr>
              <w:t xml:space="preserve">no trabaja en la empresa. </w:t>
            </w:r>
            <w:r>
              <w:rPr>
                <w:color w:val="334155"/>
                <w:highlight w:val="yellow"/>
              </w:rPr>
              <w:t xml:space="preserve">No hay documentación de tendido, no hay etiquetas en los cables, y varios puntos de red están conectados con cables Cat 5 sin blindaje pasados por el exterior de las paredes con precintos</w:t>
            </w:r>
            <w:r>
              <w:rPr>
                <w:color w:val="334155"/>
              </w:rPr>
              <w:t xml:space="preserve">. El cableado debe rehacerse completamente.</w:t>
            </w:r>
            <w:r/>
          </w:p>
          <w:p>
            <w:pPr>
              <w:pBdr/>
              <w:spacing w:after="80"/>
              <w:ind/>
              <w:rPr/>
            </w:pPr>
            <w:r/>
            <w:r/>
          </w:p>
          <w:p>
            <w:pPr>
              <w:pBdr/>
              <w:spacing w:after="100"/>
              <w:ind/>
              <w:rPr/>
            </w:pPr>
            <w:r>
              <w:rPr>
                <w:color w:val="334155"/>
              </w:rPr>
              <w:t xml:space="preserve">Durante las obras en Buenos Aires, el servidor viejo de Active Directory se reinicia solo</w:t>
            </w:r>
            <w:r>
              <w:rPr>
                <w:color w:val="334155"/>
              </w:rPr>
              <w:t xml:space="preserve"> dos veces en la misma semana. Los usuarios pierden acceso a carpetas compartidas durante 40 minutos cada vez. </w:t>
            </w:r>
            <w:r>
              <w:rPr>
                <w:color w:val="334155"/>
                <w:highlight w:val="yellow"/>
              </w:rPr>
              <w:t xml:space="preserve">El equipo de soporte de Tomás recibe 60 llamados en una hora pero sigue sin sistema de tickets — los técnicos no saben quién está atendiendo qué</w:t>
            </w:r>
            <w:r>
              <w:rPr>
                <w:color w:val="334155"/>
              </w:rPr>
              <w:t xml:space="preserve">.</w:t>
            </w:r>
            <w:r/>
          </w:p>
          <w:p>
            <w:pPr>
              <w:pBdr/>
              <w:spacing w:after="80"/>
              <w:ind/>
              <w:rPr/>
            </w:pPr>
            <w:r/>
            <w:r/>
          </w:p>
          <w:p>
            <w:pPr>
              <w:pBdr/>
              <w:spacing w:after="100"/>
              <w:ind/>
              <w:rPr/>
            </w:pPr>
            <w:r>
              <w:rPr>
                <w:b/>
                <w:bCs/>
                <w:color w:val="d97706"/>
              </w:rPr>
              <w:t xml:space="preserve">La resistencia de Fede:</w:t>
            </w:r>
            <w:r>
              <w:rPr>
                <w:color w:val="334155"/>
              </w:rPr>
              <w:t xml:space="preserve"> Fede se niega a apagar los s</w:t>
            </w:r>
            <w:r>
              <w:rPr>
                <w:color w:val="334155"/>
              </w:rPr>
              <w:t xml:space="preserve">ervidores viejos después de la migración. Propone mantenerlos encendidos 'por las dudas' durante 6 meses. Hernán argumenta que el UPS no aguanta la carga de los servidores viejos y los nuevos en simultáneo. El debate se extiende dos semanas sin resolución.</w:t>
            </w:r>
            <w:r/>
          </w:p>
        </w:tc>
      </w:tr>
    </w:tbl>
    <w:p>
      <w:pPr>
        <w:pBdr/>
        <w:spacing w:after="8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360"/>
      </w:tblGrid>
      <w:tr>
        <w:trPr/>
        <w:tc>
          <w:tcPr>
            <w:shd w:val="clear" w:color="auto" w:fill="15803d"/>
            <w:tcBorders>
              <w:top w:val="single" w:color="15803d" w:sz="1" w:space="0"/>
              <w:left w:val="single" w:color="15803d" w:sz="1" w:space="0"/>
              <w:bottom w:val="single" w:color="15803d" w:sz="1" w:space="0"/>
              <w:right w:val="single" w:color="15803d" w:sz="1" w:space="0"/>
            </w:tcBorders>
            <w:tcMar>
              <w:left w:w="160" w:type="dxa"/>
              <w:top w:w="80" w:type="dxa"/>
              <w:right w:w="120" w:type="dxa"/>
              <w:bottom w:w="80" w:type="dxa"/>
            </w:tcMar>
            <w:tcW w:w="9360" w:type="dxa"/>
          </w:tcPr>
          <w:p>
            <w:pPr>
              <w:pBdr/>
              <w:spacing w:after="100"/>
              <w:ind/>
              <w:rPr/>
            </w:pPr>
            <w:r>
              <w:rPr>
                <w:b/>
                <w:bCs/>
                <w:color w:val="ffffff"/>
              </w:rPr>
              <w:t xml:space="preserve">Junio 2025 — La reorganización</w:t>
            </w:r>
            <w:r/>
          </w:p>
        </w:tc>
      </w:tr>
      <w:tr>
        <w:trPr/>
        <w:tc>
          <w:tcPr>
            <w:shd w:val="clear" w:color="auto" w:fill="dcfce7"/>
            <w:tcBorders>
              <w:top w:val="single" w:color="15803d" w:sz="1" w:space="0"/>
              <w:left w:val="single" w:color="15803d" w:sz="1" w:space="0"/>
              <w:bottom w:val="single" w:color="15803d" w:sz="1" w:space="0"/>
              <w:right w:val="single" w:color="15803d" w:sz="1" w:space="0"/>
            </w:tcBorders>
            <w:tcMar>
              <w:left w:w="200" w:type="dxa"/>
              <w:top w:w="120" w:type="dxa"/>
              <w:right w:w="160" w:type="dxa"/>
              <w:bottom w:w="120" w:type="dxa"/>
            </w:tcMar>
            <w:tcW w:w="9360" w:type="dxa"/>
          </w:tcPr>
          <w:p>
            <w:pPr>
              <w:pBdr/>
              <w:spacing w:after="100"/>
              <w:ind/>
              <w:rPr/>
            </w:pPr>
            <w:r>
              <w:rPr>
                <w:color w:val="334155"/>
              </w:rPr>
              <w:t xml:space="preserve">Hernán convoca una reunión de emergencia el 2 de junio. Por primera vez, el equipo completo discute el estado real del proyecto con números. Hernán presenta un análisis de situación y propone tres cambios inmediatos:</w:t>
            </w:r>
            <w:r/>
          </w:p>
          <w:p>
            <w:pPr>
              <w:pStyle w:val="757"/>
              <w:numPr>
                <w:ilvl w:val="0"/>
                <w:numId w:val="3"/>
              </w:numPr>
              <w:pBdr/>
              <w:spacing w:after="80"/>
              <w:ind/>
              <w:contextualSpacing w:val="false"/>
              <w:rPr/>
            </w:pPr>
            <w:r>
              <w:rPr>
                <w:color w:val="334155"/>
                <w:highlight w:val="yellow"/>
              </w:rPr>
              <w:t xml:space="preserve">Crear un documento de alcance formal y congelarlo — nada entra al proyecto sin aprobación del gerente</w:t>
            </w:r>
            <w:r>
              <w:rPr>
                <w:color w:val="334155"/>
              </w:rPr>
              <w:t xml:space="preserve">.</w:t>
            </w:r>
            <w:r/>
          </w:p>
          <w:p>
            <w:pPr>
              <w:pStyle w:val="757"/>
              <w:numPr>
                <w:ilvl w:val="0"/>
                <w:numId w:val="3"/>
              </w:numPr>
              <w:pBdr/>
              <w:spacing w:after="80"/>
              <w:ind/>
              <w:contextualSpacing w:val="false"/>
              <w:rPr/>
            </w:pPr>
            <w:r>
              <w:rPr>
                <w:color w:val="334155"/>
                <w:highlight w:val="yellow"/>
              </w:rPr>
              <w:t xml:space="preserve">Adoptar Sprints de 2 semanas para el despliegue de Windows Server 2025</w:t>
            </w:r>
            <w:r>
              <w:rPr>
                <w:color w:val="334155"/>
              </w:rPr>
              <w:t xml:space="preserve">, con Romina como responsable de infraestructura de red y Fede como responsable de la migración de servicios.</w:t>
            </w:r>
            <w:r/>
          </w:p>
          <w:p>
            <w:pPr>
              <w:pStyle w:val="757"/>
              <w:numPr>
                <w:ilvl w:val="0"/>
                <w:numId w:val="3"/>
              </w:numPr>
              <w:pBdr/>
              <w:spacing w:after="80"/>
              <w:ind/>
              <w:contextualSpacing w:val="false"/>
              <w:rPr>
                <w:highlight w:val="yellow"/>
              </w:rPr>
            </w:pPr>
            <w:r>
              <w:rPr>
                <w:color w:val="334155"/>
                <w:highlight w:val="yellow"/>
              </w:rPr>
              <w:t xml:space="preserve">Contratar a CablePro para Rosario con un contrato nuevo que incluya certificación de todos los puntos de red (informe FLUKE incluido).</w:t>
            </w:r>
            <w:r>
              <w:rPr>
                <w:highlight w:val="yellow"/>
              </w:rPr>
            </w:r>
          </w:p>
          <w:p>
            <w:pPr>
              <w:pBdr/>
              <w:spacing w:after="80"/>
              <w:ind/>
              <w:rPr/>
            </w:pPr>
            <w:r/>
            <w:r/>
          </w:p>
          <w:p>
            <w:pPr>
              <w:pBdr/>
              <w:spacing w:after="100"/>
              <w:ind/>
              <w:rPr/>
            </w:pPr>
            <w:r>
              <w:rPr>
                <w:color w:val="334155"/>
              </w:rPr>
              <w:t xml:space="preserve">Respec</w:t>
            </w:r>
            <w:r>
              <w:rPr>
                <w:color w:val="334155"/>
              </w:rPr>
              <w:t xml:space="preserve">to al rack, se resuelve </w:t>
            </w:r>
            <w:r>
              <w:rPr>
                <w:color w:val="334155"/>
                <w:highlight w:val="yellow"/>
              </w:rPr>
              <w:t xml:space="preserve">alquilar un rack open-frame de 12U a un proveedor de datacenter </w:t>
            </w:r>
            <w:r>
              <w:rPr>
                <w:color w:val="334155"/>
              </w:rPr>
              <w:t xml:space="preserve">local por USD 180/mes. Respecto a los servidores viejos, se acuerda con Fede un </w:t>
            </w:r>
            <w:r>
              <w:rPr>
                <w:color w:val="334155"/>
                <w:highlight w:val="yellow"/>
              </w:rPr>
              <w:t xml:space="preserve">período de coexistencia de 30 días (no 6 meses) con un checklist de validación al final</w:t>
            </w:r>
            <w:r>
              <w:rPr>
                <w:color w:val="334155"/>
              </w:rPr>
              <w:t xml:space="preserve">.</w:t>
            </w:r>
            <w:r/>
          </w:p>
          <w:p>
            <w:pPr>
              <w:pBdr/>
              <w:spacing w:after="80"/>
              <w:ind/>
              <w:rPr/>
            </w:pPr>
            <w:r/>
            <w:r/>
          </w:p>
          <w:p>
            <w:pPr>
              <w:pBdr/>
              <w:spacing w:after="100"/>
              <w:ind/>
              <w:rPr/>
            </w:pPr>
            <w:r>
              <w:rPr>
                <w:b/>
                <w:bCs/>
                <w:color w:val="15803d"/>
              </w:rPr>
              <w:t xml:space="preserve">Freshdesk:</w:t>
            </w:r>
            <w:r>
              <w:rPr>
                <w:color w:val="334155"/>
              </w:rPr>
              <w:t xml:space="preserve"> Tomás finalmente implementa Freshdesk plan Growth (USD 180/mes). En la primera semana con el sistema activo, el </w:t>
            </w:r>
            <w:r>
              <w:rPr>
                <w:color w:val="334155"/>
                <w:highlight w:val="yellow"/>
              </w:rPr>
              <w:t xml:space="preserve">equipo registra 147 tickets. El tiempo promedio de resolución baja de 'desconocido' a 4,2 horas</w:t>
            </w:r>
            <w:r>
              <w:rPr>
                <w:color w:val="334155"/>
              </w:rPr>
              <w:t xml:space="preserve">.</w:t>
            </w:r>
            <w:r/>
          </w:p>
        </w:tc>
      </w:tr>
    </w:tbl>
    <w:p>
      <w:pPr>
        <w:pBdr/>
        <w:spacing w:after="8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360"/>
      </w:tblGrid>
      <w:tr>
        <w:trPr/>
        <w:tc>
          <w:tcPr>
            <w:shd w:val="clear" w:color="auto" w:fill="0d9488"/>
            <w:tcBorders>
              <w:top w:val="single" w:color="0d9488" w:sz="1" w:space="0"/>
              <w:left w:val="single" w:color="0d9488" w:sz="1" w:space="0"/>
              <w:bottom w:val="single" w:color="0d9488" w:sz="1" w:space="0"/>
              <w:right w:val="single" w:color="0d9488" w:sz="1" w:space="0"/>
            </w:tcBorders>
            <w:tcMar>
              <w:left w:w="160" w:type="dxa"/>
              <w:top w:w="80" w:type="dxa"/>
              <w:right w:w="120" w:type="dxa"/>
              <w:bottom w:w="80" w:type="dxa"/>
            </w:tcMar>
            <w:tcW w:w="9360" w:type="dxa"/>
          </w:tcPr>
          <w:p>
            <w:pPr>
              <w:pBdr/>
              <w:spacing w:after="100"/>
              <w:ind/>
              <w:rPr/>
            </w:pPr>
            <w:r>
              <w:rPr>
                <w:b/>
                <w:bCs/>
                <w:color w:val="ffffff"/>
              </w:rPr>
              <w:t xml:space="preserve">Julio 2025 — Cierre del proyecto</w:t>
            </w:r>
            <w:r/>
          </w:p>
        </w:tc>
      </w:tr>
      <w:tr>
        <w:trPr/>
        <w:tc>
          <w:tcPr>
            <w:shd w:val="clear" w:color="auto" w:fill="f0fdfa"/>
            <w:tcBorders>
              <w:top w:val="single" w:color="0d9488" w:sz="1" w:space="0"/>
              <w:left w:val="single" w:color="0d9488" w:sz="1" w:space="0"/>
              <w:bottom w:val="single" w:color="0d9488" w:sz="1" w:space="0"/>
              <w:right w:val="single" w:color="0d9488" w:sz="1" w:space="0"/>
            </w:tcBorders>
            <w:tcMar>
              <w:left w:w="200" w:type="dxa"/>
              <w:top w:w="120" w:type="dxa"/>
              <w:right w:w="160" w:type="dxa"/>
              <w:bottom w:w="120" w:type="dxa"/>
            </w:tcMar>
            <w:tcW w:w="9360" w:type="dxa"/>
          </w:tcPr>
          <w:p>
            <w:pPr>
              <w:pBdr/>
              <w:spacing w:after="100"/>
              <w:ind/>
              <w:rPr/>
            </w:pPr>
            <w:r>
              <w:rPr>
                <w:color w:val="334155"/>
              </w:rPr>
              <w:t xml:space="preserve">Al 28 de julio de 2025, tres días antes del deadline, el estado del proyecto es:</w:t>
            </w:r>
            <w:r/>
          </w:p>
          <w:p>
            <w:pPr>
              <w:pStyle w:val="757"/>
              <w:numPr>
                <w:ilvl w:val="0"/>
                <w:numId w:val="2"/>
              </w:numPr>
              <w:pBdr/>
              <w:spacing w:after="80"/>
              <w:ind/>
              <w:contextualSpacing w:val="false"/>
              <w:rPr/>
            </w:pPr>
            <w:r>
              <w:rPr>
                <w:b/>
                <w:bCs/>
                <w:color w:val="15803d"/>
              </w:rPr>
              <w:t xml:space="preserve">Buenos Aires: </w:t>
            </w:r>
            <w:r>
              <w:rPr>
                <w:color w:val="334155"/>
              </w:rPr>
              <w:t xml:space="preserve">Windows Server 2025 operativo con Active Directory, DNS, DHCP, File Services e Hyper-V. Cableado Cat 6A certificado (informe FLUKE: 100% de puntos dentro de norma TIA-568).</w:t>
            </w:r>
            <w:r/>
          </w:p>
          <w:p>
            <w:pPr>
              <w:pStyle w:val="757"/>
              <w:numPr>
                <w:ilvl w:val="0"/>
                <w:numId w:val="2"/>
              </w:numPr>
              <w:pBdr/>
              <w:spacing w:after="80"/>
              <w:ind/>
              <w:contextualSpacing w:val="false"/>
              <w:rPr/>
            </w:pPr>
            <w:r>
              <w:rPr>
                <w:b/>
                <w:bCs/>
                <w:color w:val="15803d"/>
              </w:rPr>
              <w:t xml:space="preserve">Rosario: </w:t>
            </w:r>
            <w:r>
              <w:rPr>
                <w:color w:val="334155"/>
              </w:rPr>
              <w:t xml:space="preserve">Cableado rehecho por CablePro, certificado. Windows Server 2025 en rol de sitio secundario de AD.</w:t>
            </w:r>
            <w:r/>
          </w:p>
          <w:p>
            <w:pPr>
              <w:pStyle w:val="757"/>
              <w:numPr>
                <w:ilvl w:val="0"/>
                <w:numId w:val="2"/>
              </w:numPr>
              <w:pBdr/>
              <w:spacing w:after="80"/>
              <w:ind/>
              <w:contextualSpacing w:val="false"/>
              <w:rPr/>
            </w:pPr>
            <w:r>
              <w:rPr>
                <w:b/>
                <w:bCs/>
                <w:color w:val="d97706"/>
              </w:rPr>
              <w:t xml:space="preserve">Córdoba: </w:t>
            </w:r>
            <w:r>
              <w:rPr>
                <w:color w:val="334155"/>
              </w:rPr>
              <w:t xml:space="preserve">Cableado completado pero sin certificación FLUKE aún — CablePro programó la visita para el 5 de agosto. Windows Server 2025 instalado pero configuración de AD pendiente.</w:t>
            </w:r>
            <w:r/>
          </w:p>
          <w:p>
            <w:pPr>
              <w:pStyle w:val="757"/>
              <w:numPr>
                <w:ilvl w:val="0"/>
                <w:numId w:val="2"/>
              </w:numPr>
              <w:pBdr/>
              <w:spacing w:after="80"/>
              <w:ind/>
              <w:contextualSpacing w:val="false"/>
              <w:rPr/>
            </w:pPr>
            <w:r>
              <w:rPr>
                <w:b/>
                <w:bCs/>
                <w:color w:val="15803d"/>
              </w:rPr>
              <w:t xml:space="preserve">Help Desk: </w:t>
            </w:r>
            <w:r>
              <w:rPr>
                <w:color w:val="334155"/>
              </w:rPr>
              <w:t xml:space="preserve">Freshdesk activo en las tres sedes. 312 tickets gestionados en el mes. Tiempo promedio de resolución: 3,8 horas.</w:t>
            </w:r>
            <w:r/>
          </w:p>
          <w:p>
            <w:pPr>
              <w:pBdr/>
              <w:spacing w:after="80"/>
              <w:ind/>
              <w:rPr/>
            </w:pPr>
            <w:r/>
            <w:r/>
          </w:p>
          <w:p>
            <w:pPr>
              <w:pBdr/>
              <w:spacing w:after="100"/>
              <w:ind/>
              <w:rPr>
                <w:highlight w:val="yellow"/>
              </w:rPr>
            </w:pPr>
            <w:r>
              <w:rPr>
                <w:b/>
                <w:bCs/>
                <w:color w:val="e11d48"/>
                <w:highlight w:val="yellow"/>
              </w:rPr>
              <w:t xml:space="preserve">Costo final del proyecto: USD 97.400</w:t>
            </w:r>
            <w:r>
              <w:rPr>
                <w:color w:val="334155"/>
                <w:highlight w:val="yellow"/>
              </w:rPr>
              <w:t xml:space="preserve"> — USD 2.400 por encima del presupuesto aprobado, principalmente por las licencias Datacenter, el rack adicional y el recableado completo de Rosario.</w:t>
            </w:r>
            <w:r>
              <w:rPr>
                <w:highlight w:val="yellow"/>
              </w:rPr>
            </w:r>
          </w:p>
          <w:p>
            <w:pPr>
              <w:pBdr/>
              <w:spacing w:after="80"/>
              <w:ind/>
              <w:rPr/>
            </w:pPr>
            <w:r/>
            <w:r/>
          </w:p>
          <w:p>
            <w:pPr>
              <w:pBdr/>
              <w:spacing w:after="100"/>
              <w:ind/>
              <w:rPr/>
            </w:pPr>
            <w:r>
              <w:rPr>
                <w:color w:val="334155"/>
              </w:rPr>
              <w:t xml:space="preserve">Los servidores viejos son dados de baja el 29 de julio, luego de que Fede valida el checklist de migración y confirma que todos los servicios están corriendo correctamente en la nueva plataforma.</w:t>
            </w:r>
            <w:r/>
          </w:p>
        </w:tc>
      </w:tr>
    </w:tbl>
    <w:p>
      <w:pPr>
        <w:pBdr/>
        <w:spacing w:after="80"/>
        <w:ind/>
        <w:rPr/>
      </w:pPr>
      <w:r/>
      <w:r/>
    </w:p>
    <w:p>
      <w:pPr>
        <w:pBdr/>
        <w:spacing w:after="80"/>
        <w:ind/>
        <w:rPr/>
      </w:pPr>
      <w:r/>
      <w:r/>
    </w:p>
    <w:p>
      <w:pPr>
        <w:pBdr/>
        <w:spacing/>
        <w:ind/>
        <w:rPr/>
      </w:pPr>
      <w:r>
        <w:br w:type="page" w:clear="all"/>
      </w:r>
      <w:r/>
    </w:p>
    <w:p>
      <w:pPr>
        <w:pStyle w:val="730"/>
        <w:pBdr/>
        <w:spacing w:after="120" w:before="240"/>
        <w:ind/>
        <w:rPr/>
      </w:pPr>
      <w:r>
        <w:t xml:space="preserve">Datos adicionales para el análisis</w:t>
      </w:r>
      <w:r/>
    </w:p>
    <w:p>
      <w:pPr>
        <w:pStyle w:val="731"/>
        <w:pBdr/>
        <w:spacing w:after="100" w:before="180"/>
        <w:ind/>
        <w:rPr/>
      </w:pPr>
      <w:r>
        <w:t xml:space="preserve">Infraestructura técnica del proyecto</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120"/>
        <w:gridCol w:w="6240"/>
      </w:tblGrid>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3120" w:type="dxa"/>
          </w:tcPr>
          <w:p>
            <w:pPr>
              <w:pBdr/>
              <w:spacing w:after="100"/>
              <w:ind/>
              <w:rPr/>
            </w:pPr>
            <w:r>
              <w:rPr>
                <w:b/>
                <w:bCs/>
                <w:color w:val="0f1f3d"/>
              </w:rPr>
              <w:t xml:space="preserve">Servidores nuevos</w:t>
            </w:r>
            <w:r/>
          </w:p>
        </w:tc>
        <w:tc>
          <w:tcPr>
            <w:shd w:val="clear" w:color="auto" w:fill="f8fafc"/>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6240" w:type="dxa"/>
          </w:tcPr>
          <w:p>
            <w:pPr>
              <w:pBdr/>
              <w:spacing w:after="100"/>
              <w:ind/>
              <w:rPr/>
            </w:pPr>
            <w:r>
              <w:rPr>
                <w:color w:val="334155"/>
              </w:rPr>
              <w:t xml:space="preserve">2× Dell PowerEdge R750 · 2× Intel Xeon Silver 4314 · 256 GB RAM · 4× SSD 1.8TB en RAID 10 · Windows Server 2025 Datacenter</w:t>
            </w:r>
            <w:r/>
          </w:p>
        </w:tc>
      </w:tr>
      <w:tr>
        <w:trPr/>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3120" w:type="dxa"/>
          </w:tcPr>
          <w:p>
            <w:pPr>
              <w:pBdr/>
              <w:spacing w:after="100"/>
              <w:ind/>
              <w:rPr/>
            </w:pPr>
            <w:r>
              <w:rPr>
                <w:b/>
                <w:bCs/>
                <w:color w:val="0f1f3d"/>
              </w:rPr>
              <w:t xml:space="preserve">Rol Servidor 1 (principal)</w:t>
            </w:r>
            <w:r/>
          </w:p>
        </w:tc>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6240" w:type="dxa"/>
          </w:tcPr>
          <w:p>
            <w:pPr>
              <w:pBdr/>
              <w:spacing w:after="100"/>
              <w:ind/>
              <w:rPr/>
            </w:pPr>
            <w:r>
              <w:rPr>
                <w:color w:val="334155"/>
              </w:rPr>
              <w:t xml:space="preserve">Active Directory Domain Services · DNS · DHCP · File Services · Hyper-V (virtualización)</w:t>
            </w:r>
            <w:r/>
          </w:p>
        </w:tc>
      </w:tr>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3120" w:type="dxa"/>
          </w:tcPr>
          <w:p>
            <w:pPr>
              <w:pBdr/>
              <w:spacing w:after="100"/>
              <w:ind/>
              <w:rPr/>
            </w:pPr>
            <w:r>
              <w:rPr>
                <w:b/>
                <w:bCs/>
                <w:color w:val="0f1f3d"/>
              </w:rPr>
              <w:t xml:space="preserve">Rol Servidor 2 (secundario)</w:t>
            </w:r>
            <w:r/>
          </w:p>
        </w:tc>
        <w:tc>
          <w:tcPr>
            <w:shd w:val="clear" w:color="auto" w:fill="f8fafc"/>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6240" w:type="dxa"/>
          </w:tcPr>
          <w:p>
            <w:pPr>
              <w:pBdr/>
              <w:spacing w:after="100"/>
              <w:ind/>
              <w:rPr/>
            </w:pPr>
            <w:r>
              <w:rPr>
                <w:color w:val="334155"/>
              </w:rPr>
              <w:t xml:space="preserve">Domain Controller secundario · Backup (Windows Server Backup) · Hyper-V réplica</w:t>
            </w:r>
            <w:r/>
          </w:p>
        </w:tc>
      </w:tr>
      <w:tr>
        <w:trPr/>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3120" w:type="dxa"/>
          </w:tcPr>
          <w:p>
            <w:pPr>
              <w:pBdr/>
              <w:spacing w:after="100"/>
              <w:ind/>
              <w:rPr/>
            </w:pPr>
            <w:r>
              <w:rPr>
                <w:b/>
                <w:bCs/>
                <w:color w:val="0f1f3d"/>
              </w:rPr>
              <w:t xml:space="preserve">Cableado estructurado</w:t>
            </w:r>
            <w:r/>
          </w:p>
        </w:tc>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6240" w:type="dxa"/>
          </w:tcPr>
          <w:p>
            <w:pPr>
              <w:pBdr/>
              <w:spacing w:after="100"/>
              <w:ind/>
              <w:rPr/>
            </w:pPr>
            <w:r>
              <w:rPr>
                <w:color w:val="334155"/>
              </w:rPr>
              <w:t xml:space="preserve">Cat 6A UTP · Conectores RJ45 blindados · Patch panels 24p · Distancia máxima 90m · Norma TIA-568-C.2</w:t>
            </w:r>
            <w:r/>
          </w:p>
        </w:tc>
      </w:tr>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3120" w:type="dxa"/>
          </w:tcPr>
          <w:p>
            <w:pPr>
              <w:pBdr/>
              <w:spacing w:after="100"/>
              <w:ind/>
              <w:rPr/>
            </w:pPr>
            <w:r>
              <w:rPr>
                <w:b/>
                <w:bCs/>
                <w:color w:val="0f1f3d"/>
              </w:rPr>
              <w:t xml:space="preserve">Sistema de tickets</w:t>
            </w:r>
            <w:r/>
          </w:p>
        </w:tc>
        <w:tc>
          <w:tcPr>
            <w:shd w:val="clear" w:color="auto" w:fill="f8fafc"/>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6240" w:type="dxa"/>
          </w:tcPr>
          <w:p>
            <w:pPr>
              <w:pBdr/>
              <w:spacing w:after="100"/>
              <w:ind/>
              <w:rPr/>
            </w:pPr>
            <w:r>
              <w:rPr>
                <w:color w:val="334155"/>
              </w:rPr>
              <w:t xml:space="preserve">Freshdesk Growth · USD 180/mes · 5 agentes · SLA configurado: crítico 1h, alto 4h, normal 24h</w:t>
            </w:r>
            <w:r/>
          </w:p>
        </w:tc>
      </w:tr>
      <w:tr>
        <w:trPr/>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3120" w:type="dxa"/>
          </w:tcPr>
          <w:p>
            <w:pPr>
              <w:pBdr/>
              <w:spacing w:after="100"/>
              <w:ind/>
              <w:rPr/>
            </w:pPr>
            <w:r>
              <w:rPr>
                <w:b/>
                <w:bCs/>
                <w:color w:val="0f1f3d"/>
              </w:rPr>
              <w:t xml:space="preserve">UPS nuevo</w:t>
            </w:r>
            <w:r/>
          </w:p>
        </w:tc>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80" w:type="dxa"/>
              <w:right w:w="80" w:type="dxa"/>
              <w:bottom w:w="80" w:type="dxa"/>
            </w:tcMar>
            <w:tcW w:w="6240" w:type="dxa"/>
          </w:tcPr>
          <w:p>
            <w:pPr>
              <w:pBdr/>
              <w:spacing w:after="100"/>
              <w:ind/>
              <w:rPr/>
            </w:pPr>
            <w:r>
              <w:rPr>
                <w:color w:val="334155"/>
              </w:rPr>
            </w:r>
            <w:r>
              <w:rPr>
                <w:color w:val="334155"/>
              </w:rPr>
              <w:t xml:space="preserve">APC Smart-UPS 3000VA </w:t>
            </w:r>
            <w:r/>
            <w:r>
              <w:rPr>
                <w:color w:val="334155"/>
              </w:rPr>
              <w:t xml:space="preserve">· Protege ambos servidores y el switch core · Autonomía estimada: 18 minutos</w:t>
            </w:r>
            <w:r/>
          </w:p>
        </w:tc>
      </w:tr>
    </w:tbl>
    <w:p>
      <w:pPr>
        <w:pBdr/>
        <w:spacing w:after="80"/>
        <w:ind/>
        <w:rPr/>
      </w:pPr>
      <w:r/>
      <w:r/>
    </w:p>
    <w:p>
      <w:pPr>
        <w:pStyle w:val="731"/>
        <w:pBdr/>
        <w:spacing w:after="100" w:before="180"/>
        <w:ind/>
        <w:rPr/>
      </w:pPr>
      <w:r>
        <w:t xml:space="preserve">Presupuesto detallado</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200"/>
        <w:gridCol w:w="2380"/>
        <w:gridCol w:w="2380"/>
        <w:gridCol w:w="400"/>
      </w:tblGrid>
      <w:tr>
        <w:trPr/>
        <w:tc>
          <w:tcPr>
            <w:shd w:val="clear" w:color="auto" w:fill="0f1f3d"/>
            <w:tcBorders>
              <w:top w:val="single" w:color="0f1f3d" w:sz="1" w:space="0"/>
              <w:left w:val="single" w:color="0f1f3d" w:sz="1" w:space="0"/>
              <w:bottom w:val="single" w:color="0f1f3d" w:sz="1" w:space="0"/>
              <w:right w:val="single" w:color="0f1f3d" w:sz="1" w:space="0"/>
            </w:tcBorders>
            <w:tcMar>
              <w:left w:w="120" w:type="dxa"/>
              <w:top w:w="70" w:type="dxa"/>
              <w:right w:w="80" w:type="dxa"/>
              <w:bottom w:w="70" w:type="dxa"/>
            </w:tcMar>
            <w:tcW w:w="4200" w:type="dxa"/>
          </w:tcPr>
          <w:p>
            <w:pPr>
              <w:pBdr/>
              <w:spacing w:after="100"/>
              <w:ind/>
              <w:rPr/>
            </w:pPr>
            <w:r>
              <w:rPr>
                <w:b/>
                <w:bCs/>
                <w:color w:val="ffffff"/>
                <w:sz w:val="20"/>
                <w:szCs w:val="20"/>
              </w:rPr>
              <w:t xml:space="preserve">Ítem</w:t>
            </w:r>
            <w:r/>
          </w:p>
        </w:tc>
        <w:tc>
          <w:tcPr>
            <w:shd w:val="clear" w:color="auto" w:fill="0f1f3d"/>
            <w:tcBorders>
              <w:top w:val="single" w:color="0f1f3d" w:sz="1" w:space="0"/>
              <w:left w:val="single" w:color="0f1f3d" w:sz="1" w:space="0"/>
              <w:bottom w:val="single" w:color="0f1f3d" w:sz="1" w:space="0"/>
              <w:right w:val="single" w:color="0f1f3d" w:sz="1" w:space="0"/>
            </w:tcBorders>
            <w:tcMar>
              <w:left w:w="120" w:type="dxa"/>
              <w:top w:w="70" w:type="dxa"/>
              <w:right w:w="80" w:type="dxa"/>
              <w:bottom w:w="70" w:type="dxa"/>
            </w:tcMar>
            <w:tcW w:w="2380" w:type="dxa"/>
          </w:tcPr>
          <w:p>
            <w:pPr>
              <w:pBdr/>
              <w:spacing w:after="100"/>
              <w:ind/>
              <w:rPr/>
            </w:pPr>
            <w:r>
              <w:rPr>
                <w:b/>
                <w:bCs/>
                <w:color w:val="ffffff"/>
                <w:sz w:val="20"/>
                <w:szCs w:val="20"/>
              </w:rPr>
              <w:t xml:space="preserve">Presupuestado</w:t>
            </w:r>
            <w:r/>
          </w:p>
        </w:tc>
        <w:tc>
          <w:tcPr>
            <w:shd w:val="clear" w:color="auto" w:fill="0f1f3d"/>
            <w:tcBorders>
              <w:top w:val="single" w:color="0f1f3d" w:sz="1" w:space="0"/>
              <w:left w:val="single" w:color="0f1f3d" w:sz="1" w:space="0"/>
              <w:bottom w:val="single" w:color="0f1f3d" w:sz="1" w:space="0"/>
              <w:right w:val="single" w:color="0f1f3d" w:sz="1" w:space="0"/>
            </w:tcBorders>
            <w:tcMar>
              <w:left w:w="120" w:type="dxa"/>
              <w:top w:w="70" w:type="dxa"/>
              <w:right w:w="80" w:type="dxa"/>
              <w:bottom w:w="70" w:type="dxa"/>
            </w:tcMar>
            <w:tcW w:w="2380" w:type="dxa"/>
          </w:tcPr>
          <w:p>
            <w:pPr>
              <w:pBdr/>
              <w:spacing w:after="100"/>
              <w:ind/>
              <w:rPr/>
            </w:pPr>
            <w:r>
              <w:rPr>
                <w:b/>
                <w:bCs/>
                <w:color w:val="ffffff"/>
                <w:sz w:val="20"/>
                <w:szCs w:val="20"/>
              </w:rPr>
              <w:t xml:space="preserve">Real</w:t>
            </w:r>
            <w:r/>
          </w:p>
        </w:tc>
        <w:tc>
          <w:tcPr>
            <w:shd w:val="clear" w:color="auto" w:fill="0f1f3d"/>
            <w:tcBorders>
              <w:top w:val="single" w:color="0f1f3d" w:sz="1" w:space="0"/>
              <w:left w:val="single" w:color="0f1f3d" w:sz="1" w:space="0"/>
              <w:bottom w:val="single" w:color="0f1f3d" w:sz="1" w:space="0"/>
              <w:right w:val="single" w:color="0f1f3d" w:sz="1" w:space="0"/>
            </w:tcBorders>
            <w:tcMar>
              <w:left w:w="120" w:type="dxa"/>
              <w:top w:w="70" w:type="dxa"/>
              <w:right w:w="80" w:type="dxa"/>
              <w:bottom w:w="70" w:type="dxa"/>
            </w:tcMar>
            <w:tcW w:w="400" w:type="dxa"/>
          </w:tcPr>
          <w:p>
            <w:pPr>
              <w:pBdr/>
              <w:spacing w:after="100"/>
              <w:ind/>
              <w:rPr/>
            </w:pPr>
            <w:r/>
            <w:r/>
          </w:p>
        </w:tc>
      </w:tr>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65" w:type="dxa"/>
              <w:right w:w="80" w:type="dxa"/>
              <w:bottom w:w="65" w:type="dxa"/>
            </w:tcMar>
            <w:tcW w:w="4200" w:type="dxa"/>
          </w:tcPr>
          <w:p>
            <w:pPr>
              <w:pBdr/>
              <w:spacing w:after="100"/>
              <w:ind/>
              <w:rPr/>
            </w:pPr>
            <w:r>
              <w:rPr>
                <w:color w:val="0f1f3d"/>
                <w:sz w:val="20"/>
                <w:szCs w:val="20"/>
              </w:rPr>
              <w:t xml:space="preserve">Licencias Windows Server 2025 (x3)</w:t>
            </w:r>
            <w:r/>
          </w:p>
        </w:tc>
        <w:tc>
          <w:tcPr>
            <w:shd w:val="clear" w:color="auto" w:fill="f1f5f9"/>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334155"/>
              </w:rPr>
              <w:t xml:space="preserve">USD 6.200</w:t>
            </w:r>
            <w:r/>
          </w:p>
        </w:tc>
        <w:tc>
          <w:tcPr>
            <w:shd w:val="clear" w:color="auto" w:fill="f1f5f9"/>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15803d"/>
                <w:sz w:val="20"/>
                <w:szCs w:val="20"/>
              </w:rPr>
              <w:t xml:space="preserve">USD 18.400</w:t>
            </w:r>
            <w:r/>
          </w:p>
        </w:tc>
        <w:tc>
          <w:tcPr>
            <w:shd w:val="clear" w:color="auto" w:fill="f1f5f9"/>
            <w:tcBorders>
              <w:top w:val="single" w:color="e2e8f0" w:sz="1" w:space="0"/>
              <w:left w:val="single" w:color="e2e8f0" w:sz="1" w:space="0"/>
              <w:bottom w:val="single" w:color="e2e8f0" w:sz="1" w:space="0"/>
              <w:right w:val="single" w:color="e2e8f0" w:sz="1" w:space="0"/>
            </w:tcBorders>
            <w:tcMar>
              <w:left w:w="40" w:type="dxa"/>
              <w:top w:w="65" w:type="dxa"/>
              <w:right w:w="40" w:type="dxa"/>
              <w:bottom w:w="65" w:type="dxa"/>
            </w:tcMar>
            <w:tcW w:w="400" w:type="dxa"/>
          </w:tcPr>
          <w:p>
            <w:pPr>
              <w:pBdr/>
              <w:spacing/>
              <w:ind/>
              <w:jc w:val="center"/>
              <w:rPr/>
            </w:pPr>
            <w:r>
              <w:rPr>
                <w:color w:val="d97706"/>
              </w:rPr>
              <w:t xml:space="preserve">⚠</w:t>
            </w:r>
            <w:r/>
          </w:p>
        </w:tc>
      </w:tr>
      <w:tr>
        <w:trPr/>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65" w:type="dxa"/>
              <w:right w:w="80" w:type="dxa"/>
              <w:bottom w:w="65" w:type="dxa"/>
            </w:tcMar>
            <w:tcW w:w="4200" w:type="dxa"/>
          </w:tcPr>
          <w:p>
            <w:pPr>
              <w:pBdr/>
              <w:spacing w:after="100"/>
              <w:ind/>
              <w:rPr/>
            </w:pPr>
            <w:r>
              <w:rPr>
                <w:color w:val="0f1f3d"/>
                <w:sz w:val="20"/>
                <w:szCs w:val="20"/>
              </w:rPr>
              <w:t xml:space="preserve">Hardware servidores Dell PowerEdge R750 (x2)</w:t>
            </w:r>
            <w:r/>
          </w:p>
        </w:tc>
        <w:tc>
          <w:tcPr>
            <w:shd w:val="clear" w:color="auto" w:fill="ffffff"/>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334155"/>
              </w:rPr>
              <w:t xml:space="preserve">USD 29.000</w:t>
            </w:r>
            <w:r/>
          </w:p>
        </w:tc>
        <w:tc>
          <w:tcPr>
            <w:shd w:val="clear" w:color="auto" w:fill="ffffff"/>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15803d"/>
                <w:sz w:val="20"/>
                <w:szCs w:val="20"/>
              </w:rPr>
              <w:t xml:space="preserve">USD 28.600</w:t>
            </w:r>
            <w:r/>
          </w:p>
        </w:tc>
        <w:tc>
          <w:tcPr>
            <w:shd w:val="clear" w:color="auto" w:fill="ffffff"/>
            <w:tcBorders>
              <w:top w:val="single" w:color="e2e8f0" w:sz="1" w:space="0"/>
              <w:left w:val="single" w:color="e2e8f0" w:sz="1" w:space="0"/>
              <w:bottom w:val="single" w:color="e2e8f0" w:sz="1" w:space="0"/>
              <w:right w:val="single" w:color="e2e8f0" w:sz="1" w:space="0"/>
            </w:tcBorders>
            <w:tcMar>
              <w:left w:w="40" w:type="dxa"/>
              <w:top w:w="65" w:type="dxa"/>
              <w:right w:w="40" w:type="dxa"/>
              <w:bottom w:w="65" w:type="dxa"/>
            </w:tcMar>
            <w:tcW w:w="400" w:type="dxa"/>
          </w:tcPr>
          <w:p>
            <w:pPr>
              <w:pBdr/>
              <w:spacing/>
              <w:ind/>
              <w:jc w:val="center"/>
              <w:rPr/>
            </w:pPr>
            <w:r>
              <w:rPr>
                <w:color w:val="15803d"/>
              </w:rPr>
              <w:t xml:space="preserve">✓</w:t>
            </w:r>
            <w:r/>
          </w:p>
        </w:tc>
      </w:tr>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65" w:type="dxa"/>
              <w:right w:w="80" w:type="dxa"/>
              <w:bottom w:w="65" w:type="dxa"/>
            </w:tcMar>
            <w:tcW w:w="4200" w:type="dxa"/>
          </w:tcPr>
          <w:p>
            <w:pPr>
              <w:pBdr/>
              <w:spacing w:after="100"/>
              <w:ind/>
              <w:rPr/>
            </w:pPr>
            <w:r>
              <w:rPr>
                <w:color w:val="0f1f3d"/>
                <w:sz w:val="20"/>
                <w:szCs w:val="20"/>
              </w:rPr>
              <w:t xml:space="preserve">UPS APC Smart-UPS 3000VA</w:t>
            </w:r>
            <w:r/>
          </w:p>
        </w:tc>
        <w:tc>
          <w:tcPr>
            <w:shd w:val="clear" w:color="auto" w:fill="f1f5f9"/>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334155"/>
              </w:rPr>
              <w:t xml:space="preserve">USD 2.800</w:t>
            </w:r>
            <w:r/>
          </w:p>
        </w:tc>
        <w:tc>
          <w:tcPr>
            <w:shd w:val="clear" w:color="auto" w:fill="f1f5f9"/>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15803d"/>
                <w:sz w:val="20"/>
                <w:szCs w:val="20"/>
              </w:rPr>
              <w:t xml:space="preserve">USD 2.800</w:t>
            </w:r>
            <w:r/>
          </w:p>
        </w:tc>
        <w:tc>
          <w:tcPr>
            <w:shd w:val="clear" w:color="auto" w:fill="f1f5f9"/>
            <w:tcBorders>
              <w:top w:val="single" w:color="e2e8f0" w:sz="1" w:space="0"/>
              <w:left w:val="single" w:color="e2e8f0" w:sz="1" w:space="0"/>
              <w:bottom w:val="single" w:color="e2e8f0" w:sz="1" w:space="0"/>
              <w:right w:val="single" w:color="e2e8f0" w:sz="1" w:space="0"/>
            </w:tcBorders>
            <w:tcMar>
              <w:left w:w="40" w:type="dxa"/>
              <w:top w:w="65" w:type="dxa"/>
              <w:right w:w="40" w:type="dxa"/>
              <w:bottom w:w="65" w:type="dxa"/>
            </w:tcMar>
            <w:tcW w:w="400" w:type="dxa"/>
          </w:tcPr>
          <w:p>
            <w:pPr>
              <w:pBdr/>
              <w:spacing/>
              <w:ind/>
              <w:jc w:val="center"/>
              <w:rPr/>
            </w:pPr>
            <w:r>
              <w:rPr>
                <w:color w:val="15803d"/>
              </w:rPr>
              <w:t xml:space="preserve">✓</w:t>
            </w:r>
            <w:r/>
          </w:p>
        </w:tc>
      </w:tr>
      <w:tr>
        <w:trPr/>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65" w:type="dxa"/>
              <w:right w:w="80" w:type="dxa"/>
              <w:bottom w:w="65" w:type="dxa"/>
            </w:tcMar>
            <w:tcW w:w="4200" w:type="dxa"/>
          </w:tcPr>
          <w:p>
            <w:pPr>
              <w:pBdr/>
              <w:spacing w:after="100"/>
              <w:ind/>
              <w:rPr/>
            </w:pPr>
            <w:r>
              <w:rPr>
                <w:color w:val="0f1f3d"/>
                <w:sz w:val="20"/>
                <w:szCs w:val="20"/>
              </w:rPr>
              <w:t xml:space="preserve">Cableado Cat 6A Buenos Aires (CablePro)</w:t>
            </w:r>
            <w:r/>
          </w:p>
        </w:tc>
        <w:tc>
          <w:tcPr>
            <w:shd w:val="clear" w:color="auto" w:fill="ffffff"/>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334155"/>
              </w:rPr>
              <w:t xml:space="preserve">USD 11.000</w:t>
            </w:r>
            <w:r/>
          </w:p>
        </w:tc>
        <w:tc>
          <w:tcPr>
            <w:shd w:val="clear" w:color="auto" w:fill="ffffff"/>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e11d48"/>
                <w:sz w:val="20"/>
                <w:szCs w:val="20"/>
              </w:rPr>
              <w:t xml:space="preserve">USD 14.200</w:t>
            </w:r>
            <w:r/>
          </w:p>
        </w:tc>
        <w:tc>
          <w:tcPr>
            <w:shd w:val="clear" w:color="auto" w:fill="ffffff"/>
            <w:tcBorders>
              <w:top w:val="single" w:color="e2e8f0" w:sz="1" w:space="0"/>
              <w:left w:val="single" w:color="e2e8f0" w:sz="1" w:space="0"/>
              <w:bottom w:val="single" w:color="e2e8f0" w:sz="1" w:space="0"/>
              <w:right w:val="single" w:color="e2e8f0" w:sz="1" w:space="0"/>
            </w:tcBorders>
            <w:tcMar>
              <w:left w:w="40" w:type="dxa"/>
              <w:top w:w="65" w:type="dxa"/>
              <w:right w:w="40" w:type="dxa"/>
              <w:bottom w:w="65" w:type="dxa"/>
            </w:tcMar>
            <w:tcW w:w="400" w:type="dxa"/>
          </w:tcPr>
          <w:p>
            <w:pPr>
              <w:pBdr/>
              <w:spacing/>
              <w:ind/>
              <w:jc w:val="center"/>
              <w:rPr/>
            </w:pPr>
            <w:r>
              <w:rPr>
                <w:color w:val="d97706"/>
              </w:rPr>
              <w:t xml:space="preserve">⚠</w:t>
            </w:r>
            <w:r/>
          </w:p>
        </w:tc>
      </w:tr>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65" w:type="dxa"/>
              <w:right w:w="80" w:type="dxa"/>
              <w:bottom w:w="65" w:type="dxa"/>
            </w:tcMar>
            <w:tcW w:w="4200" w:type="dxa"/>
          </w:tcPr>
          <w:p>
            <w:pPr>
              <w:pBdr/>
              <w:spacing w:after="100"/>
              <w:ind/>
              <w:rPr/>
            </w:pPr>
            <w:r>
              <w:rPr>
                <w:color w:val="0f1f3d"/>
                <w:sz w:val="20"/>
                <w:szCs w:val="20"/>
              </w:rPr>
              <w:t xml:space="preserve">Cableado Cat 6A Rosario (rehecho completo)</w:t>
            </w:r>
            <w:r/>
          </w:p>
        </w:tc>
        <w:tc>
          <w:tcPr>
            <w:shd w:val="clear" w:color="auto" w:fill="f1f5f9"/>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334155"/>
              </w:rPr>
              <w:t xml:space="preserve">USD 8.500</w:t>
            </w:r>
            <w:r/>
          </w:p>
        </w:tc>
        <w:tc>
          <w:tcPr>
            <w:shd w:val="clear" w:color="auto" w:fill="f1f5f9"/>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15803d"/>
                <w:sz w:val="20"/>
                <w:szCs w:val="20"/>
              </w:rPr>
              <w:t xml:space="preserve">USD 13.800</w:t>
            </w:r>
            <w:r/>
          </w:p>
        </w:tc>
        <w:tc>
          <w:tcPr>
            <w:shd w:val="clear" w:color="auto" w:fill="f1f5f9"/>
            <w:tcBorders>
              <w:top w:val="single" w:color="e2e8f0" w:sz="1" w:space="0"/>
              <w:left w:val="single" w:color="e2e8f0" w:sz="1" w:space="0"/>
              <w:bottom w:val="single" w:color="e2e8f0" w:sz="1" w:space="0"/>
              <w:right w:val="single" w:color="e2e8f0" w:sz="1" w:space="0"/>
            </w:tcBorders>
            <w:tcMar>
              <w:left w:w="40" w:type="dxa"/>
              <w:top w:w="65" w:type="dxa"/>
              <w:right w:w="40" w:type="dxa"/>
              <w:bottom w:w="65" w:type="dxa"/>
            </w:tcMar>
            <w:tcW w:w="400" w:type="dxa"/>
          </w:tcPr>
          <w:p>
            <w:pPr>
              <w:pBdr/>
              <w:spacing/>
              <w:ind/>
              <w:jc w:val="center"/>
              <w:rPr/>
            </w:pPr>
            <w:r>
              <w:rPr>
                <w:color w:val="d97706"/>
              </w:rPr>
              <w:t xml:space="preserve">⚠</w:t>
            </w:r>
            <w:r/>
          </w:p>
        </w:tc>
      </w:tr>
      <w:tr>
        <w:trPr/>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65" w:type="dxa"/>
              <w:right w:w="80" w:type="dxa"/>
              <w:bottom w:w="65" w:type="dxa"/>
            </w:tcMar>
            <w:tcW w:w="4200" w:type="dxa"/>
          </w:tcPr>
          <w:p>
            <w:pPr>
              <w:pBdr/>
              <w:spacing w:after="100"/>
              <w:ind/>
              <w:rPr/>
            </w:pPr>
            <w:r>
              <w:rPr>
                <w:color w:val="0f1f3d"/>
                <w:sz w:val="20"/>
                <w:szCs w:val="20"/>
              </w:rPr>
              <w:t xml:space="preserve">Cableado Cat 6A Córdoba</w:t>
            </w:r>
            <w:r/>
          </w:p>
        </w:tc>
        <w:tc>
          <w:tcPr>
            <w:shd w:val="clear" w:color="auto" w:fill="ffffff"/>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334155"/>
              </w:rPr>
              <w:t xml:space="preserve">USD 7.200</w:t>
            </w:r>
            <w:r/>
          </w:p>
        </w:tc>
        <w:tc>
          <w:tcPr>
            <w:shd w:val="clear" w:color="auto" w:fill="ffffff"/>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15803d"/>
                <w:sz w:val="20"/>
                <w:szCs w:val="20"/>
              </w:rPr>
              <w:t xml:space="preserve">USD 7.100</w:t>
            </w:r>
            <w:r/>
          </w:p>
        </w:tc>
        <w:tc>
          <w:tcPr>
            <w:shd w:val="clear" w:color="auto" w:fill="ffffff"/>
            <w:tcBorders>
              <w:top w:val="single" w:color="e2e8f0" w:sz="1" w:space="0"/>
              <w:left w:val="single" w:color="e2e8f0" w:sz="1" w:space="0"/>
              <w:bottom w:val="single" w:color="e2e8f0" w:sz="1" w:space="0"/>
              <w:right w:val="single" w:color="e2e8f0" w:sz="1" w:space="0"/>
            </w:tcBorders>
            <w:tcMar>
              <w:left w:w="40" w:type="dxa"/>
              <w:top w:w="65" w:type="dxa"/>
              <w:right w:w="40" w:type="dxa"/>
              <w:bottom w:w="65" w:type="dxa"/>
            </w:tcMar>
            <w:tcW w:w="400" w:type="dxa"/>
          </w:tcPr>
          <w:p>
            <w:pPr>
              <w:pBdr/>
              <w:spacing/>
              <w:ind/>
              <w:jc w:val="center"/>
              <w:rPr/>
            </w:pPr>
            <w:r>
              <w:rPr>
                <w:color w:val="15803d"/>
              </w:rPr>
              <w:t xml:space="preserve">✓</w:t>
            </w:r>
            <w:r/>
          </w:p>
        </w:tc>
      </w:tr>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65" w:type="dxa"/>
              <w:right w:w="80" w:type="dxa"/>
              <w:bottom w:w="65" w:type="dxa"/>
            </w:tcMar>
            <w:tcW w:w="4200" w:type="dxa"/>
          </w:tcPr>
          <w:p>
            <w:pPr>
              <w:pBdr/>
              <w:spacing w:after="100"/>
              <w:ind/>
              <w:rPr/>
            </w:pPr>
            <w:r>
              <w:rPr>
                <w:color w:val="0f1f3d"/>
                <w:sz w:val="20"/>
                <w:szCs w:val="20"/>
              </w:rPr>
              <w:t xml:space="preserve">Rack adicional 12U (alquiler 3 meses)</w:t>
            </w:r>
            <w:r/>
          </w:p>
        </w:tc>
        <w:tc>
          <w:tcPr>
            <w:shd w:val="clear" w:color="auto" w:fill="f1f5f9"/>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334155"/>
              </w:rPr>
              <w:t xml:space="preserve">USD 0</w:t>
            </w:r>
            <w:r/>
          </w:p>
        </w:tc>
        <w:tc>
          <w:tcPr>
            <w:shd w:val="clear" w:color="auto" w:fill="f1f5f9"/>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e11d48"/>
                <w:sz w:val="20"/>
                <w:szCs w:val="20"/>
              </w:rPr>
              <w:t xml:space="preserve">USD 540</w:t>
            </w:r>
            <w:r/>
          </w:p>
        </w:tc>
        <w:tc>
          <w:tcPr>
            <w:shd w:val="clear" w:color="auto" w:fill="f1f5f9"/>
            <w:tcBorders>
              <w:top w:val="single" w:color="e2e8f0" w:sz="1" w:space="0"/>
              <w:left w:val="single" w:color="e2e8f0" w:sz="1" w:space="0"/>
              <w:bottom w:val="single" w:color="e2e8f0" w:sz="1" w:space="0"/>
              <w:right w:val="single" w:color="e2e8f0" w:sz="1" w:space="0"/>
            </w:tcBorders>
            <w:tcMar>
              <w:left w:w="40" w:type="dxa"/>
              <w:top w:w="65" w:type="dxa"/>
              <w:right w:w="40" w:type="dxa"/>
              <w:bottom w:w="65" w:type="dxa"/>
            </w:tcMar>
            <w:tcW w:w="400" w:type="dxa"/>
          </w:tcPr>
          <w:p>
            <w:pPr>
              <w:pBdr/>
              <w:spacing/>
              <w:ind/>
              <w:jc w:val="center"/>
              <w:rPr/>
            </w:pPr>
            <w:r>
              <w:rPr>
                <w:color w:val="d97706"/>
              </w:rPr>
              <w:t xml:space="preserve">⚠</w:t>
            </w:r>
            <w:r/>
          </w:p>
        </w:tc>
      </w:tr>
      <w:tr>
        <w:trPr/>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65" w:type="dxa"/>
              <w:right w:w="80" w:type="dxa"/>
              <w:bottom w:w="65" w:type="dxa"/>
            </w:tcMar>
            <w:tcW w:w="4200" w:type="dxa"/>
          </w:tcPr>
          <w:p>
            <w:pPr>
              <w:pBdr/>
              <w:spacing w:after="100"/>
              <w:ind/>
              <w:rPr/>
            </w:pPr>
            <w:r>
              <w:rPr>
                <w:color w:val="0f1f3d"/>
                <w:sz w:val="20"/>
                <w:szCs w:val="20"/>
              </w:rPr>
              <w:t xml:space="preserve">Freshdesk Growth (5 meses)</w:t>
            </w:r>
            <w:r/>
          </w:p>
        </w:tc>
        <w:tc>
          <w:tcPr>
            <w:shd w:val="clear" w:color="auto" w:fill="ffffff"/>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334155"/>
              </w:rPr>
              <w:t xml:space="preserve">USD 0</w:t>
            </w:r>
            <w:r/>
          </w:p>
        </w:tc>
        <w:tc>
          <w:tcPr>
            <w:shd w:val="clear" w:color="auto" w:fill="ffffff"/>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e11d48"/>
                <w:sz w:val="20"/>
                <w:szCs w:val="20"/>
              </w:rPr>
              <w:t xml:space="preserve">USD 900</w:t>
            </w:r>
            <w:r/>
          </w:p>
        </w:tc>
        <w:tc>
          <w:tcPr>
            <w:shd w:val="clear" w:color="auto" w:fill="ffffff"/>
            <w:tcBorders>
              <w:top w:val="single" w:color="e2e8f0" w:sz="1" w:space="0"/>
              <w:left w:val="single" w:color="e2e8f0" w:sz="1" w:space="0"/>
              <w:bottom w:val="single" w:color="e2e8f0" w:sz="1" w:space="0"/>
              <w:right w:val="single" w:color="e2e8f0" w:sz="1" w:space="0"/>
            </w:tcBorders>
            <w:tcMar>
              <w:left w:w="40" w:type="dxa"/>
              <w:top w:w="65" w:type="dxa"/>
              <w:right w:w="40" w:type="dxa"/>
              <w:bottom w:w="65" w:type="dxa"/>
            </w:tcMar>
            <w:tcW w:w="400" w:type="dxa"/>
          </w:tcPr>
          <w:p>
            <w:pPr>
              <w:pBdr/>
              <w:spacing/>
              <w:ind/>
              <w:jc w:val="center"/>
              <w:rPr/>
            </w:pPr>
            <w:r>
              <w:rPr>
                <w:color w:val="d97706"/>
              </w:rPr>
              <w:t xml:space="preserve">⚠</w:t>
            </w:r>
            <w:r/>
          </w:p>
        </w:tc>
      </w:tr>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65" w:type="dxa"/>
              <w:right w:w="80" w:type="dxa"/>
              <w:bottom w:w="65" w:type="dxa"/>
            </w:tcMar>
            <w:tcW w:w="4200" w:type="dxa"/>
          </w:tcPr>
          <w:p>
            <w:pPr>
              <w:pBdr/>
              <w:spacing w:after="100"/>
              <w:ind/>
              <w:rPr/>
            </w:pPr>
            <w:r>
              <w:rPr>
                <w:color w:val="0f1f3d"/>
                <w:sz w:val="20"/>
                <w:szCs w:val="20"/>
              </w:rPr>
              <w:t xml:space="preserve">Certificación FLUKE (Rosario + Córdoba)</w:t>
            </w:r>
            <w:r/>
          </w:p>
        </w:tc>
        <w:tc>
          <w:tcPr>
            <w:shd w:val="clear" w:color="auto" w:fill="f1f5f9"/>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334155"/>
              </w:rPr>
              <w:t xml:space="preserve">USD 2.000</w:t>
            </w:r>
            <w:r/>
          </w:p>
        </w:tc>
        <w:tc>
          <w:tcPr>
            <w:shd w:val="clear" w:color="auto" w:fill="f1f5f9"/>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15803d"/>
                <w:sz w:val="20"/>
                <w:szCs w:val="20"/>
              </w:rPr>
              <w:t xml:space="preserve">USD 2.000</w:t>
            </w:r>
            <w:r/>
          </w:p>
        </w:tc>
        <w:tc>
          <w:tcPr>
            <w:shd w:val="clear" w:color="auto" w:fill="f1f5f9"/>
            <w:tcBorders>
              <w:top w:val="single" w:color="e2e8f0" w:sz="1" w:space="0"/>
              <w:left w:val="single" w:color="e2e8f0" w:sz="1" w:space="0"/>
              <w:bottom w:val="single" w:color="e2e8f0" w:sz="1" w:space="0"/>
              <w:right w:val="single" w:color="e2e8f0" w:sz="1" w:space="0"/>
            </w:tcBorders>
            <w:tcMar>
              <w:left w:w="40" w:type="dxa"/>
              <w:top w:w="65" w:type="dxa"/>
              <w:right w:w="40" w:type="dxa"/>
              <w:bottom w:w="65" w:type="dxa"/>
            </w:tcMar>
            <w:tcW w:w="400" w:type="dxa"/>
          </w:tcPr>
          <w:p>
            <w:pPr>
              <w:pBdr/>
              <w:spacing/>
              <w:ind/>
              <w:jc w:val="center"/>
              <w:rPr/>
            </w:pPr>
            <w:r>
              <w:rPr>
                <w:color w:val="15803d"/>
              </w:rPr>
              <w:t xml:space="preserve">✓</w:t>
            </w:r>
            <w:r/>
          </w:p>
        </w:tc>
      </w:tr>
      <w:tr>
        <w:trPr/>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65" w:type="dxa"/>
              <w:right w:w="80" w:type="dxa"/>
              <w:bottom w:w="65" w:type="dxa"/>
            </w:tcMar>
            <w:tcW w:w="4200" w:type="dxa"/>
          </w:tcPr>
          <w:p>
            <w:pPr>
              <w:pBdr/>
              <w:spacing w:after="100"/>
              <w:ind/>
              <w:rPr/>
            </w:pPr>
            <w:r>
              <w:rPr>
                <w:color w:val="0f1f3d"/>
                <w:sz w:val="20"/>
                <w:szCs w:val="20"/>
              </w:rPr>
              <w:t xml:space="preserve">Horas de consultoría externa (rack + diseño)</w:t>
            </w:r>
            <w:r/>
          </w:p>
        </w:tc>
        <w:tc>
          <w:tcPr>
            <w:shd w:val="clear" w:color="auto" w:fill="ffffff"/>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334155"/>
              </w:rPr>
              <w:t xml:space="preserve">USD 3.000</w:t>
            </w:r>
            <w:r/>
          </w:p>
        </w:tc>
        <w:tc>
          <w:tcPr>
            <w:shd w:val="clear" w:color="auto" w:fill="ffffff"/>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e11d48"/>
                <w:sz w:val="20"/>
                <w:szCs w:val="20"/>
              </w:rPr>
              <w:t xml:space="preserve">USD 3.200</w:t>
            </w:r>
            <w:r/>
          </w:p>
        </w:tc>
        <w:tc>
          <w:tcPr>
            <w:shd w:val="clear" w:color="auto" w:fill="ffffff"/>
            <w:tcBorders>
              <w:top w:val="single" w:color="e2e8f0" w:sz="1" w:space="0"/>
              <w:left w:val="single" w:color="e2e8f0" w:sz="1" w:space="0"/>
              <w:bottom w:val="single" w:color="e2e8f0" w:sz="1" w:space="0"/>
              <w:right w:val="single" w:color="e2e8f0" w:sz="1" w:space="0"/>
            </w:tcBorders>
            <w:tcMar>
              <w:left w:w="40" w:type="dxa"/>
              <w:top w:w="65" w:type="dxa"/>
              <w:right w:w="40" w:type="dxa"/>
              <w:bottom w:w="65" w:type="dxa"/>
            </w:tcMar>
            <w:tcW w:w="400" w:type="dxa"/>
          </w:tcPr>
          <w:p>
            <w:pPr>
              <w:pBdr/>
              <w:spacing/>
              <w:ind/>
              <w:jc w:val="center"/>
              <w:rPr/>
            </w:pPr>
            <w:r>
              <w:rPr>
                <w:color w:val="94a3b8"/>
              </w:rPr>
              <w:t xml:space="preserve">~</w:t>
            </w:r>
            <w:r/>
          </w:p>
        </w:tc>
      </w:tr>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65" w:type="dxa"/>
              <w:right w:w="80" w:type="dxa"/>
              <w:bottom w:w="65" w:type="dxa"/>
            </w:tcMar>
            <w:tcW w:w="4200" w:type="dxa"/>
          </w:tcPr>
          <w:p>
            <w:pPr>
              <w:pBdr/>
              <w:spacing w:after="100"/>
              <w:ind/>
              <w:rPr/>
            </w:pPr>
            <w:r>
              <w:rPr>
                <w:color w:val="0f1f3d"/>
                <w:sz w:val="20"/>
                <w:szCs w:val="20"/>
              </w:rPr>
              <w:t xml:space="preserve">Contingencia usada</w:t>
            </w:r>
            <w:r/>
          </w:p>
        </w:tc>
        <w:tc>
          <w:tcPr>
            <w:shd w:val="clear" w:color="auto" w:fill="f1f5f9"/>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334155"/>
              </w:rPr>
              <w:t xml:space="preserve">USD 25.300</w:t>
            </w:r>
            <w:r/>
          </w:p>
        </w:tc>
        <w:tc>
          <w:tcPr>
            <w:shd w:val="clear" w:color="auto" w:fill="f1f5f9"/>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color w:val="e11d48"/>
                <w:sz w:val="20"/>
                <w:szCs w:val="20"/>
              </w:rPr>
              <w:t xml:space="preserve">USD 5.760</w:t>
            </w:r>
            <w:r/>
          </w:p>
        </w:tc>
        <w:tc>
          <w:tcPr>
            <w:shd w:val="clear" w:color="auto" w:fill="f1f5f9"/>
            <w:tcBorders>
              <w:top w:val="single" w:color="e2e8f0" w:sz="1" w:space="0"/>
              <w:left w:val="single" w:color="e2e8f0" w:sz="1" w:space="0"/>
              <w:bottom w:val="single" w:color="e2e8f0" w:sz="1" w:space="0"/>
              <w:right w:val="single" w:color="e2e8f0" w:sz="1" w:space="0"/>
            </w:tcBorders>
            <w:tcMar>
              <w:left w:w="40" w:type="dxa"/>
              <w:top w:w="65" w:type="dxa"/>
              <w:right w:w="40" w:type="dxa"/>
              <w:bottom w:w="65" w:type="dxa"/>
            </w:tcMar>
            <w:tcW w:w="400" w:type="dxa"/>
          </w:tcPr>
          <w:p>
            <w:pPr>
              <w:pBdr/>
              <w:spacing/>
              <w:ind/>
              <w:jc w:val="center"/>
              <w:rPr/>
            </w:pPr>
            <w:r/>
            <w:r/>
          </w:p>
        </w:tc>
      </w:tr>
      <w:tr>
        <w:trPr/>
        <w:tc>
          <w:tcPr>
            <w:shd w:val="clear" w:color="auto" w:fill="ccfbf1"/>
            <w:tcBorders>
              <w:top w:val="single" w:color="e2e8f0" w:sz="1" w:space="0"/>
              <w:left w:val="single" w:color="e2e8f0" w:sz="1" w:space="0"/>
              <w:bottom w:val="single" w:color="e2e8f0" w:sz="1" w:space="0"/>
              <w:right w:val="single" w:color="e2e8f0" w:sz="1" w:space="0"/>
            </w:tcBorders>
            <w:tcMar>
              <w:left w:w="120" w:type="dxa"/>
              <w:top w:w="65" w:type="dxa"/>
              <w:right w:w="80" w:type="dxa"/>
              <w:bottom w:w="65" w:type="dxa"/>
            </w:tcMar>
            <w:tcW w:w="4200" w:type="dxa"/>
          </w:tcPr>
          <w:p>
            <w:pPr>
              <w:pBdr/>
              <w:spacing w:after="100"/>
              <w:ind/>
              <w:rPr/>
            </w:pPr>
            <w:r>
              <w:rPr>
                <w:b/>
                <w:bCs/>
                <w:color w:val="0d9488"/>
                <w:sz w:val="20"/>
                <w:szCs w:val="20"/>
              </w:rPr>
              <w:t xml:space="preserve">TOTAL</w:t>
            </w:r>
            <w:r/>
          </w:p>
        </w:tc>
        <w:tc>
          <w:tcPr>
            <w:shd w:val="clear" w:color="auto" w:fill="ccfbf1"/>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b/>
                <w:bCs/>
                <w:color w:val="0d9488"/>
              </w:rPr>
              <w:t xml:space="preserve">USD 95.000</w:t>
            </w:r>
            <w:r/>
          </w:p>
        </w:tc>
        <w:tc>
          <w:tcPr>
            <w:shd w:val="clear" w:color="auto" w:fill="ccfbf1"/>
            <w:tcBorders>
              <w:top w:val="single" w:color="e2e8f0" w:sz="1" w:space="0"/>
              <w:left w:val="single" w:color="e2e8f0" w:sz="1" w:space="0"/>
              <w:bottom w:val="single" w:color="e2e8f0" w:sz="1" w:space="0"/>
              <w:right w:val="single" w:color="e2e8f0" w:sz="1" w:space="0"/>
            </w:tcBorders>
            <w:tcMar>
              <w:left w:w="80" w:type="dxa"/>
              <w:top w:w="65" w:type="dxa"/>
              <w:right w:w="80" w:type="dxa"/>
              <w:bottom w:w="65" w:type="dxa"/>
            </w:tcMar>
            <w:tcW w:w="2380" w:type="dxa"/>
          </w:tcPr>
          <w:p>
            <w:pPr>
              <w:pBdr/>
              <w:spacing/>
              <w:ind/>
              <w:jc w:val="right"/>
              <w:rPr/>
            </w:pPr>
            <w:r>
              <w:rPr>
                <w:b/>
                <w:bCs/>
                <w:color w:val="0d9488"/>
                <w:sz w:val="20"/>
                <w:szCs w:val="20"/>
              </w:rPr>
              <w:t xml:space="preserve">USD 97.400</w:t>
            </w:r>
            <w:r/>
          </w:p>
        </w:tc>
        <w:tc>
          <w:tcPr>
            <w:shd w:val="clear" w:color="auto" w:fill="ccfbf1"/>
            <w:tcBorders>
              <w:top w:val="single" w:color="e2e8f0" w:sz="1" w:space="0"/>
              <w:left w:val="single" w:color="e2e8f0" w:sz="1" w:space="0"/>
              <w:bottom w:val="single" w:color="e2e8f0" w:sz="1" w:space="0"/>
              <w:right w:val="single" w:color="e2e8f0" w:sz="1" w:space="0"/>
            </w:tcBorders>
            <w:tcMar>
              <w:left w:w="40" w:type="dxa"/>
              <w:top w:w="65" w:type="dxa"/>
              <w:right w:w="40" w:type="dxa"/>
              <w:bottom w:w="65" w:type="dxa"/>
            </w:tcMar>
            <w:tcW w:w="400" w:type="dxa"/>
          </w:tcPr>
          <w:p>
            <w:pPr>
              <w:pBdr/>
              <w:spacing/>
              <w:ind/>
              <w:jc w:val="center"/>
              <w:rPr/>
            </w:pPr>
            <w:r>
              <w:rPr>
                <w:color w:val="d97706"/>
              </w:rPr>
              <w:t xml:space="preserve">⚠</w:t>
            </w:r>
            <w:r/>
          </w:p>
        </w:tc>
      </w:tr>
    </w:tbl>
    <w:p>
      <w:pPr>
        <w:pBdr/>
        <w:spacing w:after="80"/>
        <w:ind/>
        <w:rPr/>
      </w:pPr>
      <w:r/>
      <w:r/>
    </w:p>
    <w:p>
      <w:pPr>
        <w:pStyle w:val="731"/>
        <w:pBdr/>
        <w:spacing w:after="100" w:before="180"/>
        <w:ind/>
        <w:rPr/>
      </w:pPr>
      <w:r>
        <w:t xml:space="preserve">Métricas del área de soporte técnico</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960"/>
        <w:gridCol w:w="2700"/>
        <w:gridCol w:w="2700"/>
      </w:tblGrid>
      <w:tr>
        <w:trPr/>
        <w:tc>
          <w:tcPr>
            <w:shd w:val="clear" w:color="auto" w:fill="0f1f3d"/>
            <w:tcBorders>
              <w:top w:val="single" w:color="0f1f3d" w:sz="1" w:space="0"/>
              <w:left w:val="single" w:color="0f1f3d" w:sz="1" w:space="0"/>
              <w:bottom w:val="single" w:color="0f1f3d" w:sz="1" w:space="0"/>
              <w:right w:val="single" w:color="0f1f3d" w:sz="1" w:space="0"/>
            </w:tcBorders>
            <w:tcMar>
              <w:left w:w="120" w:type="dxa"/>
              <w:top w:w="70" w:type="dxa"/>
              <w:right w:w="80" w:type="dxa"/>
              <w:bottom w:w="70" w:type="dxa"/>
            </w:tcMar>
            <w:tcW w:w="3960" w:type="dxa"/>
          </w:tcPr>
          <w:p>
            <w:pPr>
              <w:pBdr/>
              <w:spacing w:after="100"/>
              <w:ind/>
              <w:rPr/>
            </w:pPr>
            <w:r>
              <w:rPr>
                <w:b/>
                <w:bCs/>
                <w:color w:val="ffffff"/>
                <w:sz w:val="20"/>
                <w:szCs w:val="20"/>
              </w:rPr>
              <w:t xml:space="preserve">Métrica</w:t>
            </w:r>
            <w:r/>
          </w:p>
        </w:tc>
        <w:tc>
          <w:tcPr>
            <w:shd w:val="clear" w:color="auto" w:fill="0f1f3d"/>
            <w:tcBorders>
              <w:top w:val="single" w:color="0f1f3d" w:sz="1" w:space="0"/>
              <w:left w:val="single" w:color="0f1f3d" w:sz="1" w:space="0"/>
              <w:bottom w:val="single" w:color="0f1f3d" w:sz="1" w:space="0"/>
              <w:right w:val="single" w:color="0f1f3d" w:sz="1" w:space="0"/>
            </w:tcBorders>
            <w:tcMar>
              <w:left w:w="80" w:type="dxa"/>
              <w:top w:w="70" w:type="dxa"/>
              <w:right w:w="80" w:type="dxa"/>
              <w:bottom w:w="70" w:type="dxa"/>
            </w:tcMar>
            <w:tcW w:w="2700" w:type="dxa"/>
          </w:tcPr>
          <w:p>
            <w:pPr>
              <w:pBdr/>
              <w:spacing/>
              <w:ind/>
              <w:jc w:val="center"/>
              <w:rPr/>
            </w:pPr>
            <w:r>
              <w:rPr>
                <w:b/>
                <w:bCs/>
                <w:color w:val="ffffff"/>
                <w:sz w:val="20"/>
                <w:szCs w:val="20"/>
              </w:rPr>
              <w:t xml:space="preserve">Antes del proyecto</w:t>
            </w:r>
            <w:r/>
          </w:p>
        </w:tc>
        <w:tc>
          <w:tcPr>
            <w:shd w:val="clear" w:color="auto" w:fill="0f1f3d"/>
            <w:tcBorders>
              <w:top w:val="single" w:color="0f1f3d" w:sz="1" w:space="0"/>
              <w:left w:val="single" w:color="0f1f3d" w:sz="1" w:space="0"/>
              <w:bottom w:val="single" w:color="0f1f3d" w:sz="1" w:space="0"/>
              <w:right w:val="single" w:color="0f1f3d" w:sz="1" w:space="0"/>
            </w:tcBorders>
            <w:tcMar>
              <w:left w:w="80" w:type="dxa"/>
              <w:top w:w="70" w:type="dxa"/>
              <w:right w:w="80" w:type="dxa"/>
              <w:bottom w:w="70" w:type="dxa"/>
            </w:tcMar>
            <w:tcW w:w="2700" w:type="dxa"/>
          </w:tcPr>
          <w:p>
            <w:pPr>
              <w:pBdr/>
              <w:spacing/>
              <w:ind/>
              <w:jc w:val="center"/>
              <w:rPr/>
            </w:pPr>
            <w:r>
              <w:rPr>
                <w:b/>
                <w:bCs/>
                <w:color w:val="ffffff"/>
                <w:sz w:val="20"/>
                <w:szCs w:val="20"/>
              </w:rPr>
              <w:t xml:space="preserve">Después del proyecto</w:t>
            </w:r>
            <w:r/>
          </w:p>
        </w:tc>
      </w:tr>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70" w:type="dxa"/>
              <w:right w:w="80" w:type="dxa"/>
              <w:bottom w:w="70" w:type="dxa"/>
            </w:tcMar>
            <w:tcW w:w="3960" w:type="dxa"/>
          </w:tcPr>
          <w:p>
            <w:pPr>
              <w:pBdr/>
              <w:spacing w:after="100"/>
              <w:ind/>
              <w:rPr/>
            </w:pPr>
            <w:r>
              <w:rPr>
                <w:b/>
                <w:bCs/>
                <w:color w:val="0f1f3d"/>
              </w:rPr>
              <w:t xml:space="preserve">Sistema de gestión de incidentes</w:t>
            </w:r>
            <w:r/>
          </w:p>
        </w:tc>
        <w:tc>
          <w:tcPr>
            <w:shd w:val="clear" w:color="auto" w:fill="fff1f2"/>
            <w:tcBorders>
              <w:top w:val="single" w:color="e2e8f0" w:sz="1" w:space="0"/>
              <w:left w:val="single" w:color="e2e8f0" w:sz="1" w:space="0"/>
              <w:bottom w:val="single" w:color="e2e8f0" w:sz="1" w:space="0"/>
              <w:right w:val="single" w:color="e2e8f0" w:sz="1" w:space="0"/>
            </w:tcBorders>
            <w:tcMar>
              <w:left w:w="80" w:type="dxa"/>
              <w:top w:w="70" w:type="dxa"/>
              <w:right w:w="80" w:type="dxa"/>
              <w:bottom w:w="70" w:type="dxa"/>
            </w:tcMar>
            <w:tcW w:w="2700" w:type="dxa"/>
          </w:tcPr>
          <w:p>
            <w:pPr>
              <w:pBdr/>
              <w:spacing w:after="100"/>
              <w:ind/>
              <w:rPr/>
            </w:pPr>
            <w:r>
              <w:rPr>
                <w:color w:val="e11d48"/>
              </w:rPr>
              <w:t xml:space="preserve">WhatsApp personal + papel</w:t>
            </w:r>
            <w:r/>
          </w:p>
        </w:tc>
        <w:tc>
          <w:tcPr>
            <w:shd w:val="clear" w:color="auto" w:fill="f0fdf4"/>
            <w:tcBorders>
              <w:top w:val="single" w:color="e2e8f0" w:sz="1" w:space="0"/>
              <w:left w:val="single" w:color="e2e8f0" w:sz="1" w:space="0"/>
              <w:bottom w:val="single" w:color="e2e8f0" w:sz="1" w:space="0"/>
              <w:right w:val="single" w:color="e2e8f0" w:sz="1" w:space="0"/>
            </w:tcBorders>
            <w:tcMar>
              <w:left w:w="80" w:type="dxa"/>
              <w:top w:w="70" w:type="dxa"/>
              <w:right w:w="80" w:type="dxa"/>
              <w:bottom w:w="70" w:type="dxa"/>
            </w:tcMar>
            <w:tcW w:w="2700" w:type="dxa"/>
          </w:tcPr>
          <w:p>
            <w:pPr>
              <w:pBdr/>
              <w:spacing w:after="100"/>
              <w:ind/>
              <w:rPr/>
            </w:pPr>
            <w:r>
              <w:rPr>
                <w:color w:val="15803d"/>
              </w:rPr>
              <w:t xml:space="preserve">Freshdesk (sistema formal de tickets)</w:t>
            </w:r>
            <w:r/>
          </w:p>
        </w:tc>
      </w:tr>
      <w:tr>
        <w:trPr/>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70" w:type="dxa"/>
              <w:right w:w="80" w:type="dxa"/>
              <w:bottom w:w="70" w:type="dxa"/>
            </w:tcMar>
            <w:tcW w:w="3960" w:type="dxa"/>
          </w:tcPr>
          <w:p>
            <w:pPr>
              <w:pBdr/>
              <w:spacing w:after="100"/>
              <w:ind/>
              <w:rPr/>
            </w:pPr>
            <w:r>
              <w:rPr>
                <w:b/>
                <w:bCs/>
                <w:color w:val="0f1f3d"/>
              </w:rPr>
              <w:t xml:space="preserve">Tiempo promedio de resolución</w:t>
            </w:r>
            <w:r/>
          </w:p>
        </w:tc>
        <w:tc>
          <w:tcPr>
            <w:shd w:val="clear" w:color="auto" w:fill="ffffff"/>
            <w:tcBorders>
              <w:top w:val="single" w:color="e2e8f0" w:sz="1" w:space="0"/>
              <w:left w:val="single" w:color="e2e8f0" w:sz="1" w:space="0"/>
              <w:bottom w:val="single" w:color="e2e8f0" w:sz="1" w:space="0"/>
              <w:right w:val="single" w:color="e2e8f0" w:sz="1" w:space="0"/>
            </w:tcBorders>
            <w:tcMar>
              <w:left w:w="80" w:type="dxa"/>
              <w:top w:w="70" w:type="dxa"/>
              <w:right w:w="80" w:type="dxa"/>
              <w:bottom w:w="70" w:type="dxa"/>
            </w:tcMar>
            <w:tcW w:w="2700" w:type="dxa"/>
          </w:tcPr>
          <w:p>
            <w:pPr>
              <w:pBdr/>
              <w:spacing w:after="100"/>
              <w:ind/>
              <w:rPr/>
            </w:pPr>
            <w:r>
              <w:rPr>
                <w:color w:val="e11d48"/>
              </w:rPr>
              <w:t xml:space="preserve">Desconocido (no medido)</w:t>
            </w:r>
            <w:r/>
          </w:p>
        </w:tc>
        <w:tc>
          <w:tcPr>
            <w:shd w:val="clear" w:color="auto" w:fill="ffffff"/>
            <w:tcBorders>
              <w:top w:val="single" w:color="e2e8f0" w:sz="1" w:space="0"/>
              <w:left w:val="single" w:color="e2e8f0" w:sz="1" w:space="0"/>
              <w:bottom w:val="single" w:color="e2e8f0" w:sz="1" w:space="0"/>
              <w:right w:val="single" w:color="e2e8f0" w:sz="1" w:space="0"/>
            </w:tcBorders>
            <w:tcMar>
              <w:left w:w="80" w:type="dxa"/>
              <w:top w:w="70" w:type="dxa"/>
              <w:right w:w="80" w:type="dxa"/>
              <w:bottom w:w="70" w:type="dxa"/>
            </w:tcMar>
            <w:tcW w:w="2700" w:type="dxa"/>
          </w:tcPr>
          <w:p>
            <w:pPr>
              <w:pBdr/>
              <w:spacing w:after="100"/>
              <w:ind/>
              <w:rPr/>
            </w:pPr>
            <w:r>
              <w:rPr>
                <w:color w:val="15803d"/>
              </w:rPr>
              <w:t xml:space="preserve">3,8 horas</w:t>
            </w:r>
            <w:r/>
          </w:p>
        </w:tc>
      </w:tr>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70" w:type="dxa"/>
              <w:right w:w="80" w:type="dxa"/>
              <w:bottom w:w="70" w:type="dxa"/>
            </w:tcMar>
            <w:tcW w:w="3960" w:type="dxa"/>
          </w:tcPr>
          <w:p>
            <w:pPr>
              <w:pBdr/>
              <w:spacing w:after="100"/>
              <w:ind/>
              <w:rPr/>
            </w:pPr>
            <w:r>
              <w:rPr>
                <w:b/>
                <w:bCs/>
                <w:color w:val="0f1f3d"/>
              </w:rPr>
              <w:t xml:space="preserve">Tickets gestionados / mes</w:t>
            </w:r>
            <w:r/>
          </w:p>
        </w:tc>
        <w:tc>
          <w:tcPr>
            <w:shd w:val="clear" w:color="auto" w:fill="fff1f2"/>
            <w:tcBorders>
              <w:top w:val="single" w:color="e2e8f0" w:sz="1" w:space="0"/>
              <w:left w:val="single" w:color="e2e8f0" w:sz="1" w:space="0"/>
              <w:bottom w:val="single" w:color="e2e8f0" w:sz="1" w:space="0"/>
              <w:right w:val="single" w:color="e2e8f0" w:sz="1" w:space="0"/>
            </w:tcBorders>
            <w:tcMar>
              <w:left w:w="80" w:type="dxa"/>
              <w:top w:w="70" w:type="dxa"/>
              <w:right w:w="80" w:type="dxa"/>
              <w:bottom w:w="70" w:type="dxa"/>
            </w:tcMar>
            <w:tcW w:w="2700" w:type="dxa"/>
          </w:tcPr>
          <w:p>
            <w:pPr>
              <w:pBdr/>
              <w:spacing w:after="100"/>
              <w:ind/>
              <w:rPr/>
            </w:pPr>
            <w:r>
              <w:rPr>
                <w:color w:val="e11d48"/>
              </w:rPr>
              <w:t xml:space="preserve">No registrado</w:t>
            </w:r>
            <w:r/>
          </w:p>
        </w:tc>
        <w:tc>
          <w:tcPr>
            <w:shd w:val="clear" w:color="auto" w:fill="f0fdf4"/>
            <w:tcBorders>
              <w:top w:val="single" w:color="e2e8f0" w:sz="1" w:space="0"/>
              <w:left w:val="single" w:color="e2e8f0" w:sz="1" w:space="0"/>
              <w:bottom w:val="single" w:color="e2e8f0" w:sz="1" w:space="0"/>
              <w:right w:val="single" w:color="e2e8f0" w:sz="1" w:space="0"/>
            </w:tcBorders>
            <w:tcMar>
              <w:left w:w="80" w:type="dxa"/>
              <w:top w:w="70" w:type="dxa"/>
              <w:right w:w="80" w:type="dxa"/>
              <w:bottom w:w="70" w:type="dxa"/>
            </w:tcMar>
            <w:tcW w:w="2700" w:type="dxa"/>
          </w:tcPr>
          <w:p>
            <w:pPr>
              <w:pBdr/>
              <w:spacing w:after="100"/>
              <w:ind/>
              <w:rPr/>
            </w:pPr>
            <w:r>
              <w:rPr>
                <w:color w:val="15803d"/>
              </w:rPr>
              <w:t xml:space="preserve">312 (julio 2025)</w:t>
            </w:r>
            <w:r/>
          </w:p>
        </w:tc>
      </w:tr>
      <w:tr>
        <w:trPr/>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70" w:type="dxa"/>
              <w:right w:w="80" w:type="dxa"/>
              <w:bottom w:w="70" w:type="dxa"/>
            </w:tcMar>
            <w:tcW w:w="3960" w:type="dxa"/>
          </w:tcPr>
          <w:p>
            <w:pPr>
              <w:pBdr/>
              <w:spacing w:after="100"/>
              <w:ind/>
              <w:rPr/>
            </w:pPr>
            <w:r>
              <w:rPr>
                <w:b/>
                <w:bCs/>
                <w:color w:val="0f1f3d"/>
              </w:rPr>
              <w:t xml:space="preserve">Caídas de AD / mes (promedio)</w:t>
            </w:r>
            <w:r/>
          </w:p>
        </w:tc>
        <w:tc>
          <w:tcPr>
            <w:shd w:val="clear" w:color="auto" w:fill="ffffff"/>
            <w:tcBorders>
              <w:top w:val="single" w:color="e2e8f0" w:sz="1" w:space="0"/>
              <w:left w:val="single" w:color="e2e8f0" w:sz="1" w:space="0"/>
              <w:bottom w:val="single" w:color="e2e8f0" w:sz="1" w:space="0"/>
              <w:right w:val="single" w:color="e2e8f0" w:sz="1" w:space="0"/>
            </w:tcBorders>
            <w:tcMar>
              <w:left w:w="80" w:type="dxa"/>
              <w:top w:w="70" w:type="dxa"/>
              <w:right w:w="80" w:type="dxa"/>
              <w:bottom w:w="70" w:type="dxa"/>
            </w:tcMar>
            <w:tcW w:w="2700" w:type="dxa"/>
          </w:tcPr>
          <w:p>
            <w:pPr>
              <w:pBdr/>
              <w:spacing w:after="100"/>
              <w:ind/>
              <w:rPr/>
            </w:pPr>
            <w:r>
              <w:rPr>
                <w:color w:val="e11d48"/>
              </w:rPr>
              <w:t xml:space="preserve">2–3 caídas</w:t>
            </w:r>
            <w:r/>
          </w:p>
        </w:tc>
        <w:tc>
          <w:tcPr>
            <w:shd w:val="clear" w:color="auto" w:fill="ffffff"/>
            <w:tcBorders>
              <w:top w:val="single" w:color="e2e8f0" w:sz="1" w:space="0"/>
              <w:left w:val="single" w:color="e2e8f0" w:sz="1" w:space="0"/>
              <w:bottom w:val="single" w:color="e2e8f0" w:sz="1" w:space="0"/>
              <w:right w:val="single" w:color="e2e8f0" w:sz="1" w:space="0"/>
            </w:tcBorders>
            <w:tcMar>
              <w:left w:w="80" w:type="dxa"/>
              <w:top w:w="70" w:type="dxa"/>
              <w:right w:w="80" w:type="dxa"/>
              <w:bottom w:w="70" w:type="dxa"/>
            </w:tcMar>
            <w:tcW w:w="2700" w:type="dxa"/>
          </w:tcPr>
          <w:p>
            <w:pPr>
              <w:pBdr/>
              <w:spacing w:after="100"/>
              <w:ind/>
              <w:rPr/>
            </w:pPr>
            <w:r>
              <w:rPr>
                <w:color w:val="15803d"/>
              </w:rPr>
              <w:t xml:space="preserve">0 caídas (nuevo hardware)</w:t>
            </w:r>
            <w:r/>
          </w:p>
        </w:tc>
      </w:tr>
      <w:tr>
        <w:trPr/>
        <w:tc>
          <w:tcPr>
            <w:shd w:val="clear" w:color="auto" w:fill="f1f5f9"/>
            <w:tcBorders>
              <w:top w:val="single" w:color="e2e8f0" w:sz="1" w:space="0"/>
              <w:left w:val="single" w:color="e2e8f0" w:sz="1" w:space="0"/>
              <w:bottom w:val="single" w:color="e2e8f0" w:sz="1" w:space="0"/>
              <w:right w:val="single" w:color="e2e8f0" w:sz="1" w:space="0"/>
            </w:tcBorders>
            <w:tcMar>
              <w:left w:w="120" w:type="dxa"/>
              <w:top w:w="70" w:type="dxa"/>
              <w:right w:w="80" w:type="dxa"/>
              <w:bottom w:w="70" w:type="dxa"/>
            </w:tcMar>
            <w:tcW w:w="3960" w:type="dxa"/>
          </w:tcPr>
          <w:p>
            <w:pPr>
              <w:pBdr/>
              <w:spacing w:after="100"/>
              <w:ind/>
              <w:rPr/>
            </w:pPr>
            <w:r>
              <w:rPr>
                <w:b/>
                <w:bCs/>
                <w:color w:val="0f1f3d"/>
              </w:rPr>
              <w:t xml:space="preserve">Documentación de red</w:t>
            </w:r>
            <w:r/>
          </w:p>
        </w:tc>
        <w:tc>
          <w:tcPr>
            <w:shd w:val="clear" w:color="auto" w:fill="fff1f2"/>
            <w:tcBorders>
              <w:top w:val="single" w:color="e2e8f0" w:sz="1" w:space="0"/>
              <w:left w:val="single" w:color="e2e8f0" w:sz="1" w:space="0"/>
              <w:bottom w:val="single" w:color="e2e8f0" w:sz="1" w:space="0"/>
              <w:right w:val="single" w:color="e2e8f0" w:sz="1" w:space="0"/>
            </w:tcBorders>
            <w:tcMar>
              <w:left w:w="80" w:type="dxa"/>
              <w:top w:w="70" w:type="dxa"/>
              <w:right w:w="80" w:type="dxa"/>
              <w:bottom w:w="70" w:type="dxa"/>
            </w:tcMar>
            <w:tcW w:w="2700" w:type="dxa"/>
          </w:tcPr>
          <w:p>
            <w:pPr>
              <w:pBdr/>
              <w:spacing w:after="100"/>
              <w:ind/>
              <w:rPr/>
            </w:pPr>
            <w:r>
              <w:rPr>
                <w:color w:val="e11d48"/>
              </w:rPr>
              <w:t xml:space="preserve">Ninguna</w:t>
            </w:r>
            <w:r/>
          </w:p>
        </w:tc>
        <w:tc>
          <w:tcPr>
            <w:shd w:val="clear" w:color="auto" w:fill="f0fdf4"/>
            <w:tcBorders>
              <w:top w:val="single" w:color="e2e8f0" w:sz="1" w:space="0"/>
              <w:left w:val="single" w:color="e2e8f0" w:sz="1" w:space="0"/>
              <w:bottom w:val="single" w:color="e2e8f0" w:sz="1" w:space="0"/>
              <w:right w:val="single" w:color="e2e8f0" w:sz="1" w:space="0"/>
            </w:tcBorders>
            <w:tcMar>
              <w:left w:w="80" w:type="dxa"/>
              <w:top w:w="70" w:type="dxa"/>
              <w:right w:w="80" w:type="dxa"/>
              <w:bottom w:w="70" w:type="dxa"/>
            </w:tcMar>
            <w:tcW w:w="2700" w:type="dxa"/>
          </w:tcPr>
          <w:p>
            <w:pPr>
              <w:pBdr/>
              <w:spacing w:after="100"/>
              <w:ind/>
              <w:rPr/>
            </w:pPr>
            <w:r>
              <w:rPr>
                <w:color w:val="15803d"/>
              </w:rPr>
              <w:t xml:space="preserve">Diagrama de red + planos de cableado por sede</w:t>
            </w:r>
            <w:r/>
          </w:p>
        </w:tc>
      </w:tr>
      <w:tr>
        <w:trPr/>
        <w:tc>
          <w:tcPr>
            <w:shd w:val="clear" w:color="auto" w:fill="ffffff"/>
            <w:tcBorders>
              <w:top w:val="single" w:color="e2e8f0" w:sz="1" w:space="0"/>
              <w:left w:val="single" w:color="e2e8f0" w:sz="1" w:space="0"/>
              <w:bottom w:val="single" w:color="e2e8f0" w:sz="1" w:space="0"/>
              <w:right w:val="single" w:color="e2e8f0" w:sz="1" w:space="0"/>
            </w:tcBorders>
            <w:tcMar>
              <w:left w:w="120" w:type="dxa"/>
              <w:top w:w="70" w:type="dxa"/>
              <w:right w:w="80" w:type="dxa"/>
              <w:bottom w:w="70" w:type="dxa"/>
            </w:tcMar>
            <w:tcW w:w="3960" w:type="dxa"/>
          </w:tcPr>
          <w:p>
            <w:pPr>
              <w:pBdr/>
              <w:spacing w:after="100"/>
              <w:ind/>
              <w:rPr/>
            </w:pPr>
            <w:r>
              <w:rPr>
                <w:b/>
                <w:bCs/>
                <w:color w:val="0f1f3d"/>
              </w:rPr>
              <w:t xml:space="preserve">SLA definido</w:t>
            </w:r>
            <w:r/>
          </w:p>
        </w:tc>
        <w:tc>
          <w:tcPr>
            <w:shd w:val="clear" w:color="auto" w:fill="ffffff"/>
            <w:tcBorders>
              <w:top w:val="single" w:color="e2e8f0" w:sz="1" w:space="0"/>
              <w:left w:val="single" w:color="e2e8f0" w:sz="1" w:space="0"/>
              <w:bottom w:val="single" w:color="e2e8f0" w:sz="1" w:space="0"/>
              <w:right w:val="single" w:color="e2e8f0" w:sz="1" w:space="0"/>
            </w:tcBorders>
            <w:tcMar>
              <w:left w:w="80" w:type="dxa"/>
              <w:top w:w="70" w:type="dxa"/>
              <w:right w:w="80" w:type="dxa"/>
              <w:bottom w:w="70" w:type="dxa"/>
            </w:tcMar>
            <w:tcW w:w="2700" w:type="dxa"/>
          </w:tcPr>
          <w:p>
            <w:pPr>
              <w:pBdr/>
              <w:spacing w:after="100"/>
              <w:ind/>
              <w:rPr/>
            </w:pPr>
            <w:r>
              <w:rPr>
                <w:color w:val="e11d48"/>
              </w:rPr>
              <w:t xml:space="preserve">No existía</w:t>
            </w:r>
            <w:r/>
          </w:p>
        </w:tc>
        <w:tc>
          <w:tcPr>
            <w:shd w:val="clear" w:color="auto" w:fill="ffffff"/>
            <w:tcBorders>
              <w:top w:val="single" w:color="e2e8f0" w:sz="1" w:space="0"/>
              <w:left w:val="single" w:color="e2e8f0" w:sz="1" w:space="0"/>
              <w:bottom w:val="single" w:color="e2e8f0" w:sz="1" w:space="0"/>
              <w:right w:val="single" w:color="e2e8f0" w:sz="1" w:space="0"/>
            </w:tcBorders>
            <w:tcMar>
              <w:left w:w="80" w:type="dxa"/>
              <w:top w:w="70" w:type="dxa"/>
              <w:right w:w="80" w:type="dxa"/>
              <w:bottom w:w="70" w:type="dxa"/>
            </w:tcMar>
            <w:tcW w:w="2700" w:type="dxa"/>
          </w:tcPr>
          <w:p>
            <w:pPr>
              <w:pBdr/>
              <w:spacing w:after="100"/>
              <w:ind/>
              <w:rPr/>
            </w:pPr>
            <w:r>
              <w:rPr>
                <w:color w:val="15803d"/>
              </w:rPr>
              <w:t xml:space="preserve">Crítico: 1h · Alto: 4h · Normal: 24h</w:t>
            </w:r>
            <w:r/>
          </w:p>
        </w:tc>
      </w:tr>
    </w:tbl>
    <w:p>
      <w:pPr>
        <w:pBdr/>
        <w:spacing w:after="80"/>
        <w:ind/>
        <w:rPr/>
      </w:pPr>
      <w:r/>
      <w:r/>
    </w:p>
    <w:p>
      <w:pPr>
        <w:pBdr/>
        <w:spacing w:after="80"/>
        <w:ind/>
        <w:rPr/>
      </w:pPr>
      <w:r/>
      <w:r/>
    </w:p>
    <w:p>
      <w:pPr>
        <w:pBdr/>
        <w:spacing/>
        <w:ind/>
        <w:rPr/>
      </w:pPr>
      <w:r>
        <w:br w:type="page" w:clear="all"/>
      </w:r>
      <w:r/>
    </w:p>
    <w:p>
      <w:pPr>
        <w:pStyle w:val="730"/>
        <w:pBdr/>
        <w:spacing w:after="120" w:before="240"/>
        <w:ind/>
        <w:rPr/>
      </w:pPr>
      <w:r>
        <w:t xml:space="preserve">Consignas — Resolvé cada punto justificando tu respuesta</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360"/>
      </w:tblGrid>
      <w:tr>
        <w:trPr/>
        <w:tc>
          <w:tcPr>
            <w:shd w:val="clear" w:color="auto" w:fill="fff1f2"/>
            <w:tcBorders>
              <w:top w:val="single" w:color="e11d48" w:sz="1" w:space="0"/>
              <w:left w:val="single" w:color="e11d48" w:sz="1" w:space="0"/>
              <w:bottom w:val="single" w:color="e11d48" w:sz="1" w:space="0"/>
              <w:right w:val="single" w:color="e11d48" w:sz="1" w:space="0"/>
            </w:tcBorders>
            <w:tcMar>
              <w:left w:w="160" w:type="dxa"/>
              <w:top w:w="100" w:type="dxa"/>
              <w:right w:w="120" w:type="dxa"/>
              <w:bottom w:w="100" w:type="dxa"/>
            </w:tcMar>
            <w:tcW w:w="9360" w:type="dxa"/>
          </w:tcPr>
          <w:p>
            <w:pPr>
              <w:pBdr/>
              <w:spacing w:after="100"/>
              <w:ind/>
              <w:rPr/>
            </w:pPr>
            <w:r>
              <w:rPr>
                <w:b/>
                <w:bCs/>
                <w:color w:val="e11d48"/>
              </w:rPr>
              <w:t xml:space="preserve">⚠  Importante: </w:t>
            </w:r>
            <w:r>
              <w:rPr>
                <w:color w:val="334155"/>
              </w:rPr>
              <w:t xml:space="preserve">No alcanza con mencionar el concepto. Cada respuesta debe aplicarlo al caso Meridian con argumentos concretos. Citá personas, hechos y fechas del texto cuando sea posible.</w:t>
            </w:r>
            <w:r/>
          </w:p>
        </w:tc>
      </w:tr>
    </w:tbl>
    <w:p>
      <w:pPr>
        <w:pBdr/>
        <w:spacing w:after="8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360"/>
      </w:tblGrid>
      <w:tr>
        <w:trPr/>
        <w:tc>
          <w:tcPr>
            <w:shd w:val="clear" w:color="auto" w:fill="0f1f3d"/>
            <w:tcBorders>
              <w:top w:val="single" w:color="0f1f3d" w:sz="1" w:space="0"/>
              <w:left w:val="single" w:color="0f1f3d" w:sz="1" w:space="0"/>
              <w:bottom w:val="single" w:color="0f1f3d" w:sz="1" w:space="0"/>
              <w:right w:val="single" w:color="0f1f3d" w:sz="1" w:space="0"/>
            </w:tcBorders>
            <w:tcMar>
              <w:left w:w="160" w:type="dxa"/>
              <w:top w:w="80" w:type="dxa"/>
              <w:right w:w="120" w:type="dxa"/>
              <w:bottom w:w="80" w:type="dxa"/>
            </w:tcMar>
            <w:tcW w:w="9360" w:type="dxa"/>
          </w:tcPr>
          <w:p>
            <w:pPr>
              <w:pBdr/>
              <w:spacing w:after="100"/>
              <w:ind/>
              <w:rPr/>
            </w:pPr>
            <w:r>
              <w:rPr>
                <w:b/>
                <w:bCs/>
                <w:color w:val="0d9488"/>
              </w:rPr>
              <w:t xml:space="preserve">Pregunta 1  </w:t>
            </w:r>
            <w:r>
              <w:rPr>
                <w:b/>
                <w:bCs/>
                <w:color w:val="ffffff"/>
              </w:rPr>
              <w:t xml:space="preserve">— Planeación estratégica, táctica y operacional</w:t>
            </w:r>
            <w:r/>
          </w:p>
        </w:tc>
      </w:tr>
      <w:tr>
        <w:trPr/>
        <w:tc>
          <w:tcPr>
            <w:shd w:val="clear" w:color="auto" w:fill="f8fafc"/>
            <w:tcBorders>
              <w:top w:val="single" w:color="0f1f3d" w:sz="1" w:space="0"/>
              <w:left w:val="single" w:color="0f1f3d" w:sz="1" w:space="0"/>
              <w:bottom w:val="single" w:color="0f1f3d" w:sz="1" w:space="0"/>
              <w:right w:val="single" w:color="0f1f3d" w:sz="1" w:space="0"/>
            </w:tcBorders>
            <w:tcMar>
              <w:left w:w="200" w:type="dxa"/>
              <w:top w:w="120" w:type="dxa"/>
              <w:right w:w="160" w:type="dxa"/>
              <w:bottom w:w="120" w:type="dxa"/>
            </w:tcMar>
            <w:tcW w:w="9360" w:type="dxa"/>
          </w:tcPr>
          <w:p>
            <w:pPr>
              <w:pBdr/>
              <w:spacing w:after="100"/>
              <w:ind/>
              <w:rPr/>
            </w:pPr>
            <w:r>
              <w:rPr>
                <w:color w:val="334155"/>
              </w:rPr>
              <w:t xml:space="preserve">Identificá al menos una </w:t>
            </w:r>
            <w:r>
              <w:rPr>
                <w:color w:val="334155"/>
              </w:rPr>
              <w:t xml:space="preserve">decisión o acción concreta del caso Meridian que corresponda a cada uno de los tres niveles de planeación. Justificá por qué la ubicás en ese nivel (horizonte temporal, quién la tomó, qué abarca) y quién debería ser responsable de cada una según la teoría.</w:t>
            </w:r>
            <w:r/>
          </w:p>
          <w:p>
            <w:pPr>
              <w:pBdr/>
              <w:spacing w:after="100"/>
              <w:ind/>
              <w:rPr/>
            </w:pPr>
            <w:r>
              <w:rPr>
                <w:b/>
                <w:bCs/>
                <w:color w:val="334155"/>
              </w:rPr>
              <w:t xml:space="preserve">Guía para responder:</w:t>
            </w:r>
            <w:r/>
          </w:p>
          <w:p>
            <w:pPr>
              <w:pStyle w:val="757"/>
              <w:numPr>
                <w:ilvl w:val="0"/>
                <w:numId w:val="4"/>
              </w:numPr>
              <w:pBdr/>
              <w:spacing w:after="60"/>
              <w:ind/>
              <w:contextualSpacing w:val="false"/>
              <w:rPr/>
            </w:pPr>
            <w:r>
              <w:rPr>
                <w:color w:val="334155"/>
              </w:rPr>
              <w:t xml:space="preserve">Estratégico = largo plazo, alta dirección, define hacia dónde va la organización.</w:t>
            </w:r>
            <w:r/>
          </w:p>
          <w:p>
            <w:pPr>
              <w:pStyle w:val="757"/>
              <w:numPr>
                <w:ilvl w:val="0"/>
                <w:numId w:val="4"/>
              </w:numPr>
              <w:pBdr/>
              <w:spacing w:after="60"/>
              <w:ind/>
              <w:contextualSpacing w:val="false"/>
              <w:rPr/>
            </w:pPr>
            <w:r>
              <w:rPr>
                <w:color w:val="334155"/>
              </w:rPr>
              <w:t xml:space="preserve">Táctico = mediano plazo, gerencia, traduce la estrategia en programas y proyectos concretos.</w:t>
            </w:r>
            <w:r/>
          </w:p>
          <w:p>
            <w:pPr>
              <w:pStyle w:val="757"/>
              <w:numPr>
                <w:ilvl w:val="0"/>
                <w:numId w:val="4"/>
              </w:numPr>
              <w:pBdr/>
              <w:spacing w:after="60"/>
              <w:ind/>
              <w:contextualSpacing w:val="false"/>
              <w:rPr/>
            </w:pPr>
            <w:r>
              <w:rPr>
                <w:color w:val="334155"/>
              </w:rPr>
              <w:t xml:space="preserve">Operacional = corto plazo, tareas diarias, quién hace qué y cuándo.</w:t>
            </w:r>
            <w:r/>
          </w:p>
          <w:p>
            <w:pPr>
              <w:pStyle w:val="757"/>
              <w:numPr>
                <w:ilvl w:val="0"/>
                <w:numId w:val="4"/>
              </w:numPr>
              <w:pBdr/>
              <w:spacing w:after="60"/>
              <w:ind/>
              <w:contextualSpacing w:val="false"/>
              <w:rPr/>
            </w:pPr>
            <w:r>
              <w:rPr>
                <w:color w:val="334155"/>
              </w:rPr>
              <w:t xml:space="preserve">Revisá las decisiones de marzo y junio — pueden ser un buen punto de partida para los niveles táctico y operacional.</w:t>
            </w:r>
            <w:r/>
          </w:p>
          <w:p>
            <w:pPr>
              <w:pStyle w:val="757"/>
              <w:numPr>
                <w:ilvl w:val="0"/>
                <w:numId w:val="4"/>
              </w:numPr>
              <w:pBdr/>
              <w:spacing w:after="60"/>
              <w:ind/>
              <w:contextualSpacing w:val="false"/>
              <w:rPr/>
            </w:pPr>
            <w:r>
              <w:rPr>
                <w:color w:val="334155"/>
              </w:rPr>
              <w:t xml:space="preserve">¿La decisión del directorio de aprobar el presupuesto en qué nivel va? ¿Y la de Hernán de asignar tareas verbalmente en marzo?</w:t>
            </w:r>
            <w:r/>
          </w:p>
          <w:p>
            <w:pPr>
              <w:pBdr/>
              <w:spacing w:after="80"/>
              <w:ind/>
              <w:rPr/>
            </w:pPr>
            <w:r/>
            <w:r/>
          </w:p>
          <w:p>
            <w:pPr>
              <w:pBdr>
                <w:top w:val="single" w:color="e2e8f0" w:sz="4" w:space="1"/>
              </w:pBdr>
              <w:spacing w:after="40" w:before="80"/>
              <w:ind/>
              <w:rPr/>
            </w:pPr>
            <w:r>
              <w:rPr>
                <w:b/>
                <w:bCs/>
                <w:color w:val="94a3b8"/>
                <w:sz w:val="20"/>
                <w:szCs w:val="20"/>
              </w:rPr>
              <w:t xml:space="preserve">Respuesta:</w:t>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tc>
      </w:tr>
    </w:tbl>
    <w:p>
      <w:pPr>
        <w:pBdr/>
        <w:spacing w:after="8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360"/>
      </w:tblGrid>
      <w:tr>
        <w:trPr/>
        <w:tc>
          <w:tcPr>
            <w:shd w:val="clear" w:color="auto" w:fill="0f1f3d"/>
            <w:tcBorders>
              <w:top w:val="single" w:color="0f1f3d" w:sz="1" w:space="0"/>
              <w:left w:val="single" w:color="0f1f3d" w:sz="1" w:space="0"/>
              <w:bottom w:val="single" w:color="0f1f3d" w:sz="1" w:space="0"/>
              <w:right w:val="single" w:color="0f1f3d" w:sz="1" w:space="0"/>
            </w:tcBorders>
            <w:tcMar>
              <w:left w:w="160" w:type="dxa"/>
              <w:top w:w="80" w:type="dxa"/>
              <w:right w:w="120" w:type="dxa"/>
              <w:bottom w:w="80" w:type="dxa"/>
            </w:tcMar>
            <w:tcW w:w="9360" w:type="dxa"/>
          </w:tcPr>
          <w:p>
            <w:pPr>
              <w:pBdr/>
              <w:spacing w:after="100"/>
              <w:ind/>
              <w:rPr/>
            </w:pPr>
            <w:r>
              <w:rPr>
                <w:b/>
                <w:bCs/>
                <w:color w:val="0d9488"/>
              </w:rPr>
              <w:t xml:space="preserve">Pregunta 2  </w:t>
            </w:r>
            <w:r>
              <w:rPr>
                <w:b/>
                <w:bCs/>
                <w:color w:val="ffffff"/>
              </w:rPr>
              <w:t xml:space="preserve">— Objetivos SMART</w:t>
            </w:r>
            <w:r/>
          </w:p>
        </w:tc>
      </w:tr>
      <w:tr>
        <w:trPr/>
        <w:tc>
          <w:tcPr>
            <w:shd w:val="clear" w:color="auto" w:fill="f8fafc"/>
            <w:tcBorders>
              <w:top w:val="single" w:color="0f1f3d" w:sz="1" w:space="0"/>
              <w:left w:val="single" w:color="0f1f3d" w:sz="1" w:space="0"/>
              <w:bottom w:val="single" w:color="0f1f3d" w:sz="1" w:space="0"/>
              <w:right w:val="single" w:color="0f1f3d" w:sz="1" w:space="0"/>
            </w:tcBorders>
            <w:tcMar>
              <w:left w:w="200" w:type="dxa"/>
              <w:top w:w="120" w:type="dxa"/>
              <w:right w:w="160" w:type="dxa"/>
              <w:bottom w:w="120" w:type="dxa"/>
            </w:tcMar>
            <w:tcW w:w="9360" w:type="dxa"/>
          </w:tcPr>
          <w:p>
            <w:pPr>
              <w:pBdr/>
              <w:spacing w:after="100"/>
              <w:ind/>
              <w:rPr/>
            </w:pPr>
            <w:r>
              <w:rPr>
                <w:color w:val="334155"/>
              </w:rPr>
              <w:t xml:space="preserve">El objetivo definido para el proyec</w:t>
            </w:r>
            <w:r>
              <w:rPr>
                <w:color w:val="334155"/>
              </w:rPr>
              <w:t xml:space="preserve">to fue: "estar operativos con la nueva plataforma antes del cierre de ejercicio fiscal". Analizá ese objetivo con los criterios SMART. Luego reescribilo como un objetivo SMART correcto para el proyecto Meridian, usando la información disponible en el caso.</w:t>
            </w:r>
            <w:r/>
          </w:p>
          <w:p>
            <w:pPr>
              <w:pBdr/>
              <w:spacing w:after="100"/>
              <w:ind/>
              <w:rPr/>
            </w:pPr>
            <w:r>
              <w:rPr>
                <w:b/>
                <w:bCs/>
                <w:color w:val="334155"/>
              </w:rPr>
              <w:t xml:space="preserve">Guía para responder:</w:t>
            </w:r>
            <w:r/>
          </w:p>
          <w:p>
            <w:pPr>
              <w:pStyle w:val="757"/>
              <w:numPr>
                <w:ilvl w:val="0"/>
                <w:numId w:val="4"/>
              </w:numPr>
              <w:pBdr/>
              <w:spacing w:after="60"/>
              <w:ind/>
              <w:contextualSpacing w:val="false"/>
              <w:rPr/>
            </w:pPr>
            <w:r>
              <w:rPr>
                <w:color w:val="334155"/>
              </w:rPr>
              <w:t xml:space="preserve">Evaluá cada letra S-M-A-R-T para el objetivo original: ¿cumple o no? ¿Por qué?</w:t>
            </w:r>
            <w:r/>
          </w:p>
          <w:p>
            <w:pPr>
              <w:pStyle w:val="757"/>
              <w:numPr>
                <w:ilvl w:val="0"/>
                <w:numId w:val="4"/>
              </w:numPr>
              <w:pBdr/>
              <w:spacing w:after="60"/>
              <w:ind/>
              <w:contextualSpacing w:val="false"/>
              <w:rPr/>
            </w:pPr>
            <w:r>
              <w:rPr>
                <w:color w:val="334155"/>
              </w:rPr>
              <w:t xml:space="preserve">Para reescribirlo, usá datos concretos del caso: sedes, tecnologías, fechas, métricas de soporte.</w:t>
            </w:r>
            <w:r/>
          </w:p>
          <w:p>
            <w:pPr>
              <w:pStyle w:val="757"/>
              <w:numPr>
                <w:ilvl w:val="0"/>
                <w:numId w:val="4"/>
              </w:numPr>
              <w:pBdr/>
              <w:spacing w:after="60"/>
              <w:ind/>
              <w:contextualSpacing w:val="false"/>
              <w:rPr/>
            </w:pPr>
            <w:r>
              <w:rPr>
                <w:color w:val="334155"/>
              </w:rPr>
              <w:t xml:space="preserve">Un buen objetivo SMART para infraestructura TI suele incluir: qué se implementa, en qué sedes, con qué criterio de aceptación técnica y en qué fecha.</w:t>
            </w:r>
            <w:r/>
          </w:p>
          <w:p>
            <w:pPr>
              <w:pStyle w:val="757"/>
              <w:numPr>
                <w:ilvl w:val="0"/>
                <w:numId w:val="4"/>
              </w:numPr>
              <w:pBdr/>
              <w:spacing w:after="60"/>
              <w:ind/>
              <w:contextualSpacing w:val="false"/>
              <w:rPr/>
            </w:pPr>
            <w:r>
              <w:rPr>
                <w:color w:val="334155"/>
              </w:rPr>
              <w:t xml:space="preserve">Pista: la certificación FLUKE y los SLA de Freshdesk son métricas excelentes para el criterio M.</w:t>
            </w:r>
            <w:r/>
          </w:p>
          <w:p>
            <w:pPr>
              <w:pBdr/>
              <w:spacing w:after="80"/>
              <w:ind/>
              <w:rPr/>
            </w:pPr>
            <w:r/>
            <w:r/>
          </w:p>
          <w:p>
            <w:pPr>
              <w:pBdr>
                <w:top w:val="single" w:color="e2e8f0" w:sz="4" w:space="1"/>
              </w:pBdr>
              <w:spacing w:after="40" w:before="80"/>
              <w:ind/>
              <w:rPr/>
            </w:pPr>
            <w:r>
              <w:rPr>
                <w:b/>
                <w:bCs/>
                <w:color w:val="94a3b8"/>
                <w:sz w:val="20"/>
                <w:szCs w:val="20"/>
              </w:rPr>
              <w:t xml:space="preserve">Respuesta:</w:t>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tc>
      </w:tr>
    </w:tbl>
    <w:p>
      <w:pPr>
        <w:pBdr/>
        <w:spacing w:after="8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360"/>
      </w:tblGrid>
      <w:tr>
        <w:trPr/>
        <w:tc>
          <w:tcPr>
            <w:shd w:val="clear" w:color="auto" w:fill="0f1f3d"/>
            <w:tcBorders>
              <w:top w:val="single" w:color="0f1f3d" w:sz="1" w:space="0"/>
              <w:left w:val="single" w:color="0f1f3d" w:sz="1" w:space="0"/>
              <w:bottom w:val="single" w:color="0f1f3d" w:sz="1" w:space="0"/>
              <w:right w:val="single" w:color="0f1f3d" w:sz="1" w:space="0"/>
            </w:tcBorders>
            <w:tcMar>
              <w:left w:w="160" w:type="dxa"/>
              <w:top w:w="80" w:type="dxa"/>
              <w:right w:w="120" w:type="dxa"/>
              <w:bottom w:w="80" w:type="dxa"/>
            </w:tcMar>
            <w:tcW w:w="9360" w:type="dxa"/>
          </w:tcPr>
          <w:p>
            <w:pPr>
              <w:pBdr/>
              <w:spacing w:after="100"/>
              <w:ind/>
              <w:rPr/>
            </w:pPr>
            <w:r>
              <w:rPr>
                <w:b/>
                <w:bCs/>
                <w:color w:val="0d9488"/>
              </w:rPr>
              <w:t xml:space="preserve">Pregunta 3  </w:t>
            </w:r>
            <w:r>
              <w:rPr>
                <w:b/>
                <w:bCs/>
                <w:color w:val="ffffff"/>
              </w:rPr>
              <w:t xml:space="preserve">— El plan en organizaciones TI</w:t>
            </w:r>
            <w:r/>
          </w:p>
        </w:tc>
      </w:tr>
      <w:tr>
        <w:trPr/>
        <w:tc>
          <w:tcPr>
            <w:shd w:val="clear" w:color="auto" w:fill="f8fafc"/>
            <w:tcBorders>
              <w:top w:val="single" w:color="0f1f3d" w:sz="1" w:space="0"/>
              <w:left w:val="single" w:color="0f1f3d" w:sz="1" w:space="0"/>
              <w:bottom w:val="single" w:color="0f1f3d" w:sz="1" w:space="0"/>
              <w:right w:val="single" w:color="0f1f3d" w:sz="1" w:space="0"/>
            </w:tcBorders>
            <w:tcMar>
              <w:left w:w="200" w:type="dxa"/>
              <w:top w:w="120" w:type="dxa"/>
              <w:right w:w="160" w:type="dxa"/>
              <w:bottom w:w="120" w:type="dxa"/>
            </w:tcMar>
            <w:tcW w:w="9360" w:type="dxa"/>
          </w:tcPr>
          <w:p>
            <w:pPr>
              <w:pBdr/>
              <w:spacing w:after="100"/>
              <w:ind/>
              <w:rPr/>
            </w:pPr>
            <w:r>
              <w:rPr>
                <w:color w:val="334155"/>
              </w:rPr>
              <w:t xml:space="preserve">El texto menciona claramen</w:t>
            </w:r>
            <w:r>
              <w:rPr>
                <w:color w:val="334155"/>
              </w:rPr>
              <w:t xml:space="preserve">te qué no se hizo en marzo. Identificá al menos tres consecuencias concretas de no tener un plan formal desde el inicio. Luego, para cada consecuencia, nombrá el componente del Plan de Gerencia de Proyectos que la habría evitado o reducido, y explicá cómo.</w:t>
            </w:r>
            <w:r/>
          </w:p>
          <w:p>
            <w:pPr>
              <w:pBdr/>
              <w:spacing w:after="100"/>
              <w:ind/>
              <w:rPr/>
            </w:pPr>
            <w:r>
              <w:rPr>
                <w:b/>
                <w:bCs/>
                <w:color w:val="334155"/>
              </w:rPr>
              <w:t xml:space="preserve">Guía para responder:</w:t>
            </w:r>
            <w:r/>
          </w:p>
          <w:p>
            <w:pPr>
              <w:pStyle w:val="757"/>
              <w:numPr>
                <w:ilvl w:val="0"/>
                <w:numId w:val="4"/>
              </w:numPr>
              <w:pBdr/>
              <w:spacing w:after="60"/>
              <w:ind/>
              <w:contextualSpacing w:val="false"/>
              <w:rPr/>
            </w:pPr>
            <w:r>
              <w:rPr>
                <w:color w:val="334155"/>
              </w:rPr>
              <w:t xml:space="preserve">Las consecuencias deben ser eventos concretos del caso (no genéricos).</w:t>
            </w:r>
            <w:r/>
          </w:p>
          <w:p>
            <w:pPr>
              <w:pStyle w:val="757"/>
              <w:numPr>
                <w:ilvl w:val="0"/>
                <w:numId w:val="4"/>
              </w:numPr>
              <w:pBdr/>
              <w:spacing w:after="60"/>
              <w:ind/>
              <w:contextualSpacing w:val="false"/>
              <w:rPr/>
            </w:pPr>
            <w:r>
              <w:rPr>
                <w:color w:val="334155"/>
              </w:rPr>
              <w:t xml:space="preserve">Recordá los componentes del plan: alcance, EAP, cronograma, presupuesto, riesgos, roles, comunicación, calidad.</w:t>
            </w:r>
            <w:r/>
          </w:p>
          <w:p>
            <w:pPr>
              <w:pStyle w:val="757"/>
              <w:numPr>
                <w:ilvl w:val="0"/>
                <w:numId w:val="4"/>
              </w:numPr>
              <w:pBdr/>
              <w:spacing w:after="60"/>
              <w:ind/>
              <w:contextualSpacing w:val="false"/>
              <w:rPr/>
            </w:pPr>
            <w:r>
              <w:rPr>
                <w:color w:val="334155"/>
              </w:rPr>
              <w:t xml:space="preserve">Pensá: ¿qué componente hubiera evitado que Fede comprara las licencias equivocadas? ¿Y el problema del rack? ¿Y el caos del soporte?</w:t>
            </w:r>
            <w:r/>
          </w:p>
          <w:p>
            <w:pPr>
              <w:pStyle w:val="757"/>
              <w:numPr>
                <w:ilvl w:val="0"/>
                <w:numId w:val="4"/>
              </w:numPr>
              <w:pBdr/>
              <w:spacing w:after="60"/>
              <w:ind/>
              <w:contextualSpacing w:val="false"/>
              <w:rPr/>
            </w:pPr>
            <w:r>
              <w:rPr>
                <w:color w:val="334155"/>
              </w:rPr>
              <w:t xml:space="preserve">Un plan se revisa continuamente — ¿en qué momento de junio Hernán aplicó este principio?</w:t>
            </w:r>
            <w:r/>
          </w:p>
          <w:p>
            <w:pPr>
              <w:pBdr/>
              <w:spacing w:after="80"/>
              <w:ind/>
              <w:rPr/>
            </w:pPr>
            <w:r/>
            <w:r/>
          </w:p>
          <w:p>
            <w:pPr>
              <w:pBdr>
                <w:top w:val="single" w:color="e2e8f0" w:sz="4" w:space="1"/>
              </w:pBdr>
              <w:spacing w:after="40" w:before="80"/>
              <w:ind/>
              <w:rPr/>
            </w:pPr>
            <w:r>
              <w:rPr>
                <w:b/>
                <w:bCs/>
                <w:color w:val="94a3b8"/>
                <w:sz w:val="20"/>
                <w:szCs w:val="20"/>
              </w:rPr>
              <w:t xml:space="preserve">Respuesta:</w:t>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tc>
      </w:tr>
    </w:tbl>
    <w:p>
      <w:pPr>
        <w:pBdr/>
        <w:spacing w:after="8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360"/>
      </w:tblGrid>
      <w:tr>
        <w:trPr/>
        <w:tc>
          <w:tcPr>
            <w:shd w:val="clear" w:color="auto" w:fill="0f1f3d"/>
            <w:tcBorders>
              <w:top w:val="single" w:color="0f1f3d" w:sz="1" w:space="0"/>
              <w:left w:val="single" w:color="0f1f3d" w:sz="1" w:space="0"/>
              <w:bottom w:val="single" w:color="0f1f3d" w:sz="1" w:space="0"/>
              <w:right w:val="single" w:color="0f1f3d" w:sz="1" w:space="0"/>
            </w:tcBorders>
            <w:tcMar>
              <w:left w:w="160" w:type="dxa"/>
              <w:top w:w="80" w:type="dxa"/>
              <w:right w:w="120" w:type="dxa"/>
              <w:bottom w:w="80" w:type="dxa"/>
            </w:tcMar>
            <w:tcW w:w="9360" w:type="dxa"/>
          </w:tcPr>
          <w:p>
            <w:pPr>
              <w:pBdr/>
              <w:spacing w:after="100"/>
              <w:ind/>
              <w:rPr/>
            </w:pPr>
            <w:r>
              <w:rPr>
                <w:b/>
                <w:bCs/>
                <w:color w:val="0d9488"/>
              </w:rPr>
              <w:t xml:space="preserve">Pregunta 4  </w:t>
            </w:r>
            <w:r>
              <w:rPr>
                <w:b/>
                <w:bCs/>
                <w:color w:val="ffffff"/>
              </w:rPr>
              <w:t xml:space="preserve">— Fases del ciclo de vida del proyecto</w:t>
            </w:r>
            <w:r/>
          </w:p>
        </w:tc>
      </w:tr>
      <w:tr>
        <w:trPr/>
        <w:tc>
          <w:tcPr>
            <w:shd w:val="clear" w:color="auto" w:fill="f8fafc"/>
            <w:tcBorders>
              <w:top w:val="single" w:color="0f1f3d" w:sz="1" w:space="0"/>
              <w:left w:val="single" w:color="0f1f3d" w:sz="1" w:space="0"/>
              <w:bottom w:val="single" w:color="0f1f3d" w:sz="1" w:space="0"/>
              <w:right w:val="single" w:color="0f1f3d" w:sz="1" w:space="0"/>
            </w:tcBorders>
            <w:tcMar>
              <w:left w:w="200" w:type="dxa"/>
              <w:top w:w="120" w:type="dxa"/>
              <w:right w:w="160" w:type="dxa"/>
              <w:bottom w:w="120" w:type="dxa"/>
            </w:tcMar>
            <w:tcW w:w="9360" w:type="dxa"/>
          </w:tcPr>
          <w:p>
            <w:pPr>
              <w:pBdr/>
              <w:spacing w:after="100"/>
              <w:ind/>
              <w:rPr/>
            </w:pPr>
            <w:r>
              <w:rPr>
                <w:color w:val="334155"/>
              </w:rPr>
              <w:t xml:space="preserve">Describí c</w:t>
            </w:r>
            <w:r>
              <w:rPr>
                <w:color w:val="334155"/>
              </w:rPr>
              <w:t xml:space="preserve">ómo se ejecutó (o se omitió) cada una de las cuatro fases del ciclo de vida en el proyecto Meridian: definición del alcance, planeación, ejecución y cierre. ¿Cuál fase fue la más débil? ¿Qué impacto concreto tuvo esa debilidad en el resultado del proyecto?</w:t>
            </w:r>
            <w:r/>
          </w:p>
          <w:p>
            <w:pPr>
              <w:pBdr/>
              <w:spacing w:after="100"/>
              <w:ind/>
              <w:rPr/>
            </w:pPr>
            <w:r>
              <w:rPr>
                <w:b/>
                <w:bCs/>
                <w:color w:val="334155"/>
              </w:rPr>
              <w:t xml:space="preserve">Guía para responder:</w:t>
            </w:r>
            <w:r/>
          </w:p>
          <w:p>
            <w:pPr>
              <w:pStyle w:val="757"/>
              <w:numPr>
                <w:ilvl w:val="0"/>
                <w:numId w:val="4"/>
              </w:numPr>
              <w:pBdr/>
              <w:spacing w:after="60"/>
              <w:ind/>
              <w:contextualSpacing w:val="false"/>
              <w:rPr/>
            </w:pPr>
            <w:r>
              <w:rPr>
                <w:color w:val="334155"/>
              </w:rPr>
              <w:t xml:space="preserve">Las cuatro fases son: alcance → planeación → ejecución → cierre.</w:t>
            </w:r>
            <w:r/>
          </w:p>
          <w:p>
            <w:pPr>
              <w:pStyle w:val="757"/>
              <w:numPr>
                <w:ilvl w:val="0"/>
                <w:numId w:val="4"/>
              </w:numPr>
              <w:pBdr/>
              <w:spacing w:after="60"/>
              <w:ind/>
              <w:contextualSpacing w:val="false"/>
              <w:rPr/>
            </w:pPr>
            <w:r>
              <w:rPr>
                <w:color w:val="334155"/>
              </w:rPr>
              <w:t xml:space="preserve">No te limites a describir: evaluá si cada fase fue bien o mal ejecutada y por qué.</w:t>
            </w:r>
            <w:r/>
          </w:p>
          <w:p>
            <w:pPr>
              <w:pStyle w:val="757"/>
              <w:numPr>
                <w:ilvl w:val="0"/>
                <w:numId w:val="4"/>
              </w:numPr>
              <w:pBdr/>
              <w:spacing w:after="60"/>
              <w:ind/>
              <w:contextualSpacing w:val="false"/>
              <w:rPr/>
            </w:pPr>
            <w:r>
              <w:rPr>
                <w:color w:val="334155"/>
              </w:rPr>
              <w:t xml:space="preserve">El cierre es particular en este caso porque Córdoba no estaba 100% terminada al 31 de julio. ¿Eso significa que la fase de cierre fue un fracaso parcial?</w:t>
            </w:r>
            <w:r/>
          </w:p>
          <w:p>
            <w:pPr>
              <w:pStyle w:val="757"/>
              <w:numPr>
                <w:ilvl w:val="0"/>
                <w:numId w:val="4"/>
              </w:numPr>
              <w:pBdr/>
              <w:spacing w:after="60"/>
              <w:ind/>
              <w:contextualSpacing w:val="false"/>
              <w:rPr/>
            </w:pPr>
            <w:r>
              <w:rPr>
                <w:color w:val="334155"/>
              </w:rPr>
              <w:t xml:space="preserve">Conectá la fase más débil con al menos dos consecuencias concretas del caso.</w:t>
            </w:r>
            <w:r/>
          </w:p>
          <w:p>
            <w:pPr>
              <w:pBdr/>
              <w:spacing w:after="80"/>
              <w:ind/>
              <w:rPr/>
            </w:pPr>
            <w:r/>
            <w:r/>
          </w:p>
          <w:p>
            <w:pPr>
              <w:pBdr>
                <w:top w:val="single" w:color="e2e8f0" w:sz="4" w:space="1"/>
              </w:pBdr>
              <w:spacing w:after="40" w:before="80"/>
              <w:ind/>
              <w:rPr/>
            </w:pPr>
            <w:r>
              <w:rPr>
                <w:b/>
                <w:bCs/>
                <w:color w:val="94a3b8"/>
                <w:sz w:val="20"/>
                <w:szCs w:val="20"/>
              </w:rPr>
              <w:t xml:space="preserve">Respuesta:</w:t>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tc>
      </w:tr>
    </w:tbl>
    <w:p>
      <w:pPr>
        <w:pBdr/>
        <w:spacing w:after="80"/>
        <w:ind/>
        <w:rPr/>
      </w:pPr>
      <w:r/>
      <w:r/>
    </w:p>
    <w:p>
      <w:pPr>
        <w:pBdr/>
        <w:spacing/>
        <w:ind/>
        <w:rPr/>
      </w:pPr>
      <w:r>
        <w:br w:type="page" w:clear="all"/>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360"/>
      </w:tblGrid>
      <w:tr>
        <w:trPr/>
        <w:tc>
          <w:tcPr>
            <w:shd w:val="clear" w:color="auto" w:fill="0f1f3d"/>
            <w:tcBorders>
              <w:top w:val="single" w:color="0f1f3d" w:sz="1" w:space="0"/>
              <w:left w:val="single" w:color="0f1f3d" w:sz="1" w:space="0"/>
              <w:bottom w:val="single" w:color="0f1f3d" w:sz="1" w:space="0"/>
              <w:right w:val="single" w:color="0f1f3d" w:sz="1" w:space="0"/>
            </w:tcBorders>
            <w:tcMar>
              <w:left w:w="160" w:type="dxa"/>
              <w:top w:w="80" w:type="dxa"/>
              <w:right w:w="120" w:type="dxa"/>
              <w:bottom w:w="80" w:type="dxa"/>
            </w:tcMar>
            <w:tcW w:w="9360" w:type="dxa"/>
          </w:tcPr>
          <w:p>
            <w:pPr>
              <w:pBdr/>
              <w:spacing w:after="100"/>
              <w:ind/>
              <w:rPr/>
            </w:pPr>
            <w:r>
              <w:rPr>
                <w:b/>
                <w:bCs/>
                <w:color w:val="0d9488"/>
              </w:rPr>
              <w:t xml:space="preserve">Pregunta 5  </w:t>
            </w:r>
            <w:r>
              <w:rPr>
                <w:b/>
                <w:bCs/>
                <w:color w:val="ffffff"/>
              </w:rPr>
              <w:t xml:space="preserve">— Alcance del proyecto y roles</w:t>
            </w:r>
            <w:r/>
          </w:p>
        </w:tc>
      </w:tr>
      <w:tr>
        <w:trPr/>
        <w:tc>
          <w:tcPr>
            <w:shd w:val="clear" w:color="auto" w:fill="f8fafc"/>
            <w:tcBorders>
              <w:top w:val="single" w:color="0f1f3d" w:sz="1" w:space="0"/>
              <w:left w:val="single" w:color="0f1f3d" w:sz="1" w:space="0"/>
              <w:bottom w:val="single" w:color="0f1f3d" w:sz="1" w:space="0"/>
              <w:right w:val="single" w:color="0f1f3d" w:sz="1" w:space="0"/>
            </w:tcBorders>
            <w:tcMar>
              <w:left w:w="200" w:type="dxa"/>
              <w:top w:w="120" w:type="dxa"/>
              <w:right w:w="160" w:type="dxa"/>
              <w:bottom w:w="120" w:type="dxa"/>
            </w:tcMar>
            <w:tcW w:w="9360" w:type="dxa"/>
          </w:tcPr>
          <w:p>
            <w:pPr>
              <w:pBdr/>
              <w:spacing w:after="100"/>
              <w:ind/>
              <w:rPr/>
            </w:pPr>
            <w:r>
              <w:rPr>
                <w:color w:val="334155"/>
              </w:rPr>
              <w:t xml:space="preserve">a) No hubo documento de alcance formal en Meridian. Basándote en la información del caso, redactá los seis componentes del al</w:t>
            </w:r>
            <w:r>
              <w:rPr>
                <w:color w:val="334155"/>
              </w:rPr>
              <w:t xml:space="preserve">cance tal como deberían haberse definido en marzo de 2025.  b) Identificá el rol que cumplió cada integrante del equipo (Hernán, Fede, Romina, Tomás, CablePro). ¿Hay algún rol que faltó, que quedó mal asignado o que generó un conflicto de roles? Justificá.</w:t>
            </w:r>
            <w:r/>
          </w:p>
          <w:p>
            <w:pPr>
              <w:pBdr/>
              <w:spacing w:after="100"/>
              <w:ind/>
              <w:rPr/>
            </w:pPr>
            <w:r>
              <w:rPr>
                <w:b/>
                <w:bCs/>
                <w:color w:val="334155"/>
              </w:rPr>
              <w:t xml:space="preserve">Guía para responder:</w:t>
            </w:r>
            <w:r/>
          </w:p>
          <w:p>
            <w:pPr>
              <w:pStyle w:val="757"/>
              <w:numPr>
                <w:ilvl w:val="0"/>
                <w:numId w:val="4"/>
              </w:numPr>
              <w:pBdr/>
              <w:spacing w:after="60"/>
              <w:ind/>
              <w:contextualSpacing w:val="false"/>
              <w:rPr/>
            </w:pPr>
            <w:r>
              <w:rPr>
                <w:color w:val="334155"/>
              </w:rPr>
              <w:t xml:space="preserve">Componentes del alcance: objetivos, entregables, límites (qué incluye y qué NO), criterios de éxito, prioridades, presupuesto top-down.</w:t>
            </w:r>
            <w:r/>
          </w:p>
          <w:p>
            <w:pPr>
              <w:pStyle w:val="757"/>
              <w:numPr>
                <w:ilvl w:val="0"/>
                <w:numId w:val="4"/>
              </w:numPr>
              <w:pBdr/>
              <w:spacing w:after="60"/>
              <w:ind/>
              <w:contextualSpacing w:val="false"/>
              <w:rPr/>
            </w:pPr>
            <w:r>
              <w:rPr>
                <w:color w:val="334155"/>
              </w:rPr>
              <w:t xml:space="preserve">Para los límites: ¿entra Córdoba en el alcance de la certificación? ¿El alquiler del rack era parte del alcance original?</w:t>
            </w:r>
            <w:r/>
          </w:p>
          <w:p>
            <w:pPr>
              <w:pStyle w:val="757"/>
              <w:numPr>
                <w:ilvl w:val="0"/>
                <w:numId w:val="4"/>
              </w:numPr>
              <w:pBdr/>
              <w:spacing w:after="60"/>
              <w:ind/>
              <w:contextualSpacing w:val="false"/>
              <w:rPr/>
            </w:pPr>
            <w:r>
              <w:rPr>
                <w:color w:val="334155"/>
              </w:rPr>
              <w:t xml:space="preserve">Para los roles: gerente de proyecto, patrocinador, equipo, stakeholders. ¿Quién es el patrocinador aquí?</w:t>
            </w:r>
            <w:r/>
          </w:p>
          <w:p>
            <w:pPr>
              <w:pStyle w:val="757"/>
              <w:numPr>
                <w:ilvl w:val="0"/>
                <w:numId w:val="4"/>
              </w:numPr>
              <w:pBdr/>
              <w:spacing w:after="60"/>
              <w:ind/>
              <w:contextualSpacing w:val="false"/>
              <w:rPr/>
            </w:pPr>
            <w:r>
              <w:rPr>
                <w:color w:val="334155"/>
              </w:rPr>
              <w:t xml:space="preserve">Analizá el rol de Fede con cuidado: ¿fue parte del equipo o fue un obstáculo? ¿Cómo debería haberse gestionado?</w:t>
            </w:r>
            <w:r/>
          </w:p>
          <w:p>
            <w:pPr>
              <w:pBdr/>
              <w:spacing w:after="80"/>
              <w:ind/>
              <w:rPr/>
            </w:pPr>
            <w:r/>
            <w:r/>
          </w:p>
          <w:p>
            <w:pPr>
              <w:pBdr>
                <w:top w:val="single" w:color="e2e8f0" w:sz="4" w:space="1"/>
              </w:pBdr>
              <w:spacing w:after="40" w:before="80"/>
              <w:ind/>
              <w:rPr/>
            </w:pPr>
            <w:r>
              <w:rPr>
                <w:b/>
                <w:bCs/>
                <w:color w:val="94a3b8"/>
                <w:sz w:val="20"/>
                <w:szCs w:val="20"/>
              </w:rPr>
              <w:t xml:space="preserve">Respuesta:</w:t>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tc>
      </w:tr>
    </w:tbl>
    <w:p>
      <w:pPr>
        <w:pBdr/>
        <w:spacing w:after="8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360"/>
      </w:tblGrid>
      <w:tr>
        <w:trPr/>
        <w:tc>
          <w:tcPr>
            <w:shd w:val="clear" w:color="auto" w:fill="0f1f3d"/>
            <w:tcBorders>
              <w:top w:val="single" w:color="0f1f3d" w:sz="1" w:space="0"/>
              <w:left w:val="single" w:color="0f1f3d" w:sz="1" w:space="0"/>
              <w:bottom w:val="single" w:color="0f1f3d" w:sz="1" w:space="0"/>
              <w:right w:val="single" w:color="0f1f3d" w:sz="1" w:space="0"/>
            </w:tcBorders>
            <w:tcMar>
              <w:left w:w="160" w:type="dxa"/>
              <w:top w:w="80" w:type="dxa"/>
              <w:right w:w="120" w:type="dxa"/>
              <w:bottom w:w="80" w:type="dxa"/>
            </w:tcMar>
            <w:tcW w:w="9360" w:type="dxa"/>
          </w:tcPr>
          <w:p>
            <w:pPr>
              <w:pBdr/>
              <w:spacing w:after="100"/>
              <w:ind/>
              <w:rPr/>
            </w:pPr>
            <w:r>
              <w:rPr>
                <w:b/>
                <w:bCs/>
                <w:color w:val="0d9488"/>
              </w:rPr>
              <w:t xml:space="preserve">Pregunta 6  </w:t>
            </w:r>
            <w:r>
              <w:rPr>
                <w:b/>
                <w:bCs/>
                <w:color w:val="ffffff"/>
              </w:rPr>
              <w:t xml:space="preserve">— Análisis FODA</w:t>
            </w:r>
            <w:r/>
          </w:p>
        </w:tc>
      </w:tr>
      <w:tr>
        <w:trPr/>
        <w:tc>
          <w:tcPr>
            <w:shd w:val="clear" w:color="auto" w:fill="f8fafc"/>
            <w:tcBorders>
              <w:top w:val="single" w:color="0f1f3d" w:sz="1" w:space="0"/>
              <w:left w:val="single" w:color="0f1f3d" w:sz="1" w:space="0"/>
              <w:bottom w:val="single" w:color="0f1f3d" w:sz="1" w:space="0"/>
              <w:right w:val="single" w:color="0f1f3d" w:sz="1" w:space="0"/>
            </w:tcBorders>
            <w:tcMar>
              <w:left w:w="200" w:type="dxa"/>
              <w:top w:w="120" w:type="dxa"/>
              <w:right w:w="160" w:type="dxa"/>
              <w:bottom w:w="120" w:type="dxa"/>
            </w:tcMar>
            <w:tcW w:w="9360" w:type="dxa"/>
          </w:tcPr>
          <w:p>
            <w:pPr>
              <w:pBdr/>
              <w:spacing w:after="100"/>
              <w:ind/>
              <w:rPr/>
            </w:pPr>
            <w:r>
              <w:rPr>
                <w:color w:val="334155"/>
              </w:rPr>
              <w:t xml:space="preserve">Realizá un análisis FODA completo pa</w:t>
            </w:r>
            <w:r>
              <w:rPr>
                <w:color w:val="334155"/>
              </w:rPr>
              <w:t xml:space="preserve">ra el equipo de TI de Meridian al momento de iniciar el proyecto (marzo 2025). Incluí al menos 3 ítems en cada cuadrante. Luego elegí la amenaza más crítica para el proyecto y explicá cómo podría haberse gestionado con herramientas de gestión de proyectos.</w:t>
            </w:r>
            <w:r/>
          </w:p>
          <w:p>
            <w:pPr>
              <w:pBdr/>
              <w:spacing w:after="100"/>
              <w:ind/>
              <w:rPr/>
            </w:pPr>
            <w:r>
              <w:rPr>
                <w:b/>
                <w:bCs/>
                <w:color w:val="334155"/>
              </w:rPr>
              <w:t xml:space="preserve">Guía para responder:</w:t>
            </w:r>
            <w:r/>
          </w:p>
          <w:p>
            <w:pPr>
              <w:pStyle w:val="757"/>
              <w:numPr>
                <w:ilvl w:val="0"/>
                <w:numId w:val="4"/>
              </w:numPr>
              <w:pBdr/>
              <w:spacing w:after="60"/>
              <w:ind/>
              <w:contextualSpacing w:val="false"/>
              <w:rPr/>
            </w:pPr>
            <w:r>
              <w:rPr>
                <w:color w:val="334155"/>
              </w:rPr>
              <w:t xml:space="preserve">Fortalezas y debilidades son INTERNAS (del equipo y la empresa). Oportunidades y amenazas son EXTERNAS.</w:t>
            </w:r>
            <w:r/>
          </w:p>
          <w:p>
            <w:pPr>
              <w:pStyle w:val="757"/>
              <w:numPr>
                <w:ilvl w:val="0"/>
                <w:numId w:val="4"/>
              </w:numPr>
              <w:pBdr/>
              <w:spacing w:after="60"/>
              <w:ind/>
              <w:contextualSpacing w:val="false"/>
              <w:rPr/>
            </w:pPr>
            <w:r>
              <w:rPr>
                <w:color w:val="334155"/>
              </w:rPr>
              <w:t xml:space="preserve">Cuidado: la resistencia de Fede al cambio, ¿es una debilidad interna o una amenaza? Justificá tu clasificación.</w:t>
            </w:r>
            <w:r/>
          </w:p>
          <w:p>
            <w:pPr>
              <w:pStyle w:val="757"/>
              <w:numPr>
                <w:ilvl w:val="0"/>
                <w:numId w:val="4"/>
              </w:numPr>
              <w:pBdr/>
              <w:spacing w:after="60"/>
              <w:ind/>
              <w:contextualSpacing w:val="false"/>
              <w:rPr/>
            </w:pPr>
            <w:r>
              <w:rPr>
                <w:color w:val="334155"/>
              </w:rPr>
              <w:t xml:space="preserve">El cambio de API del proveedor de QR en NovaPay es análogo a ¿qué situación en Meridian?</w:t>
            </w:r>
            <w:r/>
          </w:p>
          <w:p>
            <w:pPr>
              <w:pStyle w:val="757"/>
              <w:numPr>
                <w:ilvl w:val="0"/>
                <w:numId w:val="4"/>
              </w:numPr>
              <w:pBdr/>
              <w:spacing w:after="60"/>
              <w:ind/>
              <w:contextualSpacing w:val="false"/>
              <w:rPr/>
            </w:pPr>
            <w:r>
              <w:rPr>
                <w:color w:val="334155"/>
              </w:rPr>
              <w:t xml:space="preserve">Para la gestión de la amenaza crítica, pensá en gestión de riesgos, plan de contingencia, control de cambios.</w:t>
            </w:r>
            <w:r/>
          </w:p>
          <w:p>
            <w:pPr>
              <w:pBdr/>
              <w:spacing w:after="80"/>
              <w:ind/>
              <w:rPr/>
            </w:pPr>
            <w:r/>
            <w:r/>
          </w:p>
          <w:p>
            <w:pPr>
              <w:pBdr>
                <w:top w:val="single" w:color="e2e8f0" w:sz="4" w:space="1"/>
              </w:pBdr>
              <w:spacing w:after="40" w:before="80"/>
              <w:ind/>
              <w:rPr/>
            </w:pPr>
            <w:r>
              <w:rPr>
                <w:b/>
                <w:bCs/>
                <w:color w:val="94a3b8"/>
                <w:sz w:val="20"/>
                <w:szCs w:val="20"/>
              </w:rPr>
              <w:t xml:space="preserve">Respuesta:</w:t>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tc>
      </w:tr>
    </w:tbl>
    <w:p>
      <w:pPr>
        <w:pBdr/>
        <w:spacing w:after="8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360"/>
      </w:tblGrid>
      <w:tr>
        <w:trPr/>
        <w:tc>
          <w:tcPr>
            <w:shd w:val="clear" w:color="auto" w:fill="0f1f3d"/>
            <w:tcBorders>
              <w:top w:val="single" w:color="0f1f3d" w:sz="1" w:space="0"/>
              <w:left w:val="single" w:color="0f1f3d" w:sz="1" w:space="0"/>
              <w:bottom w:val="single" w:color="0f1f3d" w:sz="1" w:space="0"/>
              <w:right w:val="single" w:color="0f1f3d" w:sz="1" w:space="0"/>
            </w:tcBorders>
            <w:tcMar>
              <w:left w:w="160" w:type="dxa"/>
              <w:top w:w="80" w:type="dxa"/>
              <w:right w:w="120" w:type="dxa"/>
              <w:bottom w:w="80" w:type="dxa"/>
            </w:tcMar>
            <w:tcW w:w="9360" w:type="dxa"/>
          </w:tcPr>
          <w:p>
            <w:pPr>
              <w:pBdr/>
              <w:spacing w:after="100"/>
              <w:ind/>
              <w:rPr/>
            </w:pPr>
            <w:r>
              <w:rPr>
                <w:b/>
                <w:bCs/>
                <w:color w:val="0d9488"/>
              </w:rPr>
              <w:t xml:space="preserve">Pregunta 7  </w:t>
            </w:r>
            <w:r>
              <w:rPr>
                <w:b/>
                <w:bCs/>
                <w:color w:val="ffffff"/>
              </w:rPr>
              <w:t xml:space="preserve">— Introducción a SCRUM</w:t>
            </w:r>
            <w:r/>
          </w:p>
        </w:tc>
      </w:tr>
      <w:tr>
        <w:trPr/>
        <w:tc>
          <w:tcPr>
            <w:shd w:val="clear" w:color="auto" w:fill="f8fafc"/>
            <w:tcBorders>
              <w:top w:val="single" w:color="0f1f3d" w:sz="1" w:space="0"/>
              <w:left w:val="single" w:color="0f1f3d" w:sz="1" w:space="0"/>
              <w:bottom w:val="single" w:color="0f1f3d" w:sz="1" w:space="0"/>
              <w:right w:val="single" w:color="0f1f3d" w:sz="1" w:space="0"/>
            </w:tcBorders>
            <w:tcMar>
              <w:left w:w="200" w:type="dxa"/>
              <w:top w:w="120" w:type="dxa"/>
              <w:right w:w="160" w:type="dxa"/>
              <w:bottom w:w="120" w:type="dxa"/>
            </w:tcMar>
            <w:tcW w:w="9360" w:type="dxa"/>
          </w:tcPr>
          <w:p>
            <w:pPr>
              <w:pBdr/>
              <w:spacing w:after="100"/>
              <w:ind/>
              <w:rPr/>
            </w:pPr>
            <w:r>
              <w:rPr>
                <w:color w:val="334155"/>
              </w:rPr>
              <w:t xml:space="preserve">a) En junio, Hernán propone adop</w:t>
            </w:r>
            <w:r>
              <w:rPr>
                <w:color w:val="334155"/>
              </w:rPr>
              <w:t xml:space="preserve">tar Sprints de 2 semanas para el despliegue de Windows Server 2025. ¿Por qué esta decisión tiene sentido en ese contexto? ¿Qué características del proyecto en junio hacen que SCRUM sea apropiado?  b) Asigná los roles de SCRUM (Product Owner, Scrum Master, </w:t>
            </w:r>
            <w:r>
              <w:rPr>
                <w:color w:val="334155"/>
              </w:rPr>
              <w:t xml:space="preserve">Dev Team) a los integrantes del equipo de Meridian. Justificá cada asignación.  c) Diseñá un Product Backlog priorizado con al menos 6 ítems para el despliegue de Windows Server 2025. ¿Cómo organizarías los Sprints para cumplir el deadline del 31 de julio?</w:t>
            </w:r>
            <w:r/>
          </w:p>
          <w:p>
            <w:pPr>
              <w:pBdr/>
              <w:spacing w:after="100"/>
              <w:ind/>
              <w:rPr/>
            </w:pPr>
            <w:r>
              <w:rPr>
                <w:b/>
                <w:bCs/>
                <w:color w:val="334155"/>
              </w:rPr>
              <w:t xml:space="preserve">Guía para responder:</w:t>
            </w:r>
            <w:r/>
          </w:p>
          <w:p>
            <w:pPr>
              <w:pStyle w:val="757"/>
              <w:numPr>
                <w:ilvl w:val="0"/>
                <w:numId w:val="4"/>
              </w:numPr>
              <w:pBdr/>
              <w:spacing w:after="60"/>
              <w:ind/>
              <w:contextualSpacing w:val="false"/>
              <w:rPr/>
            </w:pPr>
            <w:r>
              <w:rPr>
                <w:color w:val="334155"/>
              </w:rPr>
              <w:t xml:space="preserve">Para a): en junio el proyecto tenía ¿alta o baja incertidumbre? ¿Los requisitos técnicos eran claros o cambiaban? ¿Qué pasó con Rosario que cambia el plan?</w:t>
            </w:r>
            <w:r/>
          </w:p>
          <w:p>
            <w:pPr>
              <w:pStyle w:val="757"/>
              <w:numPr>
                <w:ilvl w:val="0"/>
                <w:numId w:val="4"/>
              </w:numPr>
              <w:pBdr/>
              <w:spacing w:after="60"/>
              <w:ind/>
              <w:contextualSpacing w:val="false"/>
              <w:rPr/>
            </w:pPr>
            <w:r>
              <w:rPr>
                <w:color w:val="334155"/>
              </w:rPr>
              <w:t xml:space="preserve">Para b): ¿quién representa al 'negocio' (la empresa) en este proyecto de infraestructura? ¿Quién puede ser Scrum Master sin pertenecer al Dev Team técnico?</w:t>
            </w:r>
            <w:r/>
          </w:p>
          <w:p>
            <w:pPr>
              <w:pStyle w:val="757"/>
              <w:numPr>
                <w:ilvl w:val="0"/>
                <w:numId w:val="4"/>
              </w:numPr>
              <w:pBdr/>
              <w:spacing w:after="60"/>
              <w:ind/>
              <w:contextualSpacing w:val="false"/>
              <w:rPr/>
            </w:pPr>
            <w:r>
              <w:rPr>
                <w:color w:val="334155"/>
              </w:rPr>
              <w:t xml:space="preserve">Para c): un Product Backlog de infraestructura puede incluir: configuración de AD, migración de usuarios, configuración de Hyper-V, instalación de File Services, configuración de DNS/DHCP, etc.</w:t>
            </w:r>
            <w:r/>
          </w:p>
          <w:p>
            <w:pPr>
              <w:pStyle w:val="757"/>
              <w:numPr>
                <w:ilvl w:val="0"/>
                <w:numId w:val="4"/>
              </w:numPr>
              <w:pBdr/>
              <w:spacing w:after="60"/>
              <w:ind/>
              <w:contextualSpacing w:val="false"/>
              <w:rPr/>
            </w:pPr>
            <w:r>
              <w:rPr>
                <w:color w:val="334155"/>
              </w:rPr>
              <w:t xml:space="preserve">Con Sprints de 2 semanas desde junio hasta julio hay aproximadamente 4 Sprints disponibles.</w:t>
            </w:r>
            <w:r/>
          </w:p>
          <w:p>
            <w:pPr>
              <w:pBdr/>
              <w:spacing w:after="80"/>
              <w:ind/>
              <w:rPr/>
            </w:pPr>
            <w:r/>
            <w:r/>
          </w:p>
          <w:p>
            <w:pPr>
              <w:pBdr>
                <w:top w:val="single" w:color="e2e8f0" w:sz="4" w:space="1"/>
              </w:pBdr>
              <w:spacing w:after="40" w:before="80"/>
              <w:ind/>
              <w:rPr/>
            </w:pPr>
            <w:r>
              <w:rPr>
                <w:b/>
                <w:bCs/>
                <w:color w:val="94a3b8"/>
                <w:sz w:val="20"/>
                <w:szCs w:val="20"/>
              </w:rPr>
              <w:t xml:space="preserve">Respuesta:</w:t>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p>
            <w:pPr>
              <w:pBdr>
                <w:bottom w:val="single" w:color="e2e8f0" w:sz="4" w:space="1"/>
              </w:pBdr>
              <w:spacing w:after="100"/>
              <w:ind/>
              <w:rPr/>
            </w:pPr>
            <w:r/>
            <w:r/>
          </w:p>
        </w:tc>
      </w:tr>
    </w:tbl>
    <w:p>
      <w:pPr>
        <w:pBdr/>
        <w:spacing w:after="8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360"/>
      </w:tblGrid>
      <w:tr>
        <w:trPr/>
        <w:tc>
          <w:tcPr>
            <w:shd w:val="clear" w:color="auto" w:fill="7c3aed"/>
            <w:tcBorders>
              <w:top w:val="single" w:color="7c3aed" w:sz="1" w:space="0"/>
              <w:left w:val="single" w:color="7c3aed" w:sz="1" w:space="0"/>
              <w:bottom w:val="single" w:color="7c3aed" w:sz="1" w:space="0"/>
              <w:right w:val="single" w:color="7c3aed" w:sz="1" w:space="0"/>
            </w:tcBorders>
            <w:tcMar>
              <w:left w:w="160" w:type="dxa"/>
              <w:top w:w="80" w:type="dxa"/>
              <w:right w:w="120" w:type="dxa"/>
              <w:bottom w:w="80" w:type="dxa"/>
            </w:tcMar>
            <w:tcW w:w="9360" w:type="dxa"/>
          </w:tcPr>
          <w:p>
            <w:pPr>
              <w:pBdr/>
              <w:spacing w:after="100"/>
              <w:ind/>
              <w:rPr/>
            </w:pPr>
            <w:r>
              <w:rPr>
                <w:b/>
                <w:bCs/>
                <w:color w:val="ffffff"/>
              </w:rPr>
              <w:t xml:space="preserve">Pregunta integradora — Reflexión final (Pregunta 8)</w:t>
            </w:r>
            <w:r/>
          </w:p>
        </w:tc>
      </w:tr>
      <w:tr>
        <w:trPr/>
        <w:tc>
          <w:tcPr>
            <w:shd w:val="clear" w:color="auto" w:fill="ede9fe"/>
            <w:tcBorders>
              <w:top w:val="single" w:color="7c3aed" w:sz="1" w:space="0"/>
              <w:left w:val="single" w:color="7c3aed" w:sz="1" w:space="0"/>
              <w:bottom w:val="single" w:color="7c3aed" w:sz="1" w:space="0"/>
              <w:right w:val="single" w:color="7c3aed" w:sz="1" w:space="0"/>
            </w:tcBorders>
            <w:tcMar>
              <w:left w:w="200" w:type="dxa"/>
              <w:top w:w="120" w:type="dxa"/>
              <w:right w:w="160" w:type="dxa"/>
              <w:bottom w:w="120" w:type="dxa"/>
            </w:tcMar>
            <w:tcW w:w="9360" w:type="dxa"/>
          </w:tcPr>
          <w:p>
            <w:pPr>
              <w:pBdr/>
              <w:spacing w:after="100"/>
              <w:ind/>
              <w:rPr/>
            </w:pPr>
            <w:r>
              <w:rPr>
                <w:color w:val="334155"/>
              </w:rPr>
              <w:t xml:space="preserve">Meridian terminó con su infraestructura modernizada, pero pagó un precio alto: </w:t>
            </w:r>
            <w:r>
              <w:rPr>
                <w:b/>
                <w:bCs/>
                <w:color w:val="0f1f3d"/>
              </w:rPr>
              <w:t xml:space="preserve">USD 2.400 por encima del presupuesto, Córdoba sin certificación al cierre, y dos meses de caos</w:t>
            </w:r>
            <w:r>
              <w:rPr>
                <w:color w:val="334155"/>
              </w:rPr>
              <w:t xml:space="preserve"> que podrían haberse evitado.</w:t>
            </w:r>
            <w:r/>
          </w:p>
          <w:p>
            <w:pPr>
              <w:pBdr/>
              <w:spacing w:after="80"/>
              <w:ind/>
              <w:rPr/>
            </w:pPr>
            <w:r/>
            <w:r/>
          </w:p>
          <w:p>
            <w:pPr>
              <w:pBdr/>
              <w:spacing w:after="100"/>
              <w:ind/>
              <w:rPr/>
            </w:pPr>
            <w:r>
              <w:rPr>
                <w:b/>
                <w:bCs/>
                <w:color w:val="0f1f3d"/>
              </w:rPr>
              <w:t xml:space="preserve">Si fueras el gerente de proyectos de Meridian desde el inicio (1° de</w:t>
            </w:r>
            <w:r>
              <w:rPr>
                <w:b/>
                <w:bCs/>
                <w:color w:val="0f1f3d"/>
              </w:rPr>
              <w:t xml:space="preserve"> marzo de 2025), ¿qué tres acciones concretas y medibles tomarías en los primeros 15 días para mejorar significativamente el resultado del proyecto? Cada acción debe vincularse a al menos un concepto de la materia y debe especificar un entregable concreto.</w:t>
            </w:r>
            <w:r/>
          </w:p>
          <w:p>
            <w:pPr>
              <w:pBdr/>
              <w:spacing w:after="80"/>
              <w:ind/>
              <w:rPr/>
            </w:pPr>
            <w:r/>
            <w:r/>
          </w:p>
          <w:p>
            <w:pPr>
              <w:pBdr/>
              <w:spacing w:after="100"/>
              <w:ind/>
              <w:rPr/>
            </w:pPr>
            <w:r>
              <w:rPr>
                <w:b/>
                <w:bCs/>
                <w:color w:val="334155"/>
              </w:rPr>
              <w:t xml:space="preserve">Guía:</w:t>
            </w:r>
            <w:r/>
          </w:p>
          <w:p>
            <w:pPr>
              <w:pStyle w:val="757"/>
              <w:numPr>
                <w:ilvl w:val="0"/>
                <w:numId w:val="4"/>
              </w:numPr>
              <w:pBdr/>
              <w:spacing w:after="60"/>
              <w:ind/>
              <w:contextualSpacing w:val="false"/>
              <w:rPr/>
            </w:pPr>
            <w:r>
              <w:rPr>
                <w:color w:val="334155"/>
              </w:rPr>
              <w:t xml:space="preserve">Cada acción debe ser específica (tiene un entregable concreto, no es genérica).</w:t>
            </w:r>
            <w:r/>
          </w:p>
          <w:p>
            <w:pPr>
              <w:pStyle w:val="757"/>
              <w:numPr>
                <w:ilvl w:val="0"/>
                <w:numId w:val="4"/>
              </w:numPr>
              <w:pBdr/>
              <w:spacing w:after="60"/>
              <w:ind/>
              <w:contextualSpacing w:val="false"/>
              <w:rPr/>
            </w:pPr>
            <w:r>
              <w:rPr>
                <w:color w:val="334155"/>
              </w:rPr>
              <w:t xml:space="preserve">Debe vincularse a al menos un concepto visto en clase.</w:t>
            </w:r>
            <w:r/>
          </w:p>
          <w:p>
            <w:pPr>
              <w:pStyle w:val="757"/>
              <w:numPr>
                <w:ilvl w:val="0"/>
                <w:numId w:val="4"/>
              </w:numPr>
              <w:pBdr/>
              <w:spacing w:after="100"/>
              <w:ind/>
              <w:contextualSpacing w:val="false"/>
              <w:rPr/>
            </w:pPr>
            <w:r>
              <w:rPr>
                <w:color w:val="334155"/>
              </w:rPr>
              <w:t xml:space="preserve">Debe ser realizable en los primeros 15 días del proyecto.</w:t>
            </w:r>
            <w:r/>
          </w:p>
          <w:p>
            <w:pPr>
              <w:pBdr>
                <w:bottom w:val="single" w:color="e2e8f0" w:sz="4" w:space="1"/>
              </w:pBdr>
              <w:spacing w:after="100"/>
              <w:ind/>
              <w:rPr/>
            </w:pPr>
            <w:r/>
            <w:r/>
          </w:p>
        </w:tc>
      </w:tr>
    </w:tbl>
    <w:p>
      <w:pPr>
        <w:pBdr/>
        <w:spacing w:after="80"/>
        <w:ind/>
        <w:rPr/>
      </w:pPr>
      <w:r/>
      <w:r/>
    </w:p>
    <w:p>
      <w:pPr>
        <w:pBdr/>
        <w:spacing/>
        <w:ind/>
        <w:rPr/>
      </w:pPr>
      <w:r/>
      <w:bookmarkStart w:id="0" w:name="_GoBack"/>
      <w:r/>
      <w:bookmarkEnd w:id="0"/>
      <w:r/>
      <w:r/>
    </w:p>
    <w:sectPr>
      <w:headerReference w:type="default" r:id="rId9"/>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50202020403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2"/>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column">
                <wp:posOffset>-1070610</wp:posOffset>
              </wp:positionH>
              <wp:positionV relativeFrom="paragraph">
                <wp:posOffset>-449580</wp:posOffset>
              </wp:positionV>
              <wp:extent cx="7510780" cy="176212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pic:cNvPicPr>
                      <pic:nvPr/>
                    </pic:nvPicPr>
                    <pic:blipFill rotWithShape="1">
                      <a:blip r:embed="rId1"/>
                      <a:srcRect l="0" t="0" r="0" b="83401"/>
                      <a:stretch/>
                    </pic:blipFill>
                    <pic:spPr bwMode="auto">
                      <a:xfrm>
                        <a:off x="0" y="0"/>
                        <a:ext cx="7510780" cy="176212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7728;o:allowoverlap:true;o:allowincell:true;mso-position-horizontal-relative:text;margin-left:-84.30pt;mso-position-horizontal:absolute;mso-position-vertical-relative:text;margin-top:-35.40pt;mso-position-vertical:absolute;width:591.40pt;height:138.75pt;mso-wrap-distance-left:9.00pt;mso-wrap-distance-top:0.00pt;mso-wrap-distance-right:9.00pt;mso-wrap-distance-bottom:0.00pt;z-index:1;" stroked="f">
              <w10:wrap type="square"/>
              <v:imagedata r:id="rId1" o:title="" croptop="0f" cropleft="0f" cropbottom="54658f" cropright="0f"/>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107B7C"/>
    <w:lvl w:ilvl="0">
      <w:isLgl w:val="false"/>
      <w:lvlJc w:val="left"/>
      <w:lvlText w:val="%1."/>
      <w:numFmt w:val="decimal"/>
      <w:pPr>
        <w:pBdr/>
        <w:spacing/>
        <w:ind w:hanging="280" w:left="56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
    <w:nsid w:val="42CD75E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73B371D1"/>
    <w:lvl w:ilvl="0">
      <w:isLgl w:val="false"/>
      <w:lvlJc w:val="left"/>
      <w:lvlText w:val="•"/>
      <w:numFmt w:val="bullet"/>
      <w:pPr>
        <w:pBdr/>
        <w:spacing/>
        <w:ind w:hanging="280" w:left="56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3">
    <w:nsid w:val="7F1F1F93"/>
    <w:lvl w:ilvl="0">
      <w:isLgl w:val="false"/>
      <w:lvlJc w:val="left"/>
      <w:lvlText w:val="%1)"/>
      <w:numFmt w:val="lowerLetter"/>
      <w:pPr>
        <w:pBdr/>
        <w:spacing/>
        <w:ind w:hanging="280" w:left="56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num w:numId="1">
    <w:abstractNumId w:val="1"/>
  </w:num>
  <w:num w:numId="2">
    <w:abstractNumId w:val="2"/>
    <w:lvlOverride w:ilvl="0">
      <w:startOverride w:val="1"/>
    </w:lvlOverride>
  </w:num>
  <w:num w:numId="3">
    <w:abstractNumId w:val="0"/>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s-AR" w:eastAsia="es-A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4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4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4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4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4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39"/>
    <w:link w:val="730"/>
    <w:uiPriority w:val="9"/>
    <w:pPr>
      <w:pBdr/>
      <w:spacing/>
      <w:ind/>
    </w:pPr>
    <w:rPr>
      <w:rFonts w:ascii="Arial" w:hAnsi="Arial" w:eastAsia="Arial" w:cs="Arial"/>
      <w:color w:val="0f4761" w:themeColor="accent1" w:themeShade="BF"/>
      <w:sz w:val="40"/>
      <w:szCs w:val="40"/>
    </w:rPr>
  </w:style>
  <w:style w:type="character" w:styleId="151">
    <w:name w:val="Heading 2 Char"/>
    <w:basedOn w:val="739"/>
    <w:link w:val="731"/>
    <w:uiPriority w:val="9"/>
    <w:pPr>
      <w:pBdr/>
      <w:spacing/>
      <w:ind/>
    </w:pPr>
    <w:rPr>
      <w:rFonts w:ascii="Arial" w:hAnsi="Arial" w:eastAsia="Arial" w:cs="Arial"/>
      <w:color w:val="0f4761" w:themeColor="accent1" w:themeShade="BF"/>
      <w:sz w:val="32"/>
      <w:szCs w:val="32"/>
    </w:rPr>
  </w:style>
  <w:style w:type="character" w:styleId="152">
    <w:name w:val="Heading 3 Char"/>
    <w:basedOn w:val="739"/>
    <w:link w:val="732"/>
    <w:uiPriority w:val="9"/>
    <w:pPr>
      <w:pBdr/>
      <w:spacing/>
      <w:ind/>
    </w:pPr>
    <w:rPr>
      <w:rFonts w:ascii="Arial" w:hAnsi="Arial" w:eastAsia="Arial" w:cs="Arial"/>
      <w:color w:val="0f4761" w:themeColor="accent1" w:themeShade="BF"/>
      <w:sz w:val="28"/>
      <w:szCs w:val="28"/>
    </w:rPr>
  </w:style>
  <w:style w:type="character" w:styleId="153">
    <w:name w:val="Heading 4 Char"/>
    <w:basedOn w:val="739"/>
    <w:link w:val="733"/>
    <w:uiPriority w:val="9"/>
    <w:pPr>
      <w:pBdr/>
      <w:spacing/>
      <w:ind/>
    </w:pPr>
    <w:rPr>
      <w:rFonts w:ascii="Arial" w:hAnsi="Arial" w:eastAsia="Arial" w:cs="Arial"/>
      <w:i/>
      <w:iCs/>
      <w:color w:val="0f4761" w:themeColor="accent1" w:themeShade="BF"/>
    </w:rPr>
  </w:style>
  <w:style w:type="character" w:styleId="154">
    <w:name w:val="Heading 5 Char"/>
    <w:basedOn w:val="739"/>
    <w:link w:val="734"/>
    <w:uiPriority w:val="9"/>
    <w:pPr>
      <w:pBdr/>
      <w:spacing/>
      <w:ind/>
    </w:pPr>
    <w:rPr>
      <w:rFonts w:ascii="Arial" w:hAnsi="Arial" w:eastAsia="Arial" w:cs="Arial"/>
      <w:color w:val="0f4761" w:themeColor="accent1" w:themeShade="BF"/>
    </w:rPr>
  </w:style>
  <w:style w:type="character" w:styleId="155">
    <w:name w:val="Heading 6 Char"/>
    <w:basedOn w:val="739"/>
    <w:link w:val="735"/>
    <w:uiPriority w:val="9"/>
    <w:pPr>
      <w:pBdr/>
      <w:spacing/>
      <w:ind/>
    </w:pPr>
    <w:rPr>
      <w:rFonts w:ascii="Arial" w:hAnsi="Arial" w:eastAsia="Arial" w:cs="Arial"/>
      <w:i/>
      <w:iCs/>
      <w:color w:val="595959" w:themeColor="text1" w:themeTint="A6"/>
    </w:rPr>
  </w:style>
  <w:style w:type="character" w:styleId="156">
    <w:name w:val="Heading 7 Char"/>
    <w:basedOn w:val="739"/>
    <w:link w:val="736"/>
    <w:uiPriority w:val="9"/>
    <w:pPr>
      <w:pBdr/>
      <w:spacing/>
      <w:ind/>
    </w:pPr>
    <w:rPr>
      <w:rFonts w:ascii="Arial" w:hAnsi="Arial" w:eastAsia="Arial" w:cs="Arial"/>
      <w:color w:val="595959" w:themeColor="text1" w:themeTint="A6"/>
    </w:rPr>
  </w:style>
  <w:style w:type="character" w:styleId="157">
    <w:name w:val="Heading 8 Char"/>
    <w:basedOn w:val="739"/>
    <w:link w:val="737"/>
    <w:uiPriority w:val="9"/>
    <w:pPr>
      <w:pBdr/>
      <w:spacing/>
      <w:ind/>
    </w:pPr>
    <w:rPr>
      <w:rFonts w:ascii="Arial" w:hAnsi="Arial" w:eastAsia="Arial" w:cs="Arial"/>
      <w:i/>
      <w:iCs/>
      <w:color w:val="272727" w:themeColor="text1" w:themeTint="D8"/>
    </w:rPr>
  </w:style>
  <w:style w:type="character" w:styleId="158">
    <w:name w:val="Heading 9 Char"/>
    <w:basedOn w:val="739"/>
    <w:link w:val="738"/>
    <w:uiPriority w:val="9"/>
    <w:pPr>
      <w:pBdr/>
      <w:spacing/>
      <w:ind/>
    </w:pPr>
    <w:rPr>
      <w:rFonts w:ascii="Arial" w:hAnsi="Arial" w:eastAsia="Arial" w:cs="Arial"/>
      <w:i/>
      <w:iCs/>
      <w:color w:val="272727" w:themeColor="text1" w:themeTint="D8"/>
    </w:rPr>
  </w:style>
  <w:style w:type="character" w:styleId="160">
    <w:name w:val="Title Char"/>
    <w:basedOn w:val="739"/>
    <w:link w:val="751"/>
    <w:uiPriority w:val="10"/>
    <w:pPr>
      <w:pBdr/>
      <w:spacing/>
      <w:ind/>
    </w:pPr>
    <w:rPr>
      <w:rFonts w:ascii="Arial" w:hAnsi="Arial" w:eastAsia="Arial" w:cs="Arial"/>
      <w:spacing w:val="-10"/>
      <w:sz w:val="56"/>
      <w:szCs w:val="56"/>
    </w:rPr>
  </w:style>
  <w:style w:type="character" w:styleId="162">
    <w:name w:val="Subtitle Char"/>
    <w:basedOn w:val="739"/>
    <w:link w:val="753"/>
    <w:uiPriority w:val="11"/>
    <w:pPr>
      <w:pBdr/>
      <w:spacing/>
      <w:ind/>
    </w:pPr>
    <w:rPr>
      <w:color w:val="595959" w:themeColor="text1" w:themeTint="A6"/>
      <w:spacing w:val="15"/>
      <w:sz w:val="28"/>
      <w:szCs w:val="28"/>
    </w:rPr>
  </w:style>
  <w:style w:type="character" w:styleId="164">
    <w:name w:val="Quote Char"/>
    <w:basedOn w:val="739"/>
    <w:link w:val="755"/>
    <w:uiPriority w:val="29"/>
    <w:pPr>
      <w:pBdr/>
      <w:spacing/>
      <w:ind/>
    </w:pPr>
    <w:rPr>
      <w:i/>
      <w:iCs/>
      <w:color w:val="404040" w:themeColor="text1" w:themeTint="BF"/>
    </w:rPr>
  </w:style>
  <w:style w:type="character" w:styleId="168">
    <w:name w:val="Intense Quote Char"/>
    <w:basedOn w:val="739"/>
    <w:link w:val="759"/>
    <w:uiPriority w:val="30"/>
    <w:pPr>
      <w:pBdr/>
      <w:spacing/>
      <w:ind/>
    </w:pPr>
    <w:rPr>
      <w:i/>
      <w:iCs/>
      <w:color w:val="0f4761" w:themeColor="accent1" w:themeShade="BF"/>
    </w:rPr>
  </w:style>
  <w:style w:type="paragraph" w:styleId="170">
    <w:name w:val="No Spacing"/>
    <w:basedOn w:val="729"/>
    <w:uiPriority w:val="1"/>
    <w:qFormat/>
    <w:pPr>
      <w:pBdr/>
      <w:spacing w:after="0" w:line="240" w:lineRule="auto"/>
      <w:ind/>
    </w:pPr>
  </w:style>
  <w:style w:type="character" w:styleId="171">
    <w:name w:val="Subtle Emphasis"/>
    <w:basedOn w:val="739"/>
    <w:uiPriority w:val="19"/>
    <w:qFormat/>
    <w:pPr>
      <w:pBdr/>
      <w:spacing/>
      <w:ind/>
    </w:pPr>
    <w:rPr>
      <w:i/>
      <w:iCs/>
      <w:color w:val="404040" w:themeColor="text1" w:themeTint="BF"/>
    </w:rPr>
  </w:style>
  <w:style w:type="character" w:styleId="174">
    <w:name w:val="Subtle Reference"/>
    <w:basedOn w:val="739"/>
    <w:uiPriority w:val="31"/>
    <w:qFormat/>
    <w:pPr>
      <w:pBdr/>
      <w:spacing/>
      <w:ind/>
    </w:pPr>
    <w:rPr>
      <w:smallCaps/>
      <w:color w:val="5a5a5a" w:themeColor="text1" w:themeTint="A5"/>
    </w:rPr>
  </w:style>
  <w:style w:type="character" w:styleId="175">
    <w:name w:val="Book Title"/>
    <w:basedOn w:val="739"/>
    <w:uiPriority w:val="33"/>
    <w:qFormat/>
    <w:pPr>
      <w:pBdr/>
      <w:spacing/>
      <w:ind/>
    </w:pPr>
    <w:rPr>
      <w:b/>
      <w:bCs/>
      <w:i/>
      <w:iCs/>
      <w:spacing w:val="5"/>
    </w:rPr>
  </w:style>
  <w:style w:type="character" w:styleId="177">
    <w:name w:val="Header Char"/>
    <w:basedOn w:val="739"/>
    <w:link w:val="762"/>
    <w:uiPriority w:val="99"/>
    <w:pPr>
      <w:pBdr/>
      <w:spacing/>
      <w:ind/>
    </w:pPr>
  </w:style>
  <w:style w:type="character" w:styleId="179">
    <w:name w:val="Footer Char"/>
    <w:basedOn w:val="739"/>
    <w:link w:val="764"/>
    <w:uiPriority w:val="99"/>
    <w:pPr>
      <w:pBdr/>
      <w:spacing/>
      <w:ind/>
    </w:pPr>
  </w:style>
  <w:style w:type="paragraph" w:styleId="180">
    <w:name w:val="Caption"/>
    <w:basedOn w:val="729"/>
    <w:next w:val="729"/>
    <w:uiPriority w:val="35"/>
    <w:unhideWhenUsed/>
    <w:qFormat/>
    <w:pPr>
      <w:pBdr/>
      <w:spacing w:after="200" w:line="240" w:lineRule="auto"/>
      <w:ind/>
    </w:pPr>
    <w:rPr>
      <w:i/>
      <w:iCs/>
      <w:color w:val="0e2841" w:themeColor="text2"/>
      <w:sz w:val="18"/>
      <w:szCs w:val="18"/>
    </w:rPr>
  </w:style>
  <w:style w:type="paragraph" w:styleId="181">
    <w:name w:val="footnote text"/>
    <w:basedOn w:val="729"/>
    <w:link w:val="182"/>
    <w:uiPriority w:val="99"/>
    <w:semiHidden/>
    <w:unhideWhenUsed/>
    <w:pPr>
      <w:pBdr/>
      <w:spacing w:after="0" w:line="240" w:lineRule="auto"/>
      <w:ind/>
    </w:pPr>
    <w:rPr>
      <w:sz w:val="20"/>
      <w:szCs w:val="20"/>
    </w:rPr>
  </w:style>
  <w:style w:type="character" w:styleId="182">
    <w:name w:val="Footnote Text Char"/>
    <w:basedOn w:val="739"/>
    <w:link w:val="181"/>
    <w:uiPriority w:val="99"/>
    <w:semiHidden/>
    <w:pPr>
      <w:pBdr/>
      <w:spacing/>
      <w:ind/>
    </w:pPr>
    <w:rPr>
      <w:sz w:val="20"/>
      <w:szCs w:val="20"/>
    </w:rPr>
  </w:style>
  <w:style w:type="character" w:styleId="183">
    <w:name w:val="footnote reference"/>
    <w:basedOn w:val="739"/>
    <w:uiPriority w:val="99"/>
    <w:semiHidden/>
    <w:unhideWhenUsed/>
    <w:pPr>
      <w:pBdr/>
      <w:spacing/>
      <w:ind/>
    </w:pPr>
    <w:rPr>
      <w:vertAlign w:val="superscript"/>
    </w:rPr>
  </w:style>
  <w:style w:type="paragraph" w:styleId="184">
    <w:name w:val="endnote text"/>
    <w:basedOn w:val="729"/>
    <w:link w:val="185"/>
    <w:uiPriority w:val="99"/>
    <w:semiHidden/>
    <w:unhideWhenUsed/>
    <w:pPr>
      <w:pBdr/>
      <w:spacing w:after="0" w:line="240" w:lineRule="auto"/>
      <w:ind/>
    </w:pPr>
    <w:rPr>
      <w:sz w:val="20"/>
      <w:szCs w:val="20"/>
    </w:rPr>
  </w:style>
  <w:style w:type="character" w:styleId="185">
    <w:name w:val="Endnote Text Char"/>
    <w:basedOn w:val="739"/>
    <w:link w:val="184"/>
    <w:uiPriority w:val="99"/>
    <w:semiHidden/>
    <w:pPr>
      <w:pBdr/>
      <w:spacing/>
      <w:ind/>
    </w:pPr>
    <w:rPr>
      <w:sz w:val="20"/>
      <w:szCs w:val="20"/>
    </w:rPr>
  </w:style>
  <w:style w:type="character" w:styleId="186">
    <w:name w:val="endnote reference"/>
    <w:basedOn w:val="739"/>
    <w:uiPriority w:val="99"/>
    <w:semiHidden/>
    <w:unhideWhenUsed/>
    <w:pPr>
      <w:pBdr/>
      <w:spacing/>
      <w:ind/>
    </w:pPr>
    <w:rPr>
      <w:vertAlign w:val="superscript"/>
    </w:rPr>
  </w:style>
  <w:style w:type="character" w:styleId="188">
    <w:name w:val="FollowedHyperlink"/>
    <w:basedOn w:val="739"/>
    <w:uiPriority w:val="99"/>
    <w:semiHidden/>
    <w:unhideWhenUsed/>
    <w:pPr>
      <w:pBdr/>
      <w:spacing/>
      <w:ind/>
    </w:pPr>
    <w:rPr>
      <w:color w:val="954f72" w:themeColor="followedHyperlink"/>
      <w:u w:val="single"/>
    </w:rPr>
  </w:style>
  <w:style w:type="paragraph" w:styleId="189">
    <w:name w:val="toc 1"/>
    <w:basedOn w:val="729"/>
    <w:next w:val="729"/>
    <w:uiPriority w:val="39"/>
    <w:unhideWhenUsed/>
    <w:pPr>
      <w:pBdr/>
      <w:spacing w:after="100"/>
      <w:ind/>
    </w:pPr>
  </w:style>
  <w:style w:type="paragraph" w:styleId="190">
    <w:name w:val="toc 2"/>
    <w:basedOn w:val="729"/>
    <w:next w:val="729"/>
    <w:uiPriority w:val="39"/>
    <w:unhideWhenUsed/>
    <w:pPr>
      <w:pBdr/>
      <w:spacing w:after="100"/>
      <w:ind w:left="220"/>
    </w:pPr>
  </w:style>
  <w:style w:type="paragraph" w:styleId="191">
    <w:name w:val="toc 3"/>
    <w:basedOn w:val="729"/>
    <w:next w:val="729"/>
    <w:uiPriority w:val="39"/>
    <w:unhideWhenUsed/>
    <w:pPr>
      <w:pBdr/>
      <w:spacing w:after="100"/>
      <w:ind w:left="440"/>
    </w:pPr>
  </w:style>
  <w:style w:type="paragraph" w:styleId="192">
    <w:name w:val="toc 4"/>
    <w:basedOn w:val="729"/>
    <w:next w:val="729"/>
    <w:uiPriority w:val="39"/>
    <w:unhideWhenUsed/>
    <w:pPr>
      <w:pBdr/>
      <w:spacing w:after="100"/>
      <w:ind w:left="660"/>
    </w:pPr>
  </w:style>
  <w:style w:type="paragraph" w:styleId="193">
    <w:name w:val="toc 5"/>
    <w:basedOn w:val="729"/>
    <w:next w:val="729"/>
    <w:uiPriority w:val="39"/>
    <w:unhideWhenUsed/>
    <w:pPr>
      <w:pBdr/>
      <w:spacing w:after="100"/>
      <w:ind w:left="880"/>
    </w:pPr>
  </w:style>
  <w:style w:type="paragraph" w:styleId="194">
    <w:name w:val="toc 6"/>
    <w:basedOn w:val="729"/>
    <w:next w:val="729"/>
    <w:uiPriority w:val="39"/>
    <w:unhideWhenUsed/>
    <w:pPr>
      <w:pBdr/>
      <w:spacing w:after="100"/>
      <w:ind w:left="1100"/>
    </w:pPr>
  </w:style>
  <w:style w:type="paragraph" w:styleId="195">
    <w:name w:val="toc 7"/>
    <w:basedOn w:val="729"/>
    <w:next w:val="729"/>
    <w:uiPriority w:val="39"/>
    <w:unhideWhenUsed/>
    <w:pPr>
      <w:pBdr/>
      <w:spacing w:after="100"/>
      <w:ind w:left="1320"/>
    </w:pPr>
  </w:style>
  <w:style w:type="paragraph" w:styleId="196">
    <w:name w:val="toc 8"/>
    <w:basedOn w:val="729"/>
    <w:next w:val="729"/>
    <w:uiPriority w:val="39"/>
    <w:unhideWhenUsed/>
    <w:pPr>
      <w:pBdr/>
      <w:spacing w:after="100"/>
      <w:ind w:left="1540"/>
    </w:pPr>
  </w:style>
  <w:style w:type="paragraph" w:styleId="197">
    <w:name w:val="toc 9"/>
    <w:basedOn w:val="729"/>
    <w:next w:val="729"/>
    <w:uiPriority w:val="39"/>
    <w:unhideWhenUsed/>
    <w:pPr>
      <w:pBdr/>
      <w:spacing w:after="100"/>
      <w:ind w:left="1760"/>
    </w:pPr>
  </w:style>
  <w:style w:type="character" w:styleId="198">
    <w:name w:val="Placeholder Text"/>
    <w:basedOn w:val="73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9"/>
    <w:next w:val="729"/>
    <w:uiPriority w:val="99"/>
    <w:unhideWhenUsed/>
    <w:pPr>
      <w:pBdr/>
      <w:spacing w:after="0" w:afterAutospacing="0"/>
      <w:ind/>
    </w:pPr>
  </w:style>
  <w:style w:type="paragraph" w:styleId="729" w:default="1">
    <w:name w:val="Normal"/>
    <w:qFormat/>
    <w:pPr>
      <w:pBdr/>
      <w:spacing/>
      <w:ind/>
    </w:pPr>
    <w:rPr>
      <w:rFonts w:ascii="Arial" w:hAnsi="Arial" w:eastAsia="Arial" w:cs="Arial"/>
      <w:sz w:val="22"/>
      <w:szCs w:val="22"/>
    </w:rPr>
  </w:style>
  <w:style w:type="paragraph" w:styleId="730">
    <w:name w:val="Heading 1"/>
    <w:basedOn w:val="729"/>
    <w:next w:val="729"/>
    <w:link w:val="742"/>
    <w:qFormat/>
    <w:pPr>
      <w:keepNext w:val="true"/>
      <w:keepLines w:val="true"/>
      <w:pBdr/>
      <w:spacing w:after="80" w:before="360"/>
      <w:ind/>
      <w:outlineLvl w:val="0"/>
    </w:pPr>
    <w:rPr>
      <w:rFonts w:ascii="Calibri Light" w:hAnsi="Calibri Light" w:eastAsia="Times New Roman" w:cs="Times New Roman"/>
      <w:color w:val="2f5496"/>
      <w:sz w:val="40"/>
      <w:szCs w:val="40"/>
    </w:rPr>
  </w:style>
  <w:style w:type="paragraph" w:styleId="731">
    <w:name w:val="Heading 2"/>
    <w:basedOn w:val="729"/>
    <w:next w:val="729"/>
    <w:link w:val="743"/>
    <w:unhideWhenUsed/>
    <w:qFormat/>
    <w:pPr>
      <w:keepNext w:val="true"/>
      <w:keepLines w:val="true"/>
      <w:pBdr/>
      <w:spacing w:after="80" w:before="160"/>
      <w:ind/>
      <w:outlineLvl w:val="1"/>
    </w:pPr>
    <w:rPr>
      <w:rFonts w:ascii="Calibri Light" w:hAnsi="Calibri Light" w:eastAsia="Times New Roman" w:cs="Times New Roman"/>
      <w:color w:val="2f5496"/>
      <w:sz w:val="32"/>
      <w:szCs w:val="32"/>
    </w:rPr>
  </w:style>
  <w:style w:type="paragraph" w:styleId="732">
    <w:name w:val="Heading 3"/>
    <w:basedOn w:val="729"/>
    <w:next w:val="729"/>
    <w:link w:val="744"/>
    <w:uiPriority w:val="9"/>
    <w:semiHidden/>
    <w:unhideWhenUsed/>
    <w:qFormat/>
    <w:pPr>
      <w:keepNext w:val="true"/>
      <w:keepLines w:val="true"/>
      <w:pBdr/>
      <w:spacing w:after="80" w:before="160"/>
      <w:ind/>
      <w:outlineLvl w:val="2"/>
    </w:pPr>
    <w:rPr>
      <w:rFonts w:eastAsia="Times New Roman" w:cs="Times New Roman"/>
      <w:color w:val="2f5496"/>
      <w:sz w:val="28"/>
      <w:szCs w:val="28"/>
    </w:rPr>
  </w:style>
  <w:style w:type="paragraph" w:styleId="733">
    <w:name w:val="Heading 4"/>
    <w:basedOn w:val="729"/>
    <w:next w:val="729"/>
    <w:link w:val="745"/>
    <w:uiPriority w:val="9"/>
    <w:semiHidden/>
    <w:unhideWhenUsed/>
    <w:qFormat/>
    <w:pPr>
      <w:keepNext w:val="true"/>
      <w:keepLines w:val="true"/>
      <w:pBdr/>
      <w:spacing w:after="40" w:before="80"/>
      <w:ind/>
      <w:outlineLvl w:val="3"/>
    </w:pPr>
    <w:rPr>
      <w:rFonts w:eastAsia="Times New Roman" w:cs="Times New Roman"/>
      <w:i/>
      <w:iCs/>
      <w:color w:val="2f5496"/>
    </w:rPr>
  </w:style>
  <w:style w:type="paragraph" w:styleId="734">
    <w:name w:val="Heading 5"/>
    <w:basedOn w:val="729"/>
    <w:next w:val="729"/>
    <w:link w:val="746"/>
    <w:uiPriority w:val="9"/>
    <w:semiHidden/>
    <w:unhideWhenUsed/>
    <w:qFormat/>
    <w:pPr>
      <w:keepNext w:val="true"/>
      <w:keepLines w:val="true"/>
      <w:pBdr/>
      <w:spacing w:after="40" w:before="80"/>
      <w:ind/>
      <w:outlineLvl w:val="4"/>
    </w:pPr>
    <w:rPr>
      <w:rFonts w:eastAsia="Times New Roman" w:cs="Times New Roman"/>
      <w:color w:val="2f5496"/>
    </w:rPr>
  </w:style>
  <w:style w:type="paragraph" w:styleId="735">
    <w:name w:val="Heading 6"/>
    <w:basedOn w:val="729"/>
    <w:next w:val="729"/>
    <w:link w:val="747"/>
    <w:uiPriority w:val="9"/>
    <w:semiHidden/>
    <w:unhideWhenUsed/>
    <w:qFormat/>
    <w:pPr>
      <w:keepNext w:val="true"/>
      <w:keepLines w:val="true"/>
      <w:pBdr/>
      <w:spacing w:before="40"/>
      <w:ind/>
      <w:outlineLvl w:val="5"/>
    </w:pPr>
    <w:rPr>
      <w:rFonts w:eastAsia="Times New Roman" w:cs="Times New Roman"/>
      <w:i/>
      <w:iCs/>
      <w:color w:val="595959"/>
    </w:rPr>
  </w:style>
  <w:style w:type="paragraph" w:styleId="736">
    <w:name w:val="Heading 7"/>
    <w:basedOn w:val="729"/>
    <w:next w:val="729"/>
    <w:link w:val="748"/>
    <w:uiPriority w:val="9"/>
    <w:semiHidden/>
    <w:unhideWhenUsed/>
    <w:qFormat/>
    <w:pPr>
      <w:keepNext w:val="true"/>
      <w:keepLines w:val="true"/>
      <w:pBdr/>
      <w:spacing w:before="40"/>
      <w:ind/>
      <w:outlineLvl w:val="6"/>
    </w:pPr>
    <w:rPr>
      <w:rFonts w:eastAsia="Times New Roman" w:cs="Times New Roman"/>
      <w:color w:val="595959"/>
    </w:rPr>
  </w:style>
  <w:style w:type="paragraph" w:styleId="737">
    <w:name w:val="Heading 8"/>
    <w:basedOn w:val="729"/>
    <w:next w:val="729"/>
    <w:link w:val="749"/>
    <w:uiPriority w:val="9"/>
    <w:semiHidden/>
    <w:unhideWhenUsed/>
    <w:qFormat/>
    <w:pPr>
      <w:keepNext w:val="true"/>
      <w:keepLines w:val="true"/>
      <w:pBdr/>
      <w:spacing/>
      <w:ind/>
      <w:outlineLvl w:val="7"/>
    </w:pPr>
    <w:rPr>
      <w:rFonts w:eastAsia="Times New Roman" w:cs="Times New Roman"/>
      <w:i/>
      <w:iCs/>
      <w:color w:val="272727"/>
    </w:rPr>
  </w:style>
  <w:style w:type="paragraph" w:styleId="738">
    <w:name w:val="Heading 9"/>
    <w:basedOn w:val="729"/>
    <w:next w:val="729"/>
    <w:link w:val="750"/>
    <w:uiPriority w:val="9"/>
    <w:semiHidden/>
    <w:unhideWhenUsed/>
    <w:qFormat/>
    <w:pPr>
      <w:keepNext w:val="true"/>
      <w:keepLines w:val="true"/>
      <w:pBdr/>
      <w:spacing/>
      <w:ind/>
      <w:outlineLvl w:val="8"/>
    </w:pPr>
    <w:rPr>
      <w:rFonts w:eastAsia="Times New Roman" w:cs="Times New Roman"/>
      <w:color w:val="272727"/>
    </w:rPr>
  </w:style>
  <w:style w:type="character" w:styleId="739" w:default="1">
    <w:name w:val="Default Paragraph Font"/>
    <w:uiPriority w:val="1"/>
    <w:semiHidden/>
    <w:unhideWhenUsed/>
    <w:pPr>
      <w:pBdr/>
      <w:spacing/>
      <w:ind/>
    </w:pPr>
  </w:style>
  <w:style w:type="table" w:styleId="74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1" w:default="1">
    <w:name w:val="No List"/>
    <w:uiPriority w:val="99"/>
    <w:semiHidden/>
    <w:unhideWhenUsed/>
    <w:pPr>
      <w:pBdr/>
      <w:spacing/>
      <w:ind/>
    </w:pPr>
  </w:style>
  <w:style w:type="character" w:styleId="742" w:customStyle="1">
    <w:name w:val="Título 1 Car"/>
    <w:link w:val="730"/>
    <w:pPr>
      <w:pBdr/>
      <w:spacing/>
      <w:ind/>
    </w:pPr>
    <w:rPr>
      <w:rFonts w:ascii="Calibri Light" w:hAnsi="Calibri Light" w:eastAsia="Times New Roman" w:cs="Times New Roman"/>
      <w:color w:val="2f5496"/>
      <w:sz w:val="40"/>
      <w:szCs w:val="40"/>
    </w:rPr>
  </w:style>
  <w:style w:type="character" w:styleId="743" w:customStyle="1">
    <w:name w:val="Título 2 Car"/>
    <w:link w:val="731"/>
    <w:pPr>
      <w:pBdr/>
      <w:spacing/>
      <w:ind/>
    </w:pPr>
    <w:rPr>
      <w:rFonts w:ascii="Calibri Light" w:hAnsi="Calibri Light" w:eastAsia="Times New Roman" w:cs="Times New Roman"/>
      <w:color w:val="2f5496"/>
      <w:sz w:val="32"/>
      <w:szCs w:val="32"/>
    </w:rPr>
  </w:style>
  <w:style w:type="character" w:styleId="744" w:customStyle="1">
    <w:name w:val="Título 3 Car"/>
    <w:link w:val="732"/>
    <w:uiPriority w:val="9"/>
    <w:semiHidden/>
    <w:pPr>
      <w:pBdr/>
      <w:spacing/>
      <w:ind/>
    </w:pPr>
    <w:rPr>
      <w:rFonts w:eastAsia="Times New Roman" w:cs="Times New Roman"/>
      <w:color w:val="2f5496"/>
      <w:sz w:val="28"/>
      <w:szCs w:val="28"/>
    </w:rPr>
  </w:style>
  <w:style w:type="character" w:styleId="745" w:customStyle="1">
    <w:name w:val="Título 4 Car"/>
    <w:link w:val="733"/>
    <w:uiPriority w:val="9"/>
    <w:semiHidden/>
    <w:pPr>
      <w:pBdr/>
      <w:spacing/>
      <w:ind/>
    </w:pPr>
    <w:rPr>
      <w:rFonts w:eastAsia="Times New Roman" w:cs="Times New Roman"/>
      <w:i/>
      <w:iCs/>
      <w:color w:val="2f5496"/>
    </w:rPr>
  </w:style>
  <w:style w:type="character" w:styleId="746" w:customStyle="1">
    <w:name w:val="Título 5 Car"/>
    <w:link w:val="734"/>
    <w:uiPriority w:val="9"/>
    <w:semiHidden/>
    <w:pPr>
      <w:pBdr/>
      <w:spacing/>
      <w:ind/>
    </w:pPr>
    <w:rPr>
      <w:rFonts w:eastAsia="Times New Roman" w:cs="Times New Roman"/>
      <w:color w:val="2f5496"/>
    </w:rPr>
  </w:style>
  <w:style w:type="character" w:styleId="747" w:customStyle="1">
    <w:name w:val="Título 6 Car"/>
    <w:link w:val="735"/>
    <w:uiPriority w:val="9"/>
    <w:semiHidden/>
    <w:pPr>
      <w:pBdr/>
      <w:spacing/>
      <w:ind/>
    </w:pPr>
    <w:rPr>
      <w:rFonts w:eastAsia="Times New Roman" w:cs="Times New Roman"/>
      <w:i/>
      <w:iCs/>
      <w:color w:val="595959"/>
    </w:rPr>
  </w:style>
  <w:style w:type="character" w:styleId="748" w:customStyle="1">
    <w:name w:val="Título 7 Car"/>
    <w:link w:val="736"/>
    <w:uiPriority w:val="9"/>
    <w:semiHidden/>
    <w:pPr>
      <w:pBdr/>
      <w:spacing/>
      <w:ind/>
    </w:pPr>
    <w:rPr>
      <w:rFonts w:eastAsia="Times New Roman" w:cs="Times New Roman"/>
      <w:color w:val="595959"/>
    </w:rPr>
  </w:style>
  <w:style w:type="character" w:styleId="749" w:customStyle="1">
    <w:name w:val="Título 8 Car"/>
    <w:link w:val="737"/>
    <w:uiPriority w:val="9"/>
    <w:semiHidden/>
    <w:pPr>
      <w:pBdr/>
      <w:spacing/>
      <w:ind/>
    </w:pPr>
    <w:rPr>
      <w:rFonts w:eastAsia="Times New Roman" w:cs="Times New Roman"/>
      <w:i/>
      <w:iCs/>
      <w:color w:val="272727"/>
    </w:rPr>
  </w:style>
  <w:style w:type="character" w:styleId="750" w:customStyle="1">
    <w:name w:val="Título 9 Car"/>
    <w:link w:val="738"/>
    <w:uiPriority w:val="9"/>
    <w:semiHidden/>
    <w:pPr>
      <w:pBdr/>
      <w:spacing/>
      <w:ind/>
    </w:pPr>
    <w:rPr>
      <w:rFonts w:eastAsia="Times New Roman" w:cs="Times New Roman"/>
      <w:color w:val="272727"/>
    </w:rPr>
  </w:style>
  <w:style w:type="paragraph" w:styleId="751">
    <w:name w:val="Title"/>
    <w:basedOn w:val="729"/>
    <w:next w:val="729"/>
    <w:link w:val="752"/>
    <w:uiPriority w:val="10"/>
    <w:qFormat/>
    <w:pPr>
      <w:pBdr/>
      <w:spacing w:after="80"/>
      <w:ind/>
      <w:contextualSpacing w:val="true"/>
    </w:pPr>
    <w:rPr>
      <w:rFonts w:ascii="Calibri Light" w:hAnsi="Calibri Light" w:eastAsia="Times New Roman" w:cs="Times New Roman"/>
      <w:spacing w:val="-10"/>
      <w:sz w:val="56"/>
      <w:szCs w:val="56"/>
    </w:rPr>
  </w:style>
  <w:style w:type="character" w:styleId="752" w:customStyle="1">
    <w:name w:val="Título Car"/>
    <w:link w:val="751"/>
    <w:uiPriority w:val="10"/>
    <w:pPr>
      <w:pBdr/>
      <w:spacing/>
      <w:ind/>
    </w:pPr>
    <w:rPr>
      <w:rFonts w:ascii="Calibri Light" w:hAnsi="Calibri Light" w:eastAsia="Times New Roman" w:cs="Times New Roman"/>
      <w:spacing w:val="-10"/>
      <w:sz w:val="56"/>
      <w:szCs w:val="56"/>
    </w:rPr>
  </w:style>
  <w:style w:type="paragraph" w:styleId="753">
    <w:name w:val="Subtitle"/>
    <w:basedOn w:val="729"/>
    <w:next w:val="729"/>
    <w:link w:val="754"/>
    <w:uiPriority w:val="11"/>
    <w:qFormat/>
    <w:pPr>
      <w:numPr>
        <w:ilvl w:val="1"/>
      </w:numPr>
      <w:pBdr/>
      <w:spacing/>
      <w:ind/>
    </w:pPr>
    <w:rPr>
      <w:rFonts w:eastAsia="Times New Roman" w:cs="Times New Roman"/>
      <w:color w:val="595959"/>
      <w:spacing w:val="15"/>
      <w:sz w:val="28"/>
      <w:szCs w:val="28"/>
    </w:rPr>
  </w:style>
  <w:style w:type="character" w:styleId="754" w:customStyle="1">
    <w:name w:val="Subtítulo Car"/>
    <w:link w:val="753"/>
    <w:uiPriority w:val="11"/>
    <w:pPr>
      <w:pBdr/>
      <w:spacing/>
      <w:ind/>
    </w:pPr>
    <w:rPr>
      <w:rFonts w:eastAsia="Times New Roman" w:cs="Times New Roman"/>
      <w:color w:val="595959"/>
      <w:spacing w:val="15"/>
      <w:sz w:val="28"/>
      <w:szCs w:val="28"/>
    </w:rPr>
  </w:style>
  <w:style w:type="paragraph" w:styleId="755">
    <w:name w:val="Quote"/>
    <w:basedOn w:val="729"/>
    <w:next w:val="729"/>
    <w:link w:val="756"/>
    <w:uiPriority w:val="29"/>
    <w:qFormat/>
    <w:pPr>
      <w:pBdr/>
      <w:spacing w:before="160"/>
      <w:ind/>
      <w:jc w:val="center"/>
    </w:pPr>
    <w:rPr>
      <w:i/>
      <w:iCs/>
      <w:color w:val="404040"/>
    </w:rPr>
  </w:style>
  <w:style w:type="character" w:styleId="756" w:customStyle="1">
    <w:name w:val="Cita Car"/>
    <w:link w:val="755"/>
    <w:uiPriority w:val="29"/>
    <w:pPr>
      <w:pBdr/>
      <w:spacing/>
      <w:ind/>
    </w:pPr>
    <w:rPr>
      <w:i/>
      <w:iCs/>
      <w:color w:val="404040"/>
    </w:rPr>
  </w:style>
  <w:style w:type="paragraph" w:styleId="757">
    <w:name w:val="List Paragraph"/>
    <w:basedOn w:val="729"/>
    <w:qFormat/>
    <w:pPr>
      <w:pBdr/>
      <w:spacing/>
      <w:ind w:left="720"/>
      <w:contextualSpacing w:val="true"/>
    </w:pPr>
  </w:style>
  <w:style w:type="character" w:styleId="758">
    <w:name w:val="Intense Emphasis"/>
    <w:uiPriority w:val="21"/>
    <w:qFormat/>
    <w:pPr>
      <w:pBdr/>
      <w:spacing/>
      <w:ind/>
    </w:pPr>
    <w:rPr>
      <w:i/>
      <w:iCs/>
      <w:color w:val="2f5496"/>
    </w:rPr>
  </w:style>
  <w:style w:type="paragraph" w:styleId="759">
    <w:name w:val="Intense Quote"/>
    <w:basedOn w:val="729"/>
    <w:next w:val="729"/>
    <w:link w:val="760"/>
    <w:uiPriority w:val="30"/>
    <w:qFormat/>
    <w:pPr>
      <w:pBdr>
        <w:top w:val="single" w:color="2f5496" w:sz="4" w:space="10"/>
        <w:bottom w:val="single" w:color="2f5496" w:sz="4" w:space="10"/>
      </w:pBdr>
      <w:spacing w:after="360" w:before="360"/>
      <w:ind w:right="864" w:left="864"/>
      <w:jc w:val="center"/>
    </w:pPr>
    <w:rPr>
      <w:i/>
      <w:iCs/>
      <w:color w:val="2f5496"/>
    </w:rPr>
  </w:style>
  <w:style w:type="character" w:styleId="760" w:customStyle="1">
    <w:name w:val="Cita destacada Car"/>
    <w:link w:val="759"/>
    <w:uiPriority w:val="30"/>
    <w:pPr>
      <w:pBdr/>
      <w:spacing/>
      <w:ind/>
    </w:pPr>
    <w:rPr>
      <w:i/>
      <w:iCs/>
      <w:color w:val="2f5496"/>
    </w:rPr>
  </w:style>
  <w:style w:type="character" w:styleId="761">
    <w:name w:val="Intense Reference"/>
    <w:uiPriority w:val="32"/>
    <w:qFormat/>
    <w:pPr>
      <w:pBdr/>
      <w:spacing/>
      <w:ind/>
    </w:pPr>
    <w:rPr>
      <w:b/>
      <w:bCs/>
      <w:smallCaps/>
      <w:color w:val="2f5496"/>
      <w:spacing w:val="5"/>
    </w:rPr>
  </w:style>
  <w:style w:type="paragraph" w:styleId="762">
    <w:name w:val="Header"/>
    <w:basedOn w:val="729"/>
    <w:link w:val="763"/>
    <w:uiPriority w:val="99"/>
    <w:unhideWhenUsed/>
    <w:pPr>
      <w:pBdr/>
      <w:tabs>
        <w:tab w:val="center" w:leader="none" w:pos="4252"/>
        <w:tab w:val="right" w:leader="none" w:pos="8504"/>
      </w:tabs>
      <w:spacing/>
      <w:ind/>
    </w:pPr>
  </w:style>
  <w:style w:type="character" w:styleId="763" w:customStyle="1">
    <w:name w:val="Encabezado Car"/>
    <w:basedOn w:val="739"/>
    <w:link w:val="762"/>
    <w:uiPriority w:val="99"/>
    <w:pPr>
      <w:pBdr/>
      <w:spacing/>
      <w:ind/>
    </w:pPr>
  </w:style>
  <w:style w:type="paragraph" w:styleId="764">
    <w:name w:val="Footer"/>
    <w:basedOn w:val="729"/>
    <w:link w:val="765"/>
    <w:uiPriority w:val="99"/>
    <w:unhideWhenUsed/>
    <w:pPr>
      <w:pBdr/>
      <w:tabs>
        <w:tab w:val="center" w:leader="none" w:pos="4252"/>
        <w:tab w:val="right" w:leader="none" w:pos="8504"/>
      </w:tabs>
      <w:spacing/>
      <w:ind/>
    </w:pPr>
  </w:style>
  <w:style w:type="character" w:styleId="765" w:customStyle="1">
    <w:name w:val="Pie de página Car"/>
    <w:basedOn w:val="739"/>
    <w:link w:val="764"/>
    <w:uiPriority w:val="99"/>
    <w:pPr>
      <w:pBdr/>
      <w:spacing/>
      <w:ind/>
    </w:pPr>
  </w:style>
  <w:style w:type="paragraph" w:styleId="766">
    <w:name w:val="Normal (Web)"/>
    <w:basedOn w:val="729"/>
    <w:uiPriority w:val="99"/>
    <w:unhideWhenUsed/>
    <w:pPr>
      <w:pBdr/>
      <w:spacing w:after="100" w:afterAutospacing="1" w:before="100" w:beforeAutospacing="1"/>
      <w:ind/>
    </w:pPr>
    <w:rPr>
      <w:rFonts w:ascii="Times New Roman" w:hAnsi="Times New Roman" w:eastAsia="Times New Roman"/>
    </w:rPr>
  </w:style>
  <w:style w:type="character" w:styleId="767">
    <w:name w:val="Emphasis"/>
    <w:uiPriority w:val="20"/>
    <w:qFormat/>
    <w:pPr>
      <w:pBdr/>
      <w:spacing/>
      <w:ind/>
    </w:pPr>
    <w:rPr>
      <w:i/>
      <w:iCs/>
    </w:rPr>
  </w:style>
  <w:style w:type="character" w:styleId="768">
    <w:name w:val="Hyperlink"/>
    <w:uiPriority w:val="99"/>
    <w:unhideWhenUsed/>
    <w:pPr>
      <w:pBdr/>
      <w:spacing/>
      <w:ind/>
    </w:pPr>
    <w:rPr>
      <w:color w:val="0000ff"/>
      <w:u w:val="single"/>
    </w:rPr>
  </w:style>
  <w:style w:type="character" w:styleId="769">
    <w:name w:val="Strong"/>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Plantilla para contenidos.dot</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revision>2</cp:revision>
  <dcterms:created xsi:type="dcterms:W3CDTF">2026-06-04T20:13:00Z</dcterms:created>
  <dcterms:modified xsi:type="dcterms:W3CDTF">2026-06-11T22:50:32Z</dcterms:modified>
</cp:coreProperties>
</file>