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1"/>
      </w:pPr>
      <w:r>
        <w:t xml:space="preserve">12-09 Interview: Rachel Riley, Secretary Phelan, Vice Admiral O'Connor — Navy Acquisition, Culture Shift, Risk-Tolerant Iteration</w:t>
      </w:r>
    </w:p>
    <w:p>
      <w:r>
        <w:pict>
          <v:rect style="width:0;height:1.5pt" o:hralign="center" o:hrstd="t" o:hr="t"/>
        </w:pict>
      </w:r>
    </w:p>
    <w:p>
      <w:pPr>
        <w:pStyle w:val="a8"/>
      </w:pPr>
      <w:r>
        <w:t xml:space="preserve">Date Time: 2025-12-09 20:41:10</w:t>
      </w:r>
      <w:r>
        <w:br/>
      </w:r>
      <w:r>
        <w:t xml:space="preserve">Location: [Insert Location]</w:t>
      </w:r>
      <w:r>
        <w:br/>
      </w:r>
      <w:r>
        <w:t xml:space="preserve">Interviewee: Rachel Riley; Secretary Phelan; Vice Admiral O'Connor</w:t>
      </w:r>
    </w:p>
    <w:p>
      <w:pPr>
        <w:pStyle w:val="21"/>
      </w:pPr>
      <w:r>
        <w:t xml:space="preserve">TL;DR</w:t>
      </w:r>
    </w:p>
    <w:p>
      <w:pPr>
        <w:pStyle w:val="FirstParagraph"/>
      </w:pPr>
      <w:r>
        <w:t xml:space="preserve">Rachel Riley moderates a fireside chat where Secretary Phelan and Vice Admiral O'Connor argue for shifting Navy culture and acquisition toward outcomes, risk-tolerant iteration, and flexible funding to keep pace with industry innovation—while maintaining deterrence and accountability in shipbuilding and operations.</w:t>
      </w:r>
    </w:p>
    <w:p>
      <w:pPr>
        <w:pStyle w:val="21"/>
      </w:pPr>
      <w:r>
        <w:t xml:space="preserve">Introduction</w:t>
      </w:r>
    </w:p>
    <w:p>
      <w:pPr>
        <w:pStyle w:val="Compact"/>
        <w:numPr>
          <w:ilvl w:val="0"/>
          <w:numId w:val="1001"/>
        </w:numPr>
      </w:pPr>
      <w:r>
        <w:t xml:space="preserve">Rachel Riley: Chief of Naval Research and moderator. She frames the discussion around accelerating innovation, partnering with industry, and cultural change to “play to win” rather than merely prevent failure. She solicits industry input on Naval S&amp;T priorities and alignment.</w:t>
      </w:r>
    </w:p>
    <w:p>
      <w:pPr>
        <w:pStyle w:val="Compact"/>
        <w:numPr>
          <w:ilvl w:val="0"/>
          <w:numId w:val="1001"/>
        </w:numPr>
      </w:pPr>
      <w:r>
        <w:t xml:space="preserve">Secretary Phelan: Emphasizes the need to adapt procurement and programmatic funding to industry’s faster innovation cadence, guard against complacency, and build flexible systems. Advocates outcome-focused execution, accountability across ship programs, and iterative improvement without gold-plating.</w:t>
      </w:r>
    </w:p>
    <w:p>
      <w:pPr>
        <w:pStyle w:val="Compact"/>
        <w:numPr>
          <w:ilvl w:val="0"/>
          <w:numId w:val="1001"/>
        </w:numPr>
      </w:pPr>
      <w:r>
        <w:t xml:space="preserve">Vice Admiral O'Connor: Highlights that the Navy must change its acquisition and operational risk posture to keep pace with industry. Calls for shifting from compliance to outcomes, iterating with fast feedback, and embracing operational risk during testing to accelerate capability delivery.</w:t>
      </w:r>
    </w:p>
    <w:p>
      <w:pPr>
        <w:pStyle w:val="21"/>
      </w:pPr>
      <w:r>
        <w:t xml:space="preserve">Key Points</w:t>
      </w:r>
    </w:p>
    <w:p>
      <w:pPr>
        <w:pStyle w:val="Compact"/>
        <w:numPr>
          <w:ilvl w:val="0"/>
          <w:numId w:val="1002"/>
        </w:numPr>
      </w:pPr>
      <w:r>
        <w:t xml:space="preserve">Industry now outpaces defense innovation; Navy acquisition and funding models must adapt for speed and flexibility.</w:t>
      </w:r>
    </w:p>
    <w:p>
      <w:pPr>
        <w:pStyle w:val="Compact"/>
        <w:numPr>
          <w:ilvl w:val="0"/>
          <w:numId w:val="1002"/>
        </w:numPr>
      </w:pPr>
      <w:r>
        <w:t xml:space="preserve">Cultural transformation from compliance-based to outcomes-based management is essential across acquisition and operations.</w:t>
      </w:r>
    </w:p>
    <w:p>
      <w:pPr>
        <w:pStyle w:val="Compact"/>
        <w:numPr>
          <w:ilvl w:val="0"/>
          <w:numId w:val="1002"/>
        </w:numPr>
      </w:pPr>
      <w:r>
        <w:t xml:space="preserve">Embrace measured risk and iterative testing to accelerate learning and capability, moving beyond zero-defect mentality where appropriate.</w:t>
      </w:r>
    </w:p>
    <w:p>
      <w:pPr>
        <w:pStyle w:val="Compact"/>
        <w:numPr>
          <w:ilvl w:val="0"/>
          <w:numId w:val="1002"/>
        </w:numPr>
      </w:pPr>
      <w:r>
        <w:t xml:space="preserve">Guard against complacency; institutionalize accountability and continuous upgrades to avoid program drift and overruns.</w:t>
      </w:r>
    </w:p>
    <w:p>
      <w:pPr>
        <w:pStyle w:val="Compact"/>
        <w:numPr>
          <w:ilvl w:val="0"/>
          <w:numId w:val="1002"/>
        </w:numPr>
      </w:pPr>
      <w:r>
        <w:t xml:space="preserve">Shipbuilding should prioritize fielding initial hulls, defer non-critical changes to subsequent iterations, and avoid requirements creep and gold-plating.</w:t>
      </w:r>
    </w:p>
    <w:p>
      <w:pPr>
        <w:pStyle w:val="Compact"/>
        <w:numPr>
          <w:ilvl w:val="0"/>
          <w:numId w:val="1002"/>
        </w:numPr>
      </w:pPr>
      <w:r>
        <w:t xml:space="preserve">Success is defined as deterrence and readiness—minimizing casualties, delivering reliable lethality, and leaving lasting improvements.</w:t>
      </w:r>
    </w:p>
    <w:p>
      <w:pPr>
        <w:pStyle w:val="Compact"/>
        <w:numPr>
          <w:ilvl w:val="0"/>
          <w:numId w:val="1002"/>
        </w:numPr>
      </w:pPr>
      <w:r>
        <w:t xml:space="preserve">Talent strategy should raise standards and align recruiting to emerging skill requirements as interest in service increases.</w:t>
      </w:r>
    </w:p>
    <w:p>
      <w:pPr>
        <w:pStyle w:val="21"/>
      </w:pPr>
      <w:r>
        <w:t xml:space="preserve">Insights</w:t>
      </w:r>
    </w:p>
    <w:p>
      <w:pPr>
        <w:pStyle w:val="Compact"/>
        <w:numPr>
          <w:ilvl w:val="0"/>
          <w:numId w:val="1003"/>
        </w:numPr>
      </w:pPr>
      <w:r>
        <w:t xml:space="preserve">Rachel Riley</w:t>
      </w:r>
    </w:p>
    <w:p>
      <w:pPr>
        <w:pStyle w:val="Compact"/>
        <w:numPr>
          <w:ilvl w:val="1"/>
          <w:numId w:val="1004"/>
        </w:numPr>
      </w:pPr>
      <w:r>
        <w:t xml:space="preserve">Frames the pivot toward playing to win and invites industry collaboration to align Naval S&amp;T with operational needs.</w:t>
      </w:r>
    </w:p>
    <w:p>
      <w:pPr>
        <w:pStyle w:val="Compact"/>
        <w:numPr>
          <w:ilvl w:val="1"/>
          <w:numId w:val="1004"/>
        </w:numPr>
      </w:pPr>
      <w:r>
        <w:t xml:space="preserve">Positions Naval Research as a partner supporting Don RCO stand-up and classified briefings, signaling integration with rapid capability efforts.</w:t>
      </w:r>
    </w:p>
    <w:p>
      <w:pPr>
        <w:pStyle w:val="Compact"/>
        <w:numPr>
          <w:ilvl w:val="0"/>
          <w:numId w:val="1004"/>
        </w:numPr>
      </w:pPr>
      <w:r>
        <w:t xml:space="preserve">Secretary Phelan</w:t>
      </w:r>
    </w:p>
    <w:p>
      <w:pPr>
        <w:pStyle w:val="Compact"/>
        <w:numPr>
          <w:ilvl w:val="1"/>
          <w:numId w:val="1005"/>
        </w:numPr>
      </w:pPr>
      <w:r>
        <w:t xml:space="preserve">Warns against complacency using analogies (Mike Tyson, Kodak); urges executives to anticipate change and pivot quickly.</w:t>
      </w:r>
    </w:p>
    <w:p>
      <w:pPr>
        <w:pStyle w:val="Compact"/>
        <w:numPr>
          <w:ilvl w:val="1"/>
          <w:numId w:val="1005"/>
        </w:numPr>
      </w:pPr>
      <w:r>
        <w:t xml:space="preserve">Calls for flexible procurement and funding models; emphasizes accountability with clear milestones per billet in ship programs.</w:t>
      </w:r>
    </w:p>
    <w:p>
      <w:pPr>
        <w:pStyle w:val="Compact"/>
        <w:numPr>
          <w:ilvl w:val="1"/>
          <w:numId w:val="1005"/>
        </w:numPr>
      </w:pPr>
      <w:r>
        <w:t xml:space="preserve">Advocates iterative shipbuilding: field the first ship, capture change requests for later iterations to avoid cost/capability imbalance.</w:t>
      </w:r>
    </w:p>
    <w:p>
      <w:pPr>
        <w:pStyle w:val="Compact"/>
        <w:numPr>
          <w:ilvl w:val="1"/>
          <w:numId w:val="1005"/>
        </w:numPr>
      </w:pPr>
      <w:r>
        <w:t xml:space="preserve">Defines success as deterrence yielding “zero caskets,” lasting cultural and process changes, and better outcomes over time.</w:t>
      </w:r>
    </w:p>
    <w:p>
      <w:pPr>
        <w:pStyle w:val="Compact"/>
        <w:numPr>
          <w:ilvl w:val="1"/>
          <w:numId w:val="1005"/>
        </w:numPr>
      </w:pPr>
      <w:r>
        <w:t xml:space="preserve">Notes recruiting strength; proposes raising standards and aligning skills to future requirements.</w:t>
      </w:r>
    </w:p>
    <w:p>
      <w:pPr>
        <w:pStyle w:val="Compact"/>
        <w:numPr>
          <w:ilvl w:val="0"/>
          <w:numId w:val="1005"/>
        </w:numPr>
      </w:pPr>
      <w:r>
        <w:t xml:space="preserve">Vice Admiral O'Connor</w:t>
      </w:r>
    </w:p>
    <w:p>
      <w:pPr>
        <w:pStyle w:val="Compact"/>
        <w:numPr>
          <w:ilvl w:val="1"/>
          <w:numId w:val="1006"/>
        </w:numPr>
      </w:pPr>
      <w:r>
        <w:t xml:space="preserve">Asserts industry’s innovation pace demands a shift in acquisition approach; current training is rooted in legacy compliance.</w:t>
      </w:r>
    </w:p>
    <w:p>
      <w:pPr>
        <w:pStyle w:val="Compact"/>
        <w:numPr>
          <w:ilvl w:val="1"/>
          <w:numId w:val="1006"/>
        </w:numPr>
      </w:pPr>
      <w:r>
        <w:t xml:space="preserve">Promotes operational risk tolerance (e.g., testing mishaps) and tight developer-operator iteration for fast feedback loops.</w:t>
      </w:r>
    </w:p>
    <w:p>
      <w:pPr>
        <w:pStyle w:val="Compact"/>
        <w:numPr>
          <w:ilvl w:val="1"/>
          <w:numId w:val="1006"/>
        </w:numPr>
      </w:pPr>
      <w:r>
        <w:t xml:space="preserve">Champions outcomes over compliance to rewire organizational behavior and deliver usable, reliable systems for sailors.</w:t>
      </w:r>
    </w:p>
    <w:p>
      <w:pPr>
        <w:pStyle w:val="21"/>
      </w:pPr>
      <w:r>
        <w:t xml:space="preserve">Discussion</w:t>
      </w:r>
    </w:p>
    <w:p>
      <w:pPr>
        <w:pStyle w:val="Compact"/>
        <w:numPr>
          <w:ilvl w:val="0"/>
          <w:numId w:val="1007"/>
        </w:numPr>
      </w:pPr>
      <w:r>
        <w:t xml:space="preserve">Rachel Riley: When have the Navy and industry done partnership well, and what can we learn from those successes?</w:t>
      </w:r>
    </w:p>
    <w:p>
      <w:pPr>
        <w:pStyle w:val="Compact"/>
        <w:numPr>
          <w:ilvl w:val="1"/>
          <w:numId w:val="1008"/>
        </w:numPr>
      </w:pPr>
      <w:r>
        <w:t xml:space="preserve">Vice Admiral O'Connor: The Navy historically led innovation (radars, ONR expertise) but industry now innovates faster; acquisition must adapt, and the organization must shift from legacy methods.</w:t>
      </w:r>
    </w:p>
    <w:p>
      <w:pPr>
        <w:pStyle w:val="Compact"/>
        <w:numPr>
          <w:ilvl w:val="1"/>
          <w:numId w:val="1008"/>
        </w:numPr>
      </w:pPr>
      <w:r>
        <w:t xml:space="preserve">Secretary Phelan: Current narratives (drones vs. ships) oversimplify; Navy has a strong innovation history (Aegis, amphibs). After decades focused on land wars, complacency can set in; leaders must anticipate change and pivot. Procurement and funding need flexibility to match rapid change.</w:t>
      </w:r>
    </w:p>
    <w:p>
      <w:pPr>
        <w:pStyle w:val="Compact"/>
        <w:numPr>
          <w:ilvl w:val="0"/>
          <w:numId w:val="1008"/>
        </w:numPr>
      </w:pPr>
      <w:r>
        <w:t xml:space="preserve">Rachel Riley: What cultural changes are needed to sustain the pivot from preventing failure to playing to win?</w:t>
      </w:r>
    </w:p>
    <w:p>
      <w:pPr>
        <w:pStyle w:val="Compact"/>
        <w:numPr>
          <w:ilvl w:val="1"/>
          <w:numId w:val="1009"/>
        </w:numPr>
      </w:pPr>
      <w:r>
        <w:t xml:space="preserve">Vice Admiral O'Connor: Change risk posture operationally and in acquisition. Accept testing risk (e.g., USVs collision), iterate with fast feedback, and shift from compliance to outcomes.</w:t>
      </w:r>
    </w:p>
    <w:p>
      <w:pPr>
        <w:pStyle w:val="Compact"/>
        <w:numPr>
          <w:ilvl w:val="1"/>
          <w:numId w:val="1009"/>
        </w:numPr>
      </w:pPr>
      <w:r>
        <w:t xml:space="preserve">Secretary Phelan: Zero-defect mindset rooted in nuclear programs has spread; we must take more risk in non-nuclear areas. Encourage transparency and early problem identification (e.g., Ford Carrier program). Create accountability via clear, time-bounded milestones per billet; fix problems fast. Avoid gold-plating and requirements creep (Constellation-class example); field initial ships, log changes for later iterations.</w:t>
      </w:r>
    </w:p>
    <w:p>
      <w:pPr>
        <w:pStyle w:val="Compact"/>
        <w:numPr>
          <w:ilvl w:val="0"/>
          <w:numId w:val="1009"/>
        </w:numPr>
      </w:pPr>
      <w:r>
        <w:t xml:space="preserve">Rachel Riley: What does success look like by 2028 and beyond?</w:t>
      </w:r>
    </w:p>
    <w:p>
      <w:pPr>
        <w:pStyle w:val="Compact"/>
        <w:numPr>
          <w:ilvl w:val="1"/>
          <w:numId w:val="1010"/>
        </w:numPr>
      </w:pPr>
      <w:r>
        <w:t xml:space="preserve">Vice Admiral O'Connor: Deliver reliable, lethal systems so sailors focus on tactics, not fixes; make innovation central to Navy’s identity and acquisition ecosystem.</w:t>
      </w:r>
      <w:r>
        <w:br/>
      </w:r>
      <w:r>
        <w:t xml:space="preserve">* Secretary Phelan: Aim for deterrence—“zero caskets”—so conflicts are avoided.</w:t>
      </w:r>
      <w:r>
        <w:t xml:space="preserve"> </w:t>
      </w:r>
      <w:r>
        <w:t xml:space="preserve">Leave the Navy better than found, with lasting cultural/process changes. Recognize long timelines in shipbuilding; hope history affirms decisions. With strong recruiting, raise standards and align skills to future needs.</w:t>
      </w:r>
    </w:p>
    <w:p>
      <w:pPr>
        <w:pStyle w:val="Compact"/>
        <w:numPr>
          <w:ilvl w:val="0"/>
          <w:numId w:val="1010"/>
        </w:numPr>
      </w:pPr>
      <w:r>
        <w:t xml:space="preserve">Rachel Riley: Closing remarks and request to industry.</w:t>
      </w:r>
    </w:p>
    <w:p>
      <w:pPr>
        <w:pStyle w:val="Compact"/>
        <w:numPr>
          <w:ilvl w:val="1"/>
          <w:numId w:val="1011"/>
        </w:numPr>
      </w:pPr>
      <w:r>
        <w:t xml:space="preserve">Rachel Riley: Reinforces deterrence, lethality, peace through strength. Invites industry to highlight gaps in Naval S&amp;T research or areas of overlap, seeking direct feedback to guide priorities. Thanks Secretary Phelan and Admiral O'Connor and the audience.</w:t>
      </w:r>
    </w:p>
    <w:p>
      <w:pPr>
        <w:pStyle w:val="21"/>
      </w:pPr>
      <w:r>
        <w:t xml:space="preserve">Next Steps</w:t>
      </w:r>
    </w:p>
    <w:p>
      <w:pPr>
        <w:pStyle w:val="Compact"/>
        <w:numPr>
          <w:ilvl w:val="0"/>
          <w:numId w:val="1012"/>
        </w:numPr>
      </w:pPr>
      <w:r>
        <w:t xml:space="preserve">Near-term cultural and process changes (next quarter):</w:t>
      </w:r>
    </w:p>
    <w:p>
      <w:pPr>
        <w:pStyle w:val="Compact"/>
        <w:numPr>
          <w:ilvl w:val="1"/>
          <w:numId w:val="1013"/>
        </w:numPr>
      </w:pPr>
      <w:r>
        <w:t xml:space="preserve">Shift program reviews to outcomes-based metrics and shorten feedback cycles between developers and operators.</w:t>
      </w:r>
    </w:p>
    <w:p>
      <w:pPr>
        <w:pStyle w:val="Compact"/>
        <w:numPr>
          <w:ilvl w:val="1"/>
          <w:numId w:val="1013"/>
        </w:numPr>
      </w:pPr>
      <w:r>
        <w:t xml:space="preserve">Pilot flexible funding mechanisms for select rapid capability efforts to enable iterative delivery.</w:t>
      </w:r>
    </w:p>
    <w:p>
      <w:pPr>
        <w:pStyle w:val="Compact"/>
        <w:numPr>
          <w:ilvl w:val="1"/>
          <w:numId w:val="1013"/>
        </w:numPr>
      </w:pPr>
      <w:r>
        <w:t xml:space="preserve">Establish clear, time-bounded milestones per billet in ship programs to tighten accountability and accelerate problem resolution.</w:t>
      </w:r>
    </w:p>
    <w:p>
      <w:pPr>
        <w:pStyle w:val="Compact"/>
        <w:numPr>
          <w:ilvl w:val="0"/>
          <w:numId w:val="1013"/>
        </w:numPr>
      </w:pPr>
      <w:r>
        <w:t xml:space="preserve">Shipbuilding execution:</w:t>
      </w:r>
    </w:p>
    <w:p>
      <w:pPr>
        <w:pStyle w:val="Compact"/>
        <w:numPr>
          <w:ilvl w:val="1"/>
          <w:numId w:val="1014"/>
        </w:numPr>
      </w:pPr>
      <w:r>
        <w:t xml:space="preserve">Field initial hulls rapidly; log non-critical change requests for subsequent iterations to control cost and avoid requirements creep.</w:t>
      </w:r>
    </w:p>
    <w:p>
      <w:pPr>
        <w:pStyle w:val="Compact"/>
        <w:numPr>
          <w:ilvl w:val="1"/>
          <w:numId w:val="1014"/>
        </w:numPr>
      </w:pPr>
      <w:r>
        <w:t xml:space="preserve">Maintain transparency on issues early (e.g., Ford Carrier lessons) and incentivize timely fixes without gold-plating.</w:t>
      </w:r>
    </w:p>
    <w:p>
      <w:pPr>
        <w:pStyle w:val="Compact"/>
        <w:numPr>
          <w:ilvl w:val="0"/>
          <w:numId w:val="1014"/>
        </w:numPr>
      </w:pPr>
      <w:r>
        <w:t xml:space="preserve">Talent and partnership:</w:t>
      </w:r>
    </w:p>
    <w:p>
      <w:pPr>
        <w:pStyle w:val="Compact"/>
        <w:numPr>
          <w:ilvl w:val="1"/>
          <w:numId w:val="1015"/>
        </w:numPr>
      </w:pPr>
      <w:r>
        <w:t xml:space="preserve">Raise recruiting standards in response to strong interest; align skill pipelines to emerging technical needs.</w:t>
      </w:r>
    </w:p>
    <w:p>
      <w:pPr>
        <w:pStyle w:val="Compact"/>
        <w:numPr>
          <w:ilvl w:val="1"/>
          <w:numId w:val="1015"/>
        </w:numPr>
      </w:pPr>
      <w:r>
        <w:t xml:space="preserve">Invite industry to provide specific feedback on Naval S&amp;T gaps and overlaps; integrate insights through classified briefings and Don RCO collaboration.</w:t>
      </w:r>
    </w:p>
    <w:p>
      <w:pPr>
        <w:pStyle w:val="a8"/>
      </w:pPr>
      <w:r>
        <w:t xml:space="preserve">AI Suggestions</w:t>
      </w:r>
      <w:r>
        <w:br/>
      </w:r>
      <w:r>
        <w:t xml:space="preserve">Based on your recording transcript, there are some interview questions that can be optimized. Here are some suggestions from the AI for your reference:</w:t>
      </w:r>
      <w:r>
        <w:br/>
      </w:r>
      <w:r>
        <w:t xml:space="preserve">Several prompts are broad, which elicits valuable philosophy but limits concrete examples. Consider asking for 1–2 specific program cases (successes and failures) with measurable outcomes, timelines, and lessons learned to ground insights and increase applicability.</w:t>
      </w:r>
      <w:r>
        <w:br/>
      </w:r>
      <w:r>
        <w:t xml:space="preserve">Follow-ups can better probe implementation details. After high-level cultural recommendations (e.g., outcomes over compliance), ask for the first three policy or process changes they would enact next quarter, who owns them, and what metrics signal progress, to translate strategy into action.</w:t>
      </w:r>
    </w:p>
    <w:sectPr w:rsidR="00275E2C">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2025-12-09T21:05:43Z</dcterms:created>
  <dcterms:modified xsi:type="dcterms:W3CDTF">2025-12-09T21:05:43Z</dcterms:modified>
</cp:coreProperties>
</file>

<file path=docProps/custom.xml><?xml version="1.0" encoding="utf-8"?>
<Properties xmlns="http://schemas.openxmlformats.org/officeDocument/2006/custom-properties" xmlns:vt="http://schemas.openxmlformats.org/officeDocument/2006/docPropsVTypes"/>
</file>