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4023D" w14:textId="63074FB1" w:rsidR="00A50601" w:rsidRDefault="00A50601" w:rsidP="00BF52F2">
      <w:pPr>
        <w:jc w:val="both"/>
        <w:rPr>
          <w:rFonts w:ascii="Calibri" w:eastAsiaTheme="majorEastAsia" w:hAnsi="Calibri" w:cstheme="majorBidi"/>
          <w:b/>
          <w:bCs/>
          <w:color w:val="365F91" w:themeColor="accent1" w:themeShade="BF"/>
          <w:sz w:val="28"/>
          <w:szCs w:val="28"/>
        </w:rPr>
      </w:pPr>
      <w:r w:rsidRPr="00A50601">
        <w:rPr>
          <w:rFonts w:ascii="Calibri" w:eastAsiaTheme="majorEastAsia" w:hAnsi="Calibri" w:cstheme="majorBidi"/>
          <w:b/>
          <w:bCs/>
          <w:color w:val="365F91" w:themeColor="accent1" w:themeShade="BF"/>
          <w:sz w:val="28"/>
          <w:szCs w:val="28"/>
        </w:rPr>
        <w:t xml:space="preserve">Section 9: </w:t>
      </w:r>
      <w:r w:rsidR="008C757C">
        <w:rPr>
          <w:rFonts w:ascii="Calibri" w:eastAsiaTheme="majorEastAsia" w:hAnsi="Calibri" w:cstheme="majorBidi"/>
          <w:b/>
          <w:bCs/>
          <w:color w:val="365F91" w:themeColor="accent1" w:themeShade="BF"/>
          <w:sz w:val="28"/>
          <w:szCs w:val="28"/>
        </w:rPr>
        <w:t>Bid / No-Bid</w:t>
      </w:r>
    </w:p>
    <w:p w14:paraId="18BD3A4B" w14:textId="09D2ED39" w:rsidR="000B1690" w:rsidRDefault="00A50601" w:rsidP="00BF52F2">
      <w:pPr>
        <w:jc w:val="both"/>
      </w:pPr>
      <w:r w:rsidRPr="00A50601">
        <w:t xml:space="preserve">Subsection: </w:t>
      </w:r>
      <w:r w:rsidR="008C757C" w:rsidRPr="008C757C">
        <w:t>Bid/No-Bid Decision Framework</w:t>
      </w:r>
    </w:p>
    <w:p w14:paraId="2E721202" w14:textId="77777777" w:rsidR="000B1690" w:rsidRDefault="0047614B" w:rsidP="00BF52F2">
      <w:pPr>
        <w:pStyle w:val="Heading2"/>
        <w:jc w:val="both"/>
      </w:pPr>
      <w:r>
        <w:rPr>
          <w:rFonts w:ascii="Calibri" w:hAnsi="Calibri"/>
          <w:sz w:val="24"/>
        </w:rPr>
        <w:t>1. Title</w:t>
      </w:r>
    </w:p>
    <w:p w14:paraId="4C8314A8" w14:textId="77777777" w:rsidR="00627006" w:rsidRDefault="00627006" w:rsidP="00BF52F2">
      <w:pPr>
        <w:jc w:val="both"/>
        <w:rPr>
          <w:b/>
          <w:bCs/>
        </w:rPr>
      </w:pPr>
      <w:r w:rsidRPr="00627006">
        <w:t>Bid/No-Bid Decision Framework</w:t>
      </w:r>
    </w:p>
    <w:p w14:paraId="7E7EA6D2" w14:textId="1D6BD2CF" w:rsidR="000B1690" w:rsidRDefault="0047614B" w:rsidP="00BF52F2">
      <w:pPr>
        <w:pStyle w:val="Heading2"/>
        <w:jc w:val="both"/>
      </w:pPr>
      <w:r>
        <w:rPr>
          <w:rFonts w:ascii="Calibri" w:hAnsi="Calibri"/>
          <w:sz w:val="24"/>
        </w:rPr>
        <w:t>2. Purpose</w:t>
      </w:r>
    </w:p>
    <w:p w14:paraId="41FEDADA" w14:textId="77777777" w:rsidR="00627006" w:rsidRDefault="00627006" w:rsidP="00BF52F2">
      <w:pPr>
        <w:jc w:val="both"/>
        <w:rPr>
          <w:b/>
          <w:bCs/>
        </w:rPr>
      </w:pPr>
      <w:r w:rsidRPr="00627006">
        <w:t>To provide a structured, repeatable method for deciding whether to pursue or decline an opportunity. The Bid/No-Bid process is designed to preserve resources, align pursuits with company strategy, and ensure only qualified, fundable, and winnable opportunities advance through the pipeline.</w:t>
      </w:r>
    </w:p>
    <w:p w14:paraId="3E4C9602" w14:textId="159CF8BB" w:rsidR="000B1690" w:rsidRDefault="0047614B" w:rsidP="00BF52F2">
      <w:pPr>
        <w:pStyle w:val="Heading2"/>
        <w:jc w:val="both"/>
      </w:pPr>
      <w:r>
        <w:rPr>
          <w:rFonts w:ascii="Calibri" w:hAnsi="Calibri"/>
          <w:sz w:val="24"/>
        </w:rPr>
        <w:t>3. Scope</w:t>
      </w:r>
    </w:p>
    <w:p w14:paraId="47A6EEE2" w14:textId="77777777" w:rsidR="00BB3295" w:rsidRDefault="00BB3295" w:rsidP="00BF52F2">
      <w:pPr>
        <w:jc w:val="both"/>
        <w:rPr>
          <w:b/>
          <w:bCs/>
        </w:rPr>
      </w:pPr>
      <w:r w:rsidRPr="00BB3295">
        <w:t>Applies to all new opportunities that enter the Discover phase in Salesforce. This SOP governs the internal evaluation and decision-making process required before a Gate 1 request is submitted.</w:t>
      </w:r>
    </w:p>
    <w:p w14:paraId="41D1BBD2" w14:textId="7E3B6537" w:rsidR="000B1690" w:rsidRDefault="0047614B" w:rsidP="00BF52F2">
      <w:pPr>
        <w:pStyle w:val="Heading2"/>
        <w:jc w:val="both"/>
      </w:pPr>
      <w:r>
        <w:rPr>
          <w:rFonts w:ascii="Calibri" w:hAnsi="Calibri"/>
          <w:sz w:val="24"/>
        </w:rPr>
        <w:t>4. Principles &amp; Guardrails</w:t>
      </w:r>
    </w:p>
    <w:p w14:paraId="199B932C" w14:textId="77777777" w:rsidR="00BB3295" w:rsidRPr="00BB3295" w:rsidRDefault="00BB3295" w:rsidP="00BF52F2">
      <w:pPr>
        <w:pStyle w:val="Heading2"/>
        <w:numPr>
          <w:ilvl w:val="0"/>
          <w:numId w:val="15"/>
        </w:numPr>
        <w:spacing w:before="0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B329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The decision to bid or not bid is strategic, not emotional.</w:t>
      </w:r>
    </w:p>
    <w:p w14:paraId="0069B204" w14:textId="77777777" w:rsidR="00BB3295" w:rsidRPr="00BB3295" w:rsidRDefault="00BB3295" w:rsidP="00BF52F2">
      <w:pPr>
        <w:pStyle w:val="Heading2"/>
        <w:numPr>
          <w:ilvl w:val="0"/>
          <w:numId w:val="15"/>
        </w:numPr>
        <w:spacing w:before="0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B329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Gate 1 is the official approval checkpoint, but Bid/No-Bid occurs informally earlier during triage or team review.</w:t>
      </w:r>
    </w:p>
    <w:p w14:paraId="71DEEB50" w14:textId="77777777" w:rsidR="00BB3295" w:rsidRPr="00BB3295" w:rsidRDefault="00BB3295" w:rsidP="00BF52F2">
      <w:pPr>
        <w:pStyle w:val="Heading2"/>
        <w:numPr>
          <w:ilvl w:val="0"/>
          <w:numId w:val="15"/>
        </w:numPr>
        <w:spacing w:before="0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B329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Any team member can flag an opportunity as a No-Bid candidate at any point prior to Gate 3.</w:t>
      </w:r>
    </w:p>
    <w:p w14:paraId="0FF64E2F" w14:textId="77777777" w:rsidR="00BB3295" w:rsidRPr="00BB3295" w:rsidRDefault="00BB3295" w:rsidP="00BF52F2">
      <w:pPr>
        <w:pStyle w:val="Heading2"/>
        <w:numPr>
          <w:ilvl w:val="0"/>
          <w:numId w:val="15"/>
        </w:numPr>
        <w:spacing w:before="0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B329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No-Bid is not a failure—it protects alignment, budget, and focus.</w:t>
      </w:r>
    </w:p>
    <w:p w14:paraId="77221525" w14:textId="77777777" w:rsidR="00BB3295" w:rsidRPr="00BB3295" w:rsidRDefault="00BB3295" w:rsidP="00BF52F2">
      <w:pPr>
        <w:pStyle w:val="Heading2"/>
        <w:numPr>
          <w:ilvl w:val="0"/>
          <w:numId w:val="15"/>
        </w:numPr>
        <w:spacing w:before="0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B329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Reconsideration is allowed if conditions change and sufficient justification is provided.</w:t>
      </w:r>
    </w:p>
    <w:p w14:paraId="719235DB" w14:textId="77777777" w:rsidR="00BB3295" w:rsidRPr="00EA7A45" w:rsidRDefault="00BB3295" w:rsidP="00BF52F2">
      <w:pPr>
        <w:pStyle w:val="Heading2"/>
        <w:spacing w:before="0"/>
        <w:jc w:val="both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EA7A45">
        <w:rPr>
          <w:rFonts w:asciiTheme="minorHAnsi" w:eastAsiaTheme="minorEastAsia" w:hAnsiTheme="minorHAnsi" w:cstheme="minorBidi"/>
          <w:color w:val="auto"/>
          <w:sz w:val="22"/>
          <w:szCs w:val="22"/>
        </w:rPr>
        <w:t>Common Bid/No-Bid Considerations:</w:t>
      </w:r>
    </w:p>
    <w:p w14:paraId="112917DC" w14:textId="77777777" w:rsidR="00BB3295" w:rsidRPr="00BB3295" w:rsidRDefault="00BB3295" w:rsidP="00BF52F2">
      <w:pPr>
        <w:pStyle w:val="Heading2"/>
        <w:numPr>
          <w:ilvl w:val="0"/>
          <w:numId w:val="15"/>
        </w:numPr>
        <w:spacing w:before="0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B329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Is there a path to customer engagement or shaping?</w:t>
      </w:r>
    </w:p>
    <w:p w14:paraId="70850BCA" w14:textId="77777777" w:rsidR="00BB3295" w:rsidRPr="00BB3295" w:rsidRDefault="00BB3295" w:rsidP="00BF52F2">
      <w:pPr>
        <w:pStyle w:val="Heading2"/>
        <w:numPr>
          <w:ilvl w:val="0"/>
          <w:numId w:val="15"/>
        </w:numPr>
        <w:spacing w:before="0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B329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Are </w:t>
      </w:r>
      <w:proofErr w:type="gramStart"/>
      <w:r w:rsidRPr="00BB329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there </w:t>
      </w:r>
      <w:proofErr w:type="gramEnd"/>
      <w:r w:rsidRPr="00BB329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known competitors with stronger incumbent positions?</w:t>
      </w:r>
    </w:p>
    <w:p w14:paraId="3B223F6A" w14:textId="77777777" w:rsidR="00BB3295" w:rsidRPr="00BB3295" w:rsidRDefault="00BB3295" w:rsidP="00BF52F2">
      <w:pPr>
        <w:pStyle w:val="Heading2"/>
        <w:numPr>
          <w:ilvl w:val="0"/>
          <w:numId w:val="15"/>
        </w:numPr>
        <w:spacing w:before="0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B329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Does the work align with current capabilities or strategic direction?</w:t>
      </w:r>
    </w:p>
    <w:p w14:paraId="2BE7A93D" w14:textId="77777777" w:rsidR="00BB3295" w:rsidRPr="00BB3295" w:rsidRDefault="00BB3295" w:rsidP="00BF52F2">
      <w:pPr>
        <w:pStyle w:val="Heading2"/>
        <w:numPr>
          <w:ilvl w:val="0"/>
          <w:numId w:val="15"/>
        </w:numPr>
        <w:spacing w:before="0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B329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Do we have </w:t>
      </w:r>
      <w:proofErr w:type="gramStart"/>
      <w:r w:rsidRPr="00BB329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teaming</w:t>
      </w:r>
      <w:proofErr w:type="gramEnd"/>
      <w:r w:rsidRPr="00BB329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partners or prime positioning?</w:t>
      </w:r>
    </w:p>
    <w:p w14:paraId="715459EE" w14:textId="77777777" w:rsidR="00BB3295" w:rsidRPr="00BB3295" w:rsidRDefault="00BB3295" w:rsidP="00BF52F2">
      <w:pPr>
        <w:pStyle w:val="Heading2"/>
        <w:numPr>
          <w:ilvl w:val="0"/>
          <w:numId w:val="15"/>
        </w:numPr>
        <w:spacing w:before="0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B329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Is the timeline realistic based on resource availability?</w:t>
      </w:r>
    </w:p>
    <w:p w14:paraId="1962B188" w14:textId="002F2F1C" w:rsidR="000B1690" w:rsidRDefault="0047614B" w:rsidP="00BF52F2">
      <w:pPr>
        <w:pStyle w:val="Heading2"/>
        <w:jc w:val="both"/>
      </w:pPr>
      <w:r>
        <w:rPr>
          <w:rFonts w:ascii="Calibri" w:hAnsi="Calibri"/>
          <w:sz w:val="24"/>
        </w:rPr>
        <w:t>5. Key Roles</w:t>
      </w:r>
    </w:p>
    <w:p w14:paraId="4D850718" w14:textId="77777777" w:rsidR="00EA7A45" w:rsidRPr="00EA7A45" w:rsidRDefault="00EA7A45" w:rsidP="00BF52F2">
      <w:pPr>
        <w:pStyle w:val="ListParagraph"/>
        <w:numPr>
          <w:ilvl w:val="0"/>
          <w:numId w:val="16"/>
        </w:numPr>
        <w:jc w:val="both"/>
      </w:pPr>
      <w:r w:rsidRPr="00EA7A45">
        <w:t>Pursuit Lead: Completes the initial qualification assessment and recommends bid status.</w:t>
      </w:r>
    </w:p>
    <w:p w14:paraId="2C32594E" w14:textId="77777777" w:rsidR="00EA7A45" w:rsidRPr="00EA7A45" w:rsidRDefault="00EA7A45" w:rsidP="00BF52F2">
      <w:pPr>
        <w:pStyle w:val="ListParagraph"/>
        <w:numPr>
          <w:ilvl w:val="0"/>
          <w:numId w:val="16"/>
        </w:numPr>
        <w:jc w:val="both"/>
      </w:pPr>
      <w:r w:rsidRPr="00EA7A45">
        <w:t>BD Director: Provides strategic guidance and validates whether the pursuit aligns with vertical objectives.</w:t>
      </w:r>
    </w:p>
    <w:p w14:paraId="5CD37D3C" w14:textId="77777777" w:rsidR="00EA7A45" w:rsidRPr="00EA7A45" w:rsidRDefault="00EA7A45" w:rsidP="00BF52F2">
      <w:pPr>
        <w:pStyle w:val="ListParagraph"/>
        <w:numPr>
          <w:ilvl w:val="0"/>
          <w:numId w:val="16"/>
        </w:numPr>
        <w:jc w:val="both"/>
      </w:pPr>
      <w:r w:rsidRPr="00EA7A45">
        <w:t>VP (or EVP): Final decision-maker at Gate 1 based on recommendation and priority level.</w:t>
      </w:r>
    </w:p>
    <w:p w14:paraId="5A79F4CD" w14:textId="77777777" w:rsidR="00EA7A45" w:rsidRPr="00EA7A45" w:rsidRDefault="00EA7A45" w:rsidP="00BF52F2">
      <w:pPr>
        <w:pStyle w:val="ListParagraph"/>
        <w:numPr>
          <w:ilvl w:val="0"/>
          <w:numId w:val="16"/>
        </w:numPr>
        <w:jc w:val="both"/>
        <w:rPr>
          <w:b/>
          <w:bCs/>
        </w:rPr>
      </w:pPr>
      <w:r w:rsidRPr="00EA7A45">
        <w:t>BOU (Greg James): Ensures proper triage and recordkeeping for all closed or deferred pursuits.</w:t>
      </w:r>
    </w:p>
    <w:p w14:paraId="3BBEF0F8" w14:textId="0BB283E1" w:rsidR="000B1690" w:rsidRDefault="0047614B" w:rsidP="00BF52F2">
      <w:pPr>
        <w:pStyle w:val="Heading2"/>
        <w:jc w:val="both"/>
      </w:pPr>
      <w:r>
        <w:rPr>
          <w:rFonts w:ascii="Calibri" w:hAnsi="Calibri"/>
          <w:sz w:val="24"/>
        </w:rPr>
        <w:lastRenderedPageBreak/>
        <w:t>6. System Touchpoints</w:t>
      </w:r>
    </w:p>
    <w:p w14:paraId="732C1DA2" w14:textId="77777777" w:rsidR="00F80EE2" w:rsidRPr="00F80EE2" w:rsidRDefault="00F80EE2" w:rsidP="00BF52F2">
      <w:pPr>
        <w:spacing w:after="0"/>
        <w:jc w:val="both"/>
      </w:pPr>
      <w:r w:rsidRPr="00F80EE2">
        <w:t>Salesforce: Bid/No-Bid outcome is recorded in the Opportunity Snapshot. If closed as No-Bid, reason must be tagged.</w:t>
      </w:r>
    </w:p>
    <w:p w14:paraId="2CFE4F14" w14:textId="77777777" w:rsidR="00F80EE2" w:rsidRDefault="00F80EE2" w:rsidP="00BF52F2">
      <w:pPr>
        <w:jc w:val="both"/>
        <w:rPr>
          <w:b/>
          <w:bCs/>
        </w:rPr>
      </w:pPr>
      <w:r w:rsidRPr="00F80EE2">
        <w:t>GovDash: Optional tracking of justification, internal feedback, and rationale for archiving.</w:t>
      </w:r>
    </w:p>
    <w:p w14:paraId="584CF07A" w14:textId="5143B186" w:rsidR="000B1690" w:rsidRDefault="0047614B" w:rsidP="00BF52F2">
      <w:pPr>
        <w:pStyle w:val="Heading2"/>
        <w:jc w:val="both"/>
      </w:pPr>
      <w:r>
        <w:rPr>
          <w:rFonts w:ascii="Calibri" w:hAnsi="Calibri"/>
          <w:sz w:val="24"/>
        </w:rPr>
        <w:t>7. Compliance Markers</w:t>
      </w:r>
    </w:p>
    <w:p w14:paraId="7E05F24F" w14:textId="77777777" w:rsidR="00F80EE2" w:rsidRDefault="00F80EE2" w:rsidP="00BF52F2">
      <w:pPr>
        <w:jc w:val="both"/>
        <w:rPr>
          <w:b/>
          <w:bCs/>
        </w:rPr>
      </w:pPr>
      <w:r w:rsidRPr="00F80EE2">
        <w:t>No FAR references required unless pursuing pricing or cost volume prep prior to bid decision. Internal triage and decision logs support governance but are not federally auditable.</w:t>
      </w:r>
    </w:p>
    <w:p w14:paraId="4A900C52" w14:textId="5F3B38FC" w:rsidR="000B1690" w:rsidRDefault="0047614B" w:rsidP="00BF52F2">
      <w:pPr>
        <w:pStyle w:val="Heading2"/>
        <w:jc w:val="both"/>
      </w:pPr>
      <w:r>
        <w:rPr>
          <w:rFonts w:ascii="Calibri" w:hAnsi="Calibri"/>
          <w:sz w:val="24"/>
        </w:rPr>
        <w:t>8. Optional Tools or Templates</w:t>
      </w:r>
    </w:p>
    <w:p w14:paraId="40C9C037" w14:textId="77777777" w:rsidR="005652D7" w:rsidRPr="005652D7" w:rsidRDefault="005652D7" w:rsidP="00BF52F2">
      <w:pPr>
        <w:pStyle w:val="ListParagraph"/>
        <w:numPr>
          <w:ilvl w:val="0"/>
          <w:numId w:val="17"/>
        </w:numPr>
        <w:jc w:val="both"/>
      </w:pPr>
      <w:r w:rsidRPr="005652D7">
        <w:t>Bid/No-Bid Evaluation Template (internal worksheet)</w:t>
      </w:r>
    </w:p>
    <w:p w14:paraId="23F46A23" w14:textId="77777777" w:rsidR="005652D7" w:rsidRPr="005652D7" w:rsidRDefault="005652D7" w:rsidP="00BF52F2">
      <w:pPr>
        <w:pStyle w:val="ListParagraph"/>
        <w:numPr>
          <w:ilvl w:val="0"/>
          <w:numId w:val="17"/>
        </w:numPr>
        <w:jc w:val="both"/>
      </w:pPr>
      <w:r w:rsidRPr="005652D7">
        <w:t>Strategic Fit &amp; Resource Matrix</w:t>
      </w:r>
    </w:p>
    <w:p w14:paraId="51C810E5" w14:textId="77777777" w:rsidR="005652D7" w:rsidRPr="005652D7" w:rsidRDefault="005652D7" w:rsidP="00BF52F2">
      <w:pPr>
        <w:pStyle w:val="ListParagraph"/>
        <w:numPr>
          <w:ilvl w:val="0"/>
          <w:numId w:val="17"/>
        </w:numPr>
        <w:jc w:val="both"/>
        <w:rPr>
          <w:b/>
          <w:bCs/>
        </w:rPr>
      </w:pPr>
      <w:r w:rsidRPr="005652D7">
        <w:t>Prior Win/Loss Analyses (from Lessons Learned Library)</w:t>
      </w:r>
    </w:p>
    <w:p w14:paraId="04127053" w14:textId="4F42D3E6" w:rsidR="000B1690" w:rsidRDefault="0047614B" w:rsidP="005652D7">
      <w:pPr>
        <w:pStyle w:val="Heading2"/>
        <w:jc w:val="both"/>
      </w:pPr>
      <w:r>
        <w:rPr>
          <w:rFonts w:ascii="Calibri" w:hAnsi="Calibri"/>
          <w:sz w:val="24"/>
        </w:rPr>
        <w:t>9. Review &amp; Update Cycle</w:t>
      </w:r>
    </w:p>
    <w:p w14:paraId="526BC23E" w14:textId="77395BC1" w:rsidR="000B1690" w:rsidRDefault="00BF52F2" w:rsidP="00BF52F2">
      <w:pPr>
        <w:spacing w:after="0"/>
        <w:ind w:left="360"/>
        <w:jc w:val="both"/>
      </w:pPr>
      <w:r w:rsidRPr="00BF52F2">
        <w:t>Owned by Greg James</w:t>
      </w:r>
      <w:r>
        <w:tab/>
      </w:r>
      <w:r w:rsidRPr="00BF52F2">
        <w:br/>
        <w:t>Reviewed quarterly, especially post-QBRs or major AOP adjustments. No-Bid data should be reviewed for trends and systemic blockers.</w:t>
      </w:r>
    </w:p>
    <w:sectPr w:rsidR="000B1690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425BE" w14:textId="77777777" w:rsidR="0047614B" w:rsidRDefault="0047614B">
      <w:pPr>
        <w:spacing w:after="0" w:line="240" w:lineRule="auto"/>
      </w:pPr>
    </w:p>
  </w:endnote>
  <w:endnote w:type="continuationSeparator" w:id="0">
    <w:p w14:paraId="3775D23A" w14:textId="77777777" w:rsidR="0047614B" w:rsidRDefault="0047614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9790E" w14:textId="77777777" w:rsidR="0047614B" w:rsidRDefault="004761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6504A" w14:textId="77777777" w:rsidR="0047614B" w:rsidRDefault="0047614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660E8" w14:textId="77777777" w:rsidR="0047614B" w:rsidRDefault="004761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A91A6" w14:textId="77777777" w:rsidR="0047614B" w:rsidRDefault="0047614B">
      <w:pPr>
        <w:spacing w:after="0" w:line="240" w:lineRule="auto"/>
      </w:pPr>
    </w:p>
  </w:footnote>
  <w:footnote w:type="continuationSeparator" w:id="0">
    <w:p w14:paraId="33FAF4B7" w14:textId="77777777" w:rsidR="0047614B" w:rsidRDefault="0047614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71187F"/>
    <w:multiLevelType w:val="hybridMultilevel"/>
    <w:tmpl w:val="F1948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281173"/>
    <w:multiLevelType w:val="hybridMultilevel"/>
    <w:tmpl w:val="193EC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445790"/>
    <w:multiLevelType w:val="hybridMultilevel"/>
    <w:tmpl w:val="025CF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410A59"/>
    <w:multiLevelType w:val="hybridMultilevel"/>
    <w:tmpl w:val="6E089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0561B9"/>
    <w:multiLevelType w:val="hybridMultilevel"/>
    <w:tmpl w:val="89B8D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B72FF4"/>
    <w:multiLevelType w:val="hybridMultilevel"/>
    <w:tmpl w:val="9FD8C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2F2EDE"/>
    <w:multiLevelType w:val="hybridMultilevel"/>
    <w:tmpl w:val="80060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CC2334"/>
    <w:multiLevelType w:val="hybridMultilevel"/>
    <w:tmpl w:val="738C4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214882">
    <w:abstractNumId w:val="8"/>
  </w:num>
  <w:num w:numId="2" w16cid:durableId="381104164">
    <w:abstractNumId w:val="6"/>
  </w:num>
  <w:num w:numId="3" w16cid:durableId="126093500">
    <w:abstractNumId w:val="5"/>
  </w:num>
  <w:num w:numId="4" w16cid:durableId="109250236">
    <w:abstractNumId w:val="4"/>
  </w:num>
  <w:num w:numId="5" w16cid:durableId="638657287">
    <w:abstractNumId w:val="7"/>
  </w:num>
  <w:num w:numId="6" w16cid:durableId="2028603188">
    <w:abstractNumId w:val="3"/>
  </w:num>
  <w:num w:numId="7" w16cid:durableId="372005288">
    <w:abstractNumId w:val="2"/>
  </w:num>
  <w:num w:numId="8" w16cid:durableId="700202229">
    <w:abstractNumId w:val="1"/>
  </w:num>
  <w:num w:numId="9" w16cid:durableId="1232230202">
    <w:abstractNumId w:val="0"/>
  </w:num>
  <w:num w:numId="10" w16cid:durableId="1310936658">
    <w:abstractNumId w:val="14"/>
  </w:num>
  <w:num w:numId="11" w16cid:durableId="1505634804">
    <w:abstractNumId w:val="12"/>
  </w:num>
  <w:num w:numId="12" w16cid:durableId="1241910034">
    <w:abstractNumId w:val="15"/>
  </w:num>
  <w:num w:numId="13" w16cid:durableId="691610993">
    <w:abstractNumId w:val="11"/>
  </w:num>
  <w:num w:numId="14" w16cid:durableId="1409382151">
    <w:abstractNumId w:val="9"/>
  </w:num>
  <w:num w:numId="15" w16cid:durableId="1390151013">
    <w:abstractNumId w:val="10"/>
  </w:num>
  <w:num w:numId="16" w16cid:durableId="661933333">
    <w:abstractNumId w:val="16"/>
  </w:num>
  <w:num w:numId="17" w16cid:durableId="19396801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690"/>
    <w:rsid w:val="0015074B"/>
    <w:rsid w:val="00155DB6"/>
    <w:rsid w:val="0029639D"/>
    <w:rsid w:val="002E2C41"/>
    <w:rsid w:val="003267DF"/>
    <w:rsid w:val="00326F90"/>
    <w:rsid w:val="0037187C"/>
    <w:rsid w:val="003853DF"/>
    <w:rsid w:val="00414402"/>
    <w:rsid w:val="0047614B"/>
    <w:rsid w:val="005652D7"/>
    <w:rsid w:val="00627006"/>
    <w:rsid w:val="008C757C"/>
    <w:rsid w:val="009E5B8B"/>
    <w:rsid w:val="00A50601"/>
    <w:rsid w:val="00AA1D8D"/>
    <w:rsid w:val="00B47730"/>
    <w:rsid w:val="00BB3295"/>
    <w:rsid w:val="00BF52F2"/>
    <w:rsid w:val="00CB0664"/>
    <w:rsid w:val="00E3150D"/>
    <w:rsid w:val="00EA7A45"/>
    <w:rsid w:val="00F001E2"/>
    <w:rsid w:val="00F80E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5EAE89"/>
  <w14:defaultImageDpi w14:val="300"/>
  <w15:docId w15:val="{ACE758DC-612E-4ABF-A52F-FE539E080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542cf18-e12a-40db-9df3-580a9dfd5309}" enabled="1" method="Standard" siteId="{61e2692b-b9a2-4a3f-ac37-b8aeb7bdac8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388</Words>
  <Characters>2171</Characters>
  <Application>Microsoft Office Word</Application>
  <DocSecurity>0</DocSecurity>
  <Lines>58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Greg James</cp:lastModifiedBy>
  <cp:revision>9</cp:revision>
  <dcterms:created xsi:type="dcterms:W3CDTF">2025-08-18T14:50:00Z</dcterms:created>
  <dcterms:modified xsi:type="dcterms:W3CDTF">2025-08-18T14:55:00Z</dcterms:modified>
  <cp:category/>
</cp:coreProperties>
</file>