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F0F39" w14:textId="77777777" w:rsidR="00517ABC" w:rsidRPr="00517ABC" w:rsidRDefault="00517ABC" w:rsidP="00517ABC">
      <w:pPr>
        <w:rPr>
          <w:b/>
          <w:bCs/>
        </w:rPr>
      </w:pPr>
      <w:r w:rsidRPr="00517ABC">
        <w:rPr>
          <w:b/>
          <w:bCs/>
        </w:rPr>
        <w:t>SOP: Annual Operating Plan (AOP)</w:t>
      </w:r>
    </w:p>
    <w:p w14:paraId="3B27BF32" w14:textId="77777777" w:rsidR="00517ABC" w:rsidRPr="00517ABC" w:rsidRDefault="00517ABC" w:rsidP="00517ABC">
      <w:r w:rsidRPr="00517ABC">
        <w:pict w14:anchorId="24FEE470">
          <v:rect id="_x0000_i1091" style="width:0;height:1.5pt" o:hralign="center" o:hrstd="t" o:hr="t" fillcolor="#a0a0a0" stroked="f"/>
        </w:pict>
      </w:r>
    </w:p>
    <w:p w14:paraId="7EDEB18F" w14:textId="77777777" w:rsidR="00517ABC" w:rsidRPr="00517ABC" w:rsidRDefault="00517ABC" w:rsidP="00517ABC">
      <w:pPr>
        <w:rPr>
          <w:b/>
          <w:bCs/>
        </w:rPr>
      </w:pPr>
      <w:r w:rsidRPr="00517ABC">
        <w:rPr>
          <w:b/>
          <w:bCs/>
        </w:rPr>
        <w:t>1. Title</w:t>
      </w:r>
    </w:p>
    <w:p w14:paraId="404EB755" w14:textId="77777777" w:rsidR="00517ABC" w:rsidRPr="00517ABC" w:rsidRDefault="00517ABC" w:rsidP="00517ABC">
      <w:r w:rsidRPr="00517ABC">
        <w:t>Annual Operating Plan (AOP) – Alignment, Development, and Execution</w:t>
      </w:r>
    </w:p>
    <w:p w14:paraId="26DBFF70" w14:textId="77777777" w:rsidR="00517ABC" w:rsidRPr="00517ABC" w:rsidRDefault="00517ABC" w:rsidP="00517ABC">
      <w:r w:rsidRPr="00517ABC">
        <w:pict w14:anchorId="618E5C73">
          <v:rect id="_x0000_i1092" style="width:0;height:1.5pt" o:hralign="center" o:hrstd="t" o:hr="t" fillcolor="#a0a0a0" stroked="f"/>
        </w:pict>
      </w:r>
    </w:p>
    <w:p w14:paraId="60E33112" w14:textId="77777777" w:rsidR="00517ABC" w:rsidRPr="00517ABC" w:rsidRDefault="00517ABC" w:rsidP="00517ABC">
      <w:pPr>
        <w:rPr>
          <w:b/>
          <w:bCs/>
        </w:rPr>
      </w:pPr>
      <w:r w:rsidRPr="00517ABC">
        <w:rPr>
          <w:b/>
          <w:bCs/>
        </w:rPr>
        <w:t>2. Purpose</w:t>
      </w:r>
    </w:p>
    <w:p w14:paraId="06DE6106" w14:textId="77777777" w:rsidR="00517ABC" w:rsidRPr="00517ABC" w:rsidRDefault="00517ABC" w:rsidP="00517ABC">
      <w:r w:rsidRPr="00517ABC">
        <w:t>The Annual Operating Plan (AOP) defines Albers Aerospace’s financial and strategic goals for the year. It ensures BD, Capture, and Program Management efforts are aligned to corporate objectives, resources are prioritized effectively, and leadership can measure growth against targets.</w:t>
      </w:r>
    </w:p>
    <w:p w14:paraId="1C3CE2B9" w14:textId="77777777" w:rsidR="00517ABC" w:rsidRPr="00517ABC" w:rsidRDefault="00517ABC" w:rsidP="00517ABC">
      <w:r w:rsidRPr="00517ABC">
        <w:pict w14:anchorId="2D7D97B9">
          <v:rect id="_x0000_i1093" style="width:0;height:1.5pt" o:hralign="center" o:hrstd="t" o:hr="t" fillcolor="#a0a0a0" stroked="f"/>
        </w:pict>
      </w:r>
    </w:p>
    <w:p w14:paraId="66D287E1" w14:textId="77777777" w:rsidR="00517ABC" w:rsidRPr="00517ABC" w:rsidRDefault="00517ABC" w:rsidP="00517ABC">
      <w:pPr>
        <w:rPr>
          <w:b/>
          <w:bCs/>
        </w:rPr>
      </w:pPr>
      <w:r w:rsidRPr="00517ABC">
        <w:rPr>
          <w:b/>
          <w:bCs/>
        </w:rPr>
        <w:t>3. Scope</w:t>
      </w:r>
    </w:p>
    <w:p w14:paraId="35B3B72E" w14:textId="77777777" w:rsidR="00517ABC" w:rsidRPr="00517ABC" w:rsidRDefault="00517ABC" w:rsidP="00517ABC">
      <w:r w:rsidRPr="00517ABC">
        <w:t>Applies to all Lines of Business (LOBs), BD, Capture, and Program Management teams. Guides how opportunities are selected, prioritized, and resourced to achieve company growth objectives.</w:t>
      </w:r>
    </w:p>
    <w:p w14:paraId="4A871D87" w14:textId="77777777" w:rsidR="00517ABC" w:rsidRPr="00517ABC" w:rsidRDefault="00517ABC" w:rsidP="00517ABC">
      <w:r w:rsidRPr="00517ABC">
        <w:pict w14:anchorId="463255EB">
          <v:rect id="_x0000_i1094" style="width:0;height:1.5pt" o:hralign="center" o:hrstd="t" o:hr="t" fillcolor="#a0a0a0" stroked="f"/>
        </w:pict>
      </w:r>
    </w:p>
    <w:p w14:paraId="3C849843" w14:textId="77777777" w:rsidR="00517ABC" w:rsidRPr="00517ABC" w:rsidRDefault="00517ABC" w:rsidP="00517ABC">
      <w:pPr>
        <w:rPr>
          <w:b/>
          <w:bCs/>
        </w:rPr>
      </w:pPr>
      <w:r w:rsidRPr="00517ABC">
        <w:rPr>
          <w:b/>
          <w:bCs/>
        </w:rPr>
        <w:t>4. Intent</w:t>
      </w:r>
    </w:p>
    <w:p w14:paraId="45D22279" w14:textId="77777777" w:rsidR="00517ABC" w:rsidRPr="00517ABC" w:rsidRDefault="00517ABC" w:rsidP="00517ABC">
      <w:pPr>
        <w:rPr>
          <w:b/>
          <w:bCs/>
        </w:rPr>
      </w:pPr>
      <w:r w:rsidRPr="00517ABC">
        <w:rPr>
          <w:b/>
          <w:bCs/>
        </w:rPr>
        <w:t>What is the AOP?</w:t>
      </w:r>
    </w:p>
    <w:p w14:paraId="29815785" w14:textId="77777777" w:rsidR="00517ABC" w:rsidRPr="00517ABC" w:rsidRDefault="00517ABC" w:rsidP="00517ABC">
      <w:pPr>
        <w:numPr>
          <w:ilvl w:val="0"/>
          <w:numId w:val="1"/>
        </w:numPr>
      </w:pPr>
      <w:r w:rsidRPr="00517ABC">
        <w:t>Albers’ yearly roadmap for revenue, bookings, profitability, and growth targets.</w:t>
      </w:r>
    </w:p>
    <w:p w14:paraId="620761CE" w14:textId="77777777" w:rsidR="00517ABC" w:rsidRPr="00517ABC" w:rsidRDefault="00517ABC" w:rsidP="00517ABC">
      <w:pPr>
        <w:numPr>
          <w:ilvl w:val="0"/>
          <w:numId w:val="1"/>
        </w:numPr>
      </w:pPr>
      <w:r w:rsidRPr="00517ABC">
        <w:t>Combination of:</w:t>
      </w:r>
    </w:p>
    <w:p w14:paraId="50400988" w14:textId="77777777" w:rsidR="00517ABC" w:rsidRPr="00517ABC" w:rsidRDefault="00517ABC" w:rsidP="00517ABC">
      <w:pPr>
        <w:numPr>
          <w:ilvl w:val="1"/>
          <w:numId w:val="1"/>
        </w:numPr>
      </w:pPr>
      <w:r w:rsidRPr="00517ABC">
        <w:rPr>
          <w:b/>
          <w:bCs/>
        </w:rPr>
        <w:t>Current revenue-generating work</w:t>
      </w:r>
      <w:r w:rsidRPr="00517ABC">
        <w:t xml:space="preserve"> (active programs/contracts)</w:t>
      </w:r>
    </w:p>
    <w:p w14:paraId="43BA7D40" w14:textId="77777777" w:rsidR="00517ABC" w:rsidRPr="00517ABC" w:rsidRDefault="00517ABC" w:rsidP="00517ABC">
      <w:pPr>
        <w:numPr>
          <w:ilvl w:val="1"/>
          <w:numId w:val="1"/>
        </w:numPr>
      </w:pPr>
      <w:r w:rsidRPr="00517ABC">
        <w:rPr>
          <w:b/>
          <w:bCs/>
        </w:rPr>
        <w:t>Recompetes</w:t>
      </w:r>
    </w:p>
    <w:p w14:paraId="6463C7BB" w14:textId="77777777" w:rsidR="00517ABC" w:rsidRPr="00517ABC" w:rsidRDefault="00517ABC" w:rsidP="00517ABC">
      <w:pPr>
        <w:numPr>
          <w:ilvl w:val="1"/>
          <w:numId w:val="1"/>
        </w:numPr>
      </w:pPr>
      <w:r w:rsidRPr="00517ABC">
        <w:rPr>
          <w:b/>
          <w:bCs/>
        </w:rPr>
        <w:t>Follow-Ons</w:t>
      </w:r>
    </w:p>
    <w:p w14:paraId="62F235B6" w14:textId="77777777" w:rsidR="00517ABC" w:rsidRPr="00517ABC" w:rsidRDefault="00517ABC" w:rsidP="00517ABC">
      <w:pPr>
        <w:numPr>
          <w:ilvl w:val="1"/>
          <w:numId w:val="1"/>
        </w:numPr>
      </w:pPr>
      <w:r w:rsidRPr="00517ABC">
        <w:rPr>
          <w:b/>
          <w:bCs/>
        </w:rPr>
        <w:t>New Business opportunities</w:t>
      </w:r>
      <w:r w:rsidRPr="00517ABC">
        <w:t xml:space="preserve"> in Salesforce</w:t>
      </w:r>
    </w:p>
    <w:p w14:paraId="01036CB9" w14:textId="77777777" w:rsidR="00517ABC" w:rsidRPr="00517ABC" w:rsidRDefault="00517ABC" w:rsidP="00517ABC">
      <w:pPr>
        <w:numPr>
          <w:ilvl w:val="1"/>
          <w:numId w:val="1"/>
        </w:numPr>
      </w:pPr>
      <w:r w:rsidRPr="00517ABC">
        <w:rPr>
          <w:b/>
          <w:bCs/>
        </w:rPr>
        <w:t>M&amp;A Targets</w:t>
      </w:r>
      <w:r w:rsidRPr="00517ABC">
        <w:t xml:space="preserve"> as </w:t>
      </w:r>
      <w:r w:rsidRPr="00517ABC">
        <w:rPr>
          <w:b/>
          <w:bCs/>
        </w:rPr>
        <w:t>“plugs”</w:t>
      </w:r>
      <w:r w:rsidRPr="00517ABC">
        <w:t xml:space="preserve"> for projected inorganic growth</w:t>
      </w:r>
    </w:p>
    <w:p w14:paraId="7B6EB45E" w14:textId="77777777" w:rsidR="00517ABC" w:rsidRPr="00517ABC" w:rsidRDefault="00517ABC" w:rsidP="00517ABC">
      <w:pPr>
        <w:numPr>
          <w:ilvl w:val="1"/>
          <w:numId w:val="1"/>
        </w:numPr>
      </w:pPr>
      <w:r w:rsidRPr="00517ABC">
        <w:rPr>
          <w:b/>
          <w:bCs/>
        </w:rPr>
        <w:t>Industrial Plugs</w:t>
      </w:r>
      <w:r w:rsidRPr="00517ABC">
        <w:t xml:space="preserve"> – Aggregated smaller </w:t>
      </w:r>
      <w:r w:rsidRPr="00517ABC">
        <w:rPr>
          <w:b/>
          <w:bCs/>
        </w:rPr>
        <w:t>POs</w:t>
      </w:r>
      <w:r w:rsidRPr="00517ABC">
        <w:t xml:space="preserve"> into a single plug rather than creating separate Salesforce records.</w:t>
      </w:r>
    </w:p>
    <w:p w14:paraId="610A7F12" w14:textId="77777777" w:rsidR="00517ABC" w:rsidRPr="00517ABC" w:rsidRDefault="00517ABC" w:rsidP="00517ABC">
      <w:pPr>
        <w:numPr>
          <w:ilvl w:val="0"/>
          <w:numId w:val="1"/>
        </w:numPr>
      </w:pPr>
      <w:r w:rsidRPr="00517ABC">
        <w:t>Establishes opportunity and pipeline goals by LOB and allocates B&amp;P and operational resources accordingly.</w:t>
      </w:r>
    </w:p>
    <w:p w14:paraId="6AB9C3C2" w14:textId="77777777" w:rsidR="00517ABC" w:rsidRPr="00517ABC" w:rsidRDefault="00517ABC" w:rsidP="00517ABC">
      <w:r w:rsidRPr="00517ABC">
        <w:pict w14:anchorId="1416FDAD">
          <v:rect id="_x0000_i1095" style="width:0;height:1.5pt" o:hralign="center" o:hrstd="t" o:hr="t" fillcolor="#a0a0a0" stroked="f"/>
        </w:pict>
      </w:r>
    </w:p>
    <w:p w14:paraId="7397CABB" w14:textId="77777777" w:rsidR="00517ABC" w:rsidRPr="00517ABC" w:rsidRDefault="00517ABC" w:rsidP="00517ABC">
      <w:pPr>
        <w:rPr>
          <w:b/>
          <w:bCs/>
        </w:rPr>
      </w:pPr>
      <w:r w:rsidRPr="00517ABC">
        <w:rPr>
          <w:b/>
          <w:bCs/>
        </w:rPr>
        <w:t>Timing</w:t>
      </w:r>
    </w:p>
    <w:p w14:paraId="21495F4C" w14:textId="77777777" w:rsidR="00517ABC" w:rsidRPr="00517ABC" w:rsidRDefault="00517ABC" w:rsidP="00517ABC">
      <w:pPr>
        <w:numPr>
          <w:ilvl w:val="0"/>
          <w:numId w:val="2"/>
        </w:numPr>
      </w:pPr>
      <w:r w:rsidRPr="00517ABC">
        <w:t xml:space="preserve">AOP planning occurs in </w:t>
      </w:r>
      <w:r w:rsidRPr="00517ABC">
        <w:rPr>
          <w:b/>
          <w:bCs/>
        </w:rPr>
        <w:t>Spring/Summer</w:t>
      </w:r>
      <w:r w:rsidRPr="00517ABC">
        <w:t xml:space="preserve"> for the following year.</w:t>
      </w:r>
    </w:p>
    <w:p w14:paraId="16D9A7BA" w14:textId="77777777" w:rsidR="00517ABC" w:rsidRPr="00517ABC" w:rsidRDefault="00517ABC" w:rsidP="00517ABC">
      <w:pPr>
        <w:numPr>
          <w:ilvl w:val="0"/>
          <w:numId w:val="2"/>
        </w:numPr>
      </w:pPr>
      <w:r w:rsidRPr="00517ABC">
        <w:lastRenderedPageBreak/>
        <w:t>Finalized (“</w:t>
      </w:r>
      <w:r w:rsidRPr="00517ABC">
        <w:rPr>
          <w:b/>
          <w:bCs/>
        </w:rPr>
        <w:t>snap the chalk line</w:t>
      </w:r>
      <w:r w:rsidRPr="00517ABC">
        <w:t xml:space="preserve">”) during the </w:t>
      </w:r>
      <w:r w:rsidRPr="00517ABC">
        <w:rPr>
          <w:b/>
          <w:bCs/>
        </w:rPr>
        <w:t>Fall</w:t>
      </w:r>
      <w:r w:rsidRPr="00517ABC">
        <w:t>, per CFO direction.</w:t>
      </w:r>
    </w:p>
    <w:p w14:paraId="37043821" w14:textId="77777777" w:rsidR="00517ABC" w:rsidRPr="00517ABC" w:rsidRDefault="00517ABC" w:rsidP="00517ABC">
      <w:r w:rsidRPr="00517ABC">
        <w:pict w14:anchorId="510E9F80">
          <v:rect id="_x0000_i1096" style="width:0;height:1.5pt" o:hralign="center" o:hrstd="t" o:hr="t" fillcolor="#a0a0a0" stroked="f"/>
        </w:pict>
      </w:r>
    </w:p>
    <w:p w14:paraId="37EA0E40" w14:textId="77777777" w:rsidR="00517ABC" w:rsidRPr="00517ABC" w:rsidRDefault="00517ABC" w:rsidP="00517ABC">
      <w:pPr>
        <w:rPr>
          <w:b/>
          <w:bCs/>
        </w:rPr>
      </w:pPr>
      <w:r w:rsidRPr="00517ABC">
        <w:rPr>
          <w:b/>
          <w:bCs/>
        </w:rPr>
        <w:t>Why AOP Matters</w:t>
      </w:r>
    </w:p>
    <w:p w14:paraId="293172EF" w14:textId="77777777" w:rsidR="00517ABC" w:rsidRPr="00517ABC" w:rsidRDefault="00517ABC" w:rsidP="00517ABC">
      <w:pPr>
        <w:numPr>
          <w:ilvl w:val="0"/>
          <w:numId w:val="3"/>
        </w:numPr>
      </w:pPr>
      <w:r w:rsidRPr="00517ABC">
        <w:rPr>
          <w:b/>
          <w:bCs/>
        </w:rPr>
        <w:t>Alignment:</w:t>
      </w:r>
      <w:r w:rsidRPr="00517ABC">
        <w:t xml:space="preserve"> Every opportunity ties to strategy and growth priorities.</w:t>
      </w:r>
    </w:p>
    <w:p w14:paraId="691311D0" w14:textId="77777777" w:rsidR="00517ABC" w:rsidRPr="00517ABC" w:rsidRDefault="00517ABC" w:rsidP="00517ABC">
      <w:pPr>
        <w:numPr>
          <w:ilvl w:val="0"/>
          <w:numId w:val="3"/>
        </w:numPr>
      </w:pPr>
      <w:r w:rsidRPr="00517ABC">
        <w:rPr>
          <w:b/>
          <w:bCs/>
        </w:rPr>
        <w:t>Discipline:</w:t>
      </w:r>
      <w:r w:rsidRPr="00517ABC">
        <w:t xml:space="preserve"> Prevents “chasing everything.”</w:t>
      </w:r>
    </w:p>
    <w:p w14:paraId="1B9F5459" w14:textId="77777777" w:rsidR="00517ABC" w:rsidRPr="00517ABC" w:rsidRDefault="00517ABC" w:rsidP="00517ABC">
      <w:pPr>
        <w:numPr>
          <w:ilvl w:val="0"/>
          <w:numId w:val="3"/>
        </w:numPr>
      </w:pPr>
      <w:r w:rsidRPr="00517ABC">
        <w:rPr>
          <w:b/>
          <w:bCs/>
        </w:rPr>
        <w:t>Accountability:</w:t>
      </w:r>
      <w:r w:rsidRPr="00517ABC">
        <w:t xml:space="preserve"> Creates measurable benchmarks.</w:t>
      </w:r>
    </w:p>
    <w:p w14:paraId="4A739081" w14:textId="77777777" w:rsidR="00517ABC" w:rsidRPr="00517ABC" w:rsidRDefault="00517ABC" w:rsidP="00517ABC">
      <w:pPr>
        <w:numPr>
          <w:ilvl w:val="0"/>
          <w:numId w:val="3"/>
        </w:numPr>
      </w:pPr>
      <w:r w:rsidRPr="00517ABC">
        <w:rPr>
          <w:b/>
          <w:bCs/>
        </w:rPr>
        <w:t>Investor Confidence:</w:t>
      </w:r>
      <w:r w:rsidRPr="00517ABC">
        <w:t xml:space="preserve"> Provides structured growth plan for PE, lenders, partners.</w:t>
      </w:r>
    </w:p>
    <w:p w14:paraId="4E7B8B37" w14:textId="77777777" w:rsidR="00517ABC" w:rsidRPr="00517ABC" w:rsidRDefault="00517ABC" w:rsidP="00517ABC">
      <w:r w:rsidRPr="00517ABC">
        <w:pict w14:anchorId="3909E08B">
          <v:rect id="_x0000_i1097" style="width:0;height:1.5pt" o:hralign="center" o:hrstd="t" o:hr="t" fillcolor="#a0a0a0" stroked="f"/>
        </w:pict>
      </w:r>
    </w:p>
    <w:p w14:paraId="74989B76" w14:textId="77777777" w:rsidR="00517ABC" w:rsidRPr="00517ABC" w:rsidRDefault="00517ABC" w:rsidP="00517ABC">
      <w:pPr>
        <w:rPr>
          <w:b/>
          <w:bCs/>
        </w:rPr>
      </w:pPr>
      <w:r w:rsidRPr="00517ABC">
        <w:rPr>
          <w:b/>
          <w:bCs/>
        </w:rPr>
        <w:t>How AOP is Developed</w:t>
      </w:r>
    </w:p>
    <w:p w14:paraId="1D90FFF2" w14:textId="77777777" w:rsidR="00517ABC" w:rsidRPr="00517ABC" w:rsidRDefault="00517ABC" w:rsidP="00517ABC">
      <w:pPr>
        <w:numPr>
          <w:ilvl w:val="0"/>
          <w:numId w:val="4"/>
        </w:numPr>
      </w:pPr>
      <w:r w:rsidRPr="00517ABC">
        <w:rPr>
          <w:b/>
          <w:bCs/>
        </w:rPr>
        <w:t>Strategic Inputs</w:t>
      </w:r>
      <w:r w:rsidRPr="00517ABC">
        <w:t xml:space="preserve"> – CRO and Executive Leadership define targets, markets, and M&amp;A plugs.</w:t>
      </w:r>
    </w:p>
    <w:p w14:paraId="5EB7A6FA" w14:textId="77777777" w:rsidR="00517ABC" w:rsidRPr="00517ABC" w:rsidRDefault="00517ABC" w:rsidP="00517ABC">
      <w:pPr>
        <w:numPr>
          <w:ilvl w:val="0"/>
          <w:numId w:val="4"/>
        </w:numPr>
      </w:pPr>
      <w:r w:rsidRPr="00517ABC">
        <w:rPr>
          <w:b/>
          <w:bCs/>
        </w:rPr>
        <w:t>LOB EVP Responsibility</w:t>
      </w:r>
      <w:r w:rsidRPr="00517ABC">
        <w:t xml:space="preserve"> – Each EVP owns their vertical’s AOP. When CRO provides targets, EVP develops plan and selects opportunities to meet it.</w:t>
      </w:r>
    </w:p>
    <w:p w14:paraId="468DAA46" w14:textId="77777777" w:rsidR="00517ABC" w:rsidRPr="00517ABC" w:rsidRDefault="00517ABC" w:rsidP="00517ABC">
      <w:pPr>
        <w:numPr>
          <w:ilvl w:val="0"/>
          <w:numId w:val="4"/>
        </w:numPr>
      </w:pPr>
      <w:r w:rsidRPr="00517ABC">
        <w:rPr>
          <w:b/>
          <w:bCs/>
        </w:rPr>
        <w:t>Pipeline Assessment</w:t>
      </w:r>
      <w:r w:rsidRPr="00517ABC">
        <w:t xml:space="preserve"> – EVPs evaluate Salesforce pipeline, selecting opportunities with the </w:t>
      </w:r>
      <w:r w:rsidRPr="00517ABC">
        <w:rPr>
          <w:b/>
          <w:bCs/>
        </w:rPr>
        <w:t>best PWin</w:t>
      </w:r>
      <w:r w:rsidRPr="00517ABC">
        <w:t>.</w:t>
      </w:r>
    </w:p>
    <w:p w14:paraId="43CA1705" w14:textId="77777777" w:rsidR="00517ABC" w:rsidRPr="00517ABC" w:rsidRDefault="00517ABC" w:rsidP="00517ABC">
      <w:pPr>
        <w:numPr>
          <w:ilvl w:val="0"/>
          <w:numId w:val="4"/>
        </w:numPr>
      </w:pPr>
      <w:r w:rsidRPr="00517ABC">
        <w:rPr>
          <w:b/>
          <w:bCs/>
        </w:rPr>
        <w:t>Filling the Gap</w:t>
      </w:r>
      <w:r w:rsidRPr="00517ABC">
        <w:t xml:space="preserve"> – Remaining gaps become </w:t>
      </w:r>
      <w:r w:rsidRPr="00517ABC">
        <w:rPr>
          <w:b/>
          <w:bCs/>
        </w:rPr>
        <w:t>BD “Go Gets”</w:t>
      </w:r>
      <w:r w:rsidRPr="00517ABC">
        <w:t xml:space="preserve"> (new opportunities to close plan shortfalls).</w:t>
      </w:r>
    </w:p>
    <w:p w14:paraId="3AE2019E" w14:textId="77777777" w:rsidR="00517ABC" w:rsidRPr="00517ABC" w:rsidRDefault="00517ABC" w:rsidP="00517ABC">
      <w:pPr>
        <w:numPr>
          <w:ilvl w:val="0"/>
          <w:numId w:val="4"/>
        </w:numPr>
      </w:pPr>
      <w:r w:rsidRPr="00517ABC">
        <w:rPr>
          <w:b/>
          <w:bCs/>
        </w:rPr>
        <w:t>Resource Planning</w:t>
      </w:r>
      <w:r w:rsidRPr="00517ABC">
        <w:t xml:space="preserve"> – Allocate B&amp;P budgets, staffing, and investments across LOBs.</w:t>
      </w:r>
    </w:p>
    <w:p w14:paraId="0B64EC55" w14:textId="77777777" w:rsidR="00517ABC" w:rsidRPr="00517ABC" w:rsidRDefault="00517ABC" w:rsidP="00517ABC">
      <w:pPr>
        <w:numPr>
          <w:ilvl w:val="0"/>
          <w:numId w:val="4"/>
        </w:numPr>
      </w:pPr>
      <w:r w:rsidRPr="00517ABC">
        <w:rPr>
          <w:b/>
          <w:bCs/>
        </w:rPr>
        <w:t>Consolidation &amp; Approval</w:t>
      </w:r>
      <w:r w:rsidRPr="00517ABC">
        <w:t xml:space="preserve"> – Roll into one corporate AOP, reviewed by Executive Leadership.</w:t>
      </w:r>
    </w:p>
    <w:p w14:paraId="39CB3BDE" w14:textId="77777777" w:rsidR="00517ABC" w:rsidRPr="00517ABC" w:rsidRDefault="00517ABC" w:rsidP="00517ABC">
      <w:pPr>
        <w:numPr>
          <w:ilvl w:val="0"/>
          <w:numId w:val="4"/>
        </w:numPr>
      </w:pPr>
      <w:r w:rsidRPr="00517ABC">
        <w:rPr>
          <w:b/>
          <w:bCs/>
        </w:rPr>
        <w:t>Execution &amp; Tracking</w:t>
      </w:r>
      <w:r w:rsidRPr="00517ABC">
        <w:t xml:space="preserve"> – Salesforce/GovDash track pipeline, bookings, and AOP progress.</w:t>
      </w:r>
    </w:p>
    <w:p w14:paraId="44C475F6" w14:textId="77777777" w:rsidR="00517ABC" w:rsidRPr="00517ABC" w:rsidRDefault="00517ABC" w:rsidP="00517ABC">
      <w:r w:rsidRPr="00517ABC">
        <w:pict w14:anchorId="4AF815AE">
          <v:rect id="_x0000_i1098" style="width:0;height:1.5pt" o:hralign="center" o:hrstd="t" o:hr="t" fillcolor="#a0a0a0" stroked="f"/>
        </w:pict>
      </w:r>
    </w:p>
    <w:p w14:paraId="3FEE2EB1" w14:textId="77777777" w:rsidR="00517ABC" w:rsidRPr="00517ABC" w:rsidRDefault="00517ABC" w:rsidP="00517ABC">
      <w:pPr>
        <w:rPr>
          <w:b/>
          <w:bCs/>
        </w:rPr>
      </w:pPr>
      <w:r w:rsidRPr="00517ABC">
        <w:rPr>
          <w:b/>
          <w:bCs/>
        </w:rPr>
        <w:t>Execution Reality</w:t>
      </w:r>
    </w:p>
    <w:p w14:paraId="2F820B5A" w14:textId="77777777" w:rsidR="00517ABC" w:rsidRPr="00517ABC" w:rsidRDefault="00517ABC" w:rsidP="00517ABC">
      <w:pPr>
        <w:numPr>
          <w:ilvl w:val="0"/>
          <w:numId w:val="5"/>
        </w:numPr>
      </w:pPr>
      <w:r w:rsidRPr="00517ABC">
        <w:rPr>
          <w:b/>
          <w:bCs/>
        </w:rPr>
        <w:t>ANY awarded opportunity (“Booking”) counts against AOP</w:t>
      </w:r>
      <w:r w:rsidRPr="00517ABC">
        <w:t xml:space="preserve"> in the year awarded.</w:t>
      </w:r>
    </w:p>
    <w:p w14:paraId="2AFA4760" w14:textId="77777777" w:rsidR="00517ABC" w:rsidRPr="00517ABC" w:rsidRDefault="00517ABC" w:rsidP="00517ABC">
      <w:pPr>
        <w:numPr>
          <w:ilvl w:val="0"/>
          <w:numId w:val="5"/>
        </w:numPr>
      </w:pPr>
      <w:r w:rsidRPr="00517ABC">
        <w:t>Not all AOP-selected opportunities will be won — backups are essential.</w:t>
      </w:r>
    </w:p>
    <w:p w14:paraId="5E90F2E2" w14:textId="77777777" w:rsidR="00517ABC" w:rsidRPr="00517ABC" w:rsidRDefault="00517ABC" w:rsidP="00517ABC">
      <w:pPr>
        <w:numPr>
          <w:ilvl w:val="0"/>
          <w:numId w:val="5"/>
        </w:numPr>
      </w:pPr>
      <w:r w:rsidRPr="00517ABC">
        <w:rPr>
          <w:b/>
          <w:bCs/>
        </w:rPr>
        <w:t>Salesforce must remain current</w:t>
      </w:r>
      <w:r w:rsidRPr="00517ABC">
        <w:t xml:space="preserve"> — Capture Managers continuously update, pursue, and propose opportunities throughout the year.</w:t>
      </w:r>
    </w:p>
    <w:p w14:paraId="79C2AD1A" w14:textId="77777777" w:rsidR="00517ABC" w:rsidRPr="00517ABC" w:rsidRDefault="00517ABC" w:rsidP="00517ABC">
      <w:pPr>
        <w:numPr>
          <w:ilvl w:val="0"/>
          <w:numId w:val="5"/>
        </w:numPr>
      </w:pPr>
      <w:r w:rsidRPr="00517ABC">
        <w:t xml:space="preserve">Growth comes primarily from </w:t>
      </w:r>
      <w:r w:rsidRPr="00517ABC">
        <w:rPr>
          <w:b/>
          <w:bCs/>
        </w:rPr>
        <w:t>current PM-driven work</w:t>
      </w:r>
      <w:r w:rsidRPr="00517ABC">
        <w:t xml:space="preserve"> (recompetes, follow-ons, known-customer new business).</w:t>
      </w:r>
    </w:p>
    <w:p w14:paraId="3C77B8F4" w14:textId="77777777" w:rsidR="00517ABC" w:rsidRPr="00517ABC" w:rsidRDefault="00517ABC" w:rsidP="00517ABC">
      <w:pPr>
        <w:numPr>
          <w:ilvl w:val="0"/>
          <w:numId w:val="5"/>
        </w:numPr>
      </w:pPr>
      <w:r w:rsidRPr="00517ABC">
        <w:rPr>
          <w:b/>
          <w:bCs/>
        </w:rPr>
        <w:t>New New Business</w:t>
      </w:r>
      <w:r w:rsidRPr="00517ABC">
        <w:t xml:space="preserve"> has lowest PWin — select cautiously.</w:t>
      </w:r>
    </w:p>
    <w:p w14:paraId="57FF41E1" w14:textId="77777777" w:rsidR="00517ABC" w:rsidRPr="00517ABC" w:rsidRDefault="00517ABC" w:rsidP="00517ABC">
      <w:pPr>
        <w:numPr>
          <w:ilvl w:val="0"/>
          <w:numId w:val="5"/>
        </w:numPr>
      </w:pPr>
      <w:r w:rsidRPr="00517ABC">
        <w:rPr>
          <w:b/>
          <w:bCs/>
        </w:rPr>
        <w:t>Pop-Ups &amp; Sole Source</w:t>
      </w:r>
      <w:r w:rsidRPr="00517ABC">
        <w:t xml:space="preserve"> cannot be planned — opportunistic only, used with caution.</w:t>
      </w:r>
    </w:p>
    <w:p w14:paraId="768F3B63" w14:textId="77777777" w:rsidR="00517ABC" w:rsidRPr="00517ABC" w:rsidRDefault="00517ABC" w:rsidP="00517ABC">
      <w:pPr>
        <w:numPr>
          <w:ilvl w:val="0"/>
          <w:numId w:val="5"/>
        </w:numPr>
      </w:pPr>
      <w:r w:rsidRPr="00517ABC">
        <w:rPr>
          <w:b/>
          <w:bCs/>
        </w:rPr>
        <w:t>Many circumstances cause changes</w:t>
      </w:r>
      <w:r w:rsidRPr="00517ABC">
        <w:t xml:space="preserve"> (lost bids, No-Bids, slipped schedules) → always identify </w:t>
      </w:r>
      <w:r w:rsidRPr="00517ABC">
        <w:rPr>
          <w:b/>
          <w:bCs/>
        </w:rPr>
        <w:t>backup opportunities</w:t>
      </w:r>
      <w:r w:rsidRPr="00517ABC">
        <w:t xml:space="preserve"> in Salesforce.</w:t>
      </w:r>
    </w:p>
    <w:p w14:paraId="6FE63F52" w14:textId="77777777" w:rsidR="00517ABC" w:rsidRPr="00517ABC" w:rsidRDefault="00517ABC" w:rsidP="00517ABC">
      <w:pPr>
        <w:numPr>
          <w:ilvl w:val="0"/>
          <w:numId w:val="5"/>
        </w:numPr>
      </w:pPr>
      <w:r w:rsidRPr="00517ABC">
        <w:rPr>
          <w:b/>
          <w:bCs/>
        </w:rPr>
        <w:lastRenderedPageBreak/>
        <w:t>Plugs Deduction Rule</w:t>
      </w:r>
      <w:r w:rsidRPr="00517ABC">
        <w:t xml:space="preserve"> – All plugs must be </w:t>
      </w:r>
      <w:r w:rsidRPr="00517ABC">
        <w:rPr>
          <w:b/>
          <w:bCs/>
        </w:rPr>
        <w:t>deducted during the year</w:t>
      </w:r>
      <w:r w:rsidRPr="00517ABC">
        <w:t xml:space="preserve"> against new bookings to keep AOP status accurate and Salesforce dashboards reflecting reality.</w:t>
      </w:r>
    </w:p>
    <w:p w14:paraId="6F181E74" w14:textId="77777777" w:rsidR="00517ABC" w:rsidRPr="00517ABC" w:rsidRDefault="00517ABC" w:rsidP="00517ABC">
      <w:r w:rsidRPr="00517ABC">
        <w:pict w14:anchorId="2A647E3E">
          <v:rect id="_x0000_i1099" style="width:0;height:1.5pt" o:hralign="center" o:hrstd="t" o:hr="t" fillcolor="#a0a0a0" stroked="f"/>
        </w:pict>
      </w:r>
    </w:p>
    <w:p w14:paraId="0B55371D" w14:textId="77777777" w:rsidR="00517ABC" w:rsidRPr="00517ABC" w:rsidRDefault="00517ABC" w:rsidP="00517ABC">
      <w:pPr>
        <w:rPr>
          <w:b/>
          <w:bCs/>
        </w:rPr>
      </w:pPr>
      <w:r w:rsidRPr="00517ABC">
        <w:rPr>
          <w:b/>
          <w:bCs/>
        </w:rPr>
        <w:t>5. Plugs &amp; Special Cases</w:t>
      </w:r>
    </w:p>
    <w:p w14:paraId="5F300775" w14:textId="77777777" w:rsidR="00517ABC" w:rsidRPr="00517ABC" w:rsidRDefault="00517ABC" w:rsidP="00517ABC">
      <w:pPr>
        <w:numPr>
          <w:ilvl w:val="0"/>
          <w:numId w:val="6"/>
        </w:numPr>
      </w:pPr>
      <w:r w:rsidRPr="00517ABC">
        <w:rPr>
          <w:b/>
          <w:bCs/>
        </w:rPr>
        <w:t>M&amp;A Plugs</w:t>
      </w:r>
      <w:r w:rsidRPr="00517ABC">
        <w:t xml:space="preserve"> – Represent inorganic growth targets defined by Executive Leadership.</w:t>
      </w:r>
    </w:p>
    <w:p w14:paraId="509B0EFC" w14:textId="77777777" w:rsidR="00517ABC" w:rsidRPr="00517ABC" w:rsidRDefault="00517ABC" w:rsidP="00517ABC">
      <w:pPr>
        <w:numPr>
          <w:ilvl w:val="0"/>
          <w:numId w:val="6"/>
        </w:numPr>
      </w:pPr>
      <w:r w:rsidRPr="00517ABC">
        <w:rPr>
          <w:b/>
          <w:bCs/>
        </w:rPr>
        <w:t>Industrial PO Plugs</w:t>
      </w:r>
      <w:r w:rsidRPr="00517ABC">
        <w:t xml:space="preserve"> – Aggregated smaller POs into a single Salesforce plug.</w:t>
      </w:r>
    </w:p>
    <w:p w14:paraId="679AC092" w14:textId="77777777" w:rsidR="00517ABC" w:rsidRPr="00517ABC" w:rsidRDefault="00517ABC" w:rsidP="00517ABC">
      <w:pPr>
        <w:numPr>
          <w:ilvl w:val="0"/>
          <w:numId w:val="6"/>
        </w:numPr>
      </w:pPr>
      <w:r w:rsidRPr="00517ABC">
        <w:rPr>
          <w:b/>
          <w:bCs/>
        </w:rPr>
        <w:t>Deduction Rule</w:t>
      </w:r>
      <w:r w:rsidRPr="00517ABC">
        <w:t xml:space="preserve"> – As bookings occur, plugs must be reduced to avoid overstating actual growth.</w:t>
      </w:r>
    </w:p>
    <w:p w14:paraId="36DA97E0" w14:textId="77777777" w:rsidR="00517ABC" w:rsidRPr="00517ABC" w:rsidRDefault="00517ABC" w:rsidP="00517ABC">
      <w:r w:rsidRPr="00517ABC">
        <w:rPr>
          <w:rFonts w:ascii="Segoe UI Emoji" w:hAnsi="Segoe UI Emoji" w:cs="Segoe UI Emoji"/>
        </w:rPr>
        <w:t>✅</w:t>
      </w:r>
      <w:r w:rsidRPr="00517ABC">
        <w:t xml:space="preserve"> </w:t>
      </w:r>
      <w:r w:rsidRPr="00517ABC">
        <w:rPr>
          <w:b/>
          <w:bCs/>
        </w:rPr>
        <w:t>Plugs are placeholders, not guarantees.</w:t>
      </w:r>
      <w:r w:rsidRPr="00517ABC">
        <w:t xml:space="preserve"> They must be reconciled against actuals to reflect reality.</w:t>
      </w:r>
    </w:p>
    <w:p w14:paraId="7B01495C" w14:textId="77777777" w:rsidR="00517ABC" w:rsidRPr="00517ABC" w:rsidRDefault="00517ABC" w:rsidP="00517ABC">
      <w:r w:rsidRPr="00517ABC">
        <w:pict w14:anchorId="6C4BD5AE">
          <v:rect id="_x0000_i1100" style="width:0;height:1.5pt" o:hralign="center" o:hrstd="t" o:hr="t" fillcolor="#a0a0a0" stroked="f"/>
        </w:pict>
      </w:r>
    </w:p>
    <w:p w14:paraId="7B683838" w14:textId="77777777" w:rsidR="00517ABC" w:rsidRPr="00517ABC" w:rsidRDefault="00517ABC" w:rsidP="00517ABC">
      <w:pPr>
        <w:rPr>
          <w:b/>
          <w:bCs/>
        </w:rPr>
      </w:pPr>
      <w:r w:rsidRPr="00517ABC">
        <w:rPr>
          <w:b/>
          <w:bCs/>
        </w:rPr>
        <w:t>6. AOP Kickoff</w:t>
      </w:r>
    </w:p>
    <w:p w14:paraId="6841A877" w14:textId="77777777" w:rsidR="00517ABC" w:rsidRPr="00517ABC" w:rsidRDefault="00517ABC" w:rsidP="00517ABC">
      <w:pPr>
        <w:numPr>
          <w:ilvl w:val="0"/>
          <w:numId w:val="7"/>
        </w:numPr>
      </w:pPr>
      <w:r w:rsidRPr="00517ABC">
        <w:rPr>
          <w:b/>
          <w:bCs/>
        </w:rPr>
        <w:t>AOP Lead</w:t>
      </w:r>
      <w:r w:rsidRPr="00517ABC">
        <w:t xml:space="preserve"> – One LOB P&amp;L (usually VP level) serves as the AOP Lead for their vertical.</w:t>
      </w:r>
    </w:p>
    <w:p w14:paraId="39E8BB44" w14:textId="77777777" w:rsidR="00517ABC" w:rsidRPr="00517ABC" w:rsidRDefault="00517ABC" w:rsidP="00517ABC">
      <w:pPr>
        <w:numPr>
          <w:ilvl w:val="0"/>
          <w:numId w:val="7"/>
        </w:numPr>
      </w:pPr>
      <w:r w:rsidRPr="00517ABC">
        <w:rPr>
          <w:b/>
          <w:bCs/>
        </w:rPr>
        <w:t>Kickoff Meeting</w:t>
      </w:r>
      <w:r w:rsidRPr="00517ABC">
        <w:t xml:space="preserve"> – Hosted by the AOP Lead; includes Capture Managers, PMs, BD, Finance/Contracts.</w:t>
      </w:r>
    </w:p>
    <w:p w14:paraId="3064F7F8" w14:textId="77777777" w:rsidR="00517ABC" w:rsidRPr="00517ABC" w:rsidRDefault="00517ABC" w:rsidP="00517ABC">
      <w:pPr>
        <w:numPr>
          <w:ilvl w:val="1"/>
          <w:numId w:val="7"/>
        </w:numPr>
      </w:pPr>
      <w:r w:rsidRPr="00517ABC">
        <w:t xml:space="preserve">Define </w:t>
      </w:r>
      <w:r w:rsidRPr="00517ABC">
        <w:rPr>
          <w:b/>
          <w:bCs/>
        </w:rPr>
        <w:t>roles and responsibilities</w:t>
      </w:r>
      <w:r w:rsidRPr="00517ABC">
        <w:t>.</w:t>
      </w:r>
    </w:p>
    <w:p w14:paraId="2C89BDE3" w14:textId="77777777" w:rsidR="00517ABC" w:rsidRPr="00517ABC" w:rsidRDefault="00517ABC" w:rsidP="00517ABC">
      <w:pPr>
        <w:numPr>
          <w:ilvl w:val="1"/>
          <w:numId w:val="7"/>
        </w:numPr>
      </w:pPr>
      <w:r w:rsidRPr="00517ABC">
        <w:t xml:space="preserve">Identify </w:t>
      </w:r>
      <w:r w:rsidRPr="00517ABC">
        <w:rPr>
          <w:b/>
          <w:bCs/>
        </w:rPr>
        <w:t>inputs needed</w:t>
      </w:r>
      <w:r w:rsidRPr="00517ABC">
        <w:t xml:space="preserve"> (pipeline, PWin, BD “Go Gets”).</w:t>
      </w:r>
    </w:p>
    <w:p w14:paraId="3B466A4F" w14:textId="77777777" w:rsidR="00517ABC" w:rsidRPr="00517ABC" w:rsidRDefault="00517ABC" w:rsidP="00517ABC">
      <w:pPr>
        <w:numPr>
          <w:ilvl w:val="1"/>
          <w:numId w:val="7"/>
        </w:numPr>
      </w:pPr>
      <w:r w:rsidRPr="00517ABC">
        <w:t xml:space="preserve">Assign </w:t>
      </w:r>
      <w:r w:rsidRPr="00517ABC">
        <w:rPr>
          <w:b/>
          <w:bCs/>
        </w:rPr>
        <w:t>due dates</w:t>
      </w:r>
      <w:r w:rsidRPr="00517ABC">
        <w:t xml:space="preserve"> for deliverables.</w:t>
      </w:r>
    </w:p>
    <w:p w14:paraId="17691F0F" w14:textId="77777777" w:rsidR="00517ABC" w:rsidRPr="00517ABC" w:rsidRDefault="00517ABC" w:rsidP="00517ABC">
      <w:pPr>
        <w:numPr>
          <w:ilvl w:val="0"/>
          <w:numId w:val="7"/>
        </w:numPr>
      </w:pPr>
      <w:r w:rsidRPr="00517ABC">
        <w:rPr>
          <w:b/>
          <w:bCs/>
        </w:rPr>
        <w:t>Salesforce as System of Record</w:t>
      </w:r>
      <w:r w:rsidRPr="00517ABC">
        <w:t xml:space="preserve"> – </w:t>
      </w:r>
      <w:r w:rsidRPr="00517ABC">
        <w:rPr>
          <w:b/>
          <w:bCs/>
        </w:rPr>
        <w:t>Salesforce WILL be the only repository and source of truth</w:t>
      </w:r>
      <w:r w:rsidRPr="00517ABC">
        <w:t xml:space="preserve"> for AOP status, inputs, and reporting.</w:t>
      </w:r>
    </w:p>
    <w:p w14:paraId="36D94B6E" w14:textId="77777777" w:rsidR="00517ABC" w:rsidRPr="00517ABC" w:rsidRDefault="00517ABC" w:rsidP="00517ABC">
      <w:pPr>
        <w:numPr>
          <w:ilvl w:val="0"/>
          <w:numId w:val="7"/>
        </w:numPr>
      </w:pPr>
      <w:r w:rsidRPr="00517ABC">
        <w:rPr>
          <w:b/>
          <w:bCs/>
        </w:rPr>
        <w:t>Accountability</w:t>
      </w:r>
      <w:r w:rsidRPr="00517ABC">
        <w:t xml:space="preserve"> – LOB AOP Lead ensures inputs are timely and accurate. CRO reviews consolidated AOP; CFO finalizes in Fall.</w:t>
      </w:r>
    </w:p>
    <w:p w14:paraId="492F91A7" w14:textId="77777777" w:rsidR="00517ABC" w:rsidRPr="00517ABC" w:rsidRDefault="00517ABC" w:rsidP="00517ABC">
      <w:r w:rsidRPr="00517ABC">
        <w:pict w14:anchorId="34516727">
          <v:rect id="_x0000_i1101" style="width:0;height:1.5pt" o:hralign="center" o:hrstd="t" o:hr="t" fillcolor="#a0a0a0" stroked="f"/>
        </w:pict>
      </w:r>
    </w:p>
    <w:p w14:paraId="40F39394" w14:textId="77777777" w:rsidR="00517ABC" w:rsidRPr="00517ABC" w:rsidRDefault="00517ABC" w:rsidP="00517ABC">
      <w:pPr>
        <w:rPr>
          <w:b/>
          <w:bCs/>
        </w:rPr>
      </w:pPr>
      <w:r w:rsidRPr="00517ABC">
        <w:rPr>
          <w:rFonts w:ascii="Segoe UI Emoji" w:hAnsi="Segoe UI Emoji" w:cs="Segoe UI Emoji"/>
          <w:b/>
          <w:bCs/>
        </w:rPr>
        <w:t>✅</w:t>
      </w:r>
      <w:r w:rsidRPr="00517ABC">
        <w:rPr>
          <w:b/>
          <w:bCs/>
        </w:rPr>
        <w:t xml:space="preserve"> Bottom Line</w:t>
      </w:r>
    </w:p>
    <w:p w14:paraId="5B715B6C" w14:textId="77777777" w:rsidR="00517ABC" w:rsidRPr="00517ABC" w:rsidRDefault="00517ABC" w:rsidP="00517ABC">
      <w:r w:rsidRPr="00517ABC">
        <w:t xml:space="preserve">The AOP is the </w:t>
      </w:r>
      <w:r w:rsidRPr="00517ABC">
        <w:rPr>
          <w:b/>
          <w:bCs/>
        </w:rPr>
        <w:t>north star</w:t>
      </w:r>
      <w:r w:rsidRPr="00517ABC">
        <w:t xml:space="preserve"> for Albers’ growth. CRO sets targets, EVPs own execution. It blends current work, recompetes, follow-ons, new business, and plugs (M&amp;A or Industrial). Bookings count against goals, plugs are deducted against actuals, backups ensure resilience, and Salesforce is the </w:t>
      </w:r>
      <w:r w:rsidRPr="00517ABC">
        <w:rPr>
          <w:b/>
          <w:bCs/>
        </w:rPr>
        <w:t>only truth source</w:t>
      </w:r>
      <w:r w:rsidRPr="00517ABC">
        <w:t>. Discipline in kickoff, pipeline management, and execution ensures the AOP is realistic, aligned, and achievable.</w:t>
      </w:r>
    </w:p>
    <w:p w14:paraId="3E48BB21" w14:textId="77777777" w:rsidR="00EC72B4" w:rsidRDefault="00EC72B4"/>
    <w:sectPr w:rsidR="00EC72B4">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EA024" w14:textId="77777777" w:rsidR="00517ABC" w:rsidRDefault="00517ABC" w:rsidP="00517ABC">
      <w:pPr>
        <w:spacing w:after="0" w:line="240" w:lineRule="auto"/>
      </w:pPr>
      <w:r>
        <w:separator/>
      </w:r>
    </w:p>
  </w:endnote>
  <w:endnote w:type="continuationSeparator" w:id="0">
    <w:p w14:paraId="2AB27F30" w14:textId="77777777" w:rsidR="00517ABC" w:rsidRDefault="00517ABC" w:rsidP="00517A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47F72" w14:textId="2A57D80C" w:rsidR="00517ABC" w:rsidRDefault="00517ABC">
    <w:pPr>
      <w:pStyle w:val="Footer"/>
    </w:pPr>
    <w:r>
      <w:rPr>
        <w:noProof/>
      </w:rPr>
      <mc:AlternateContent>
        <mc:Choice Requires="wps">
          <w:drawing>
            <wp:anchor distT="0" distB="0" distL="0" distR="0" simplePos="0" relativeHeight="251659264" behindDoc="0" locked="0" layoutInCell="1" allowOverlap="1" wp14:anchorId="070802EE" wp14:editId="19EA6864">
              <wp:simplePos x="635" y="635"/>
              <wp:positionH relativeFrom="page">
                <wp:align>center</wp:align>
              </wp:positionH>
              <wp:positionV relativeFrom="page">
                <wp:align>bottom</wp:align>
              </wp:positionV>
              <wp:extent cx="1053465" cy="424815"/>
              <wp:effectExtent l="0" t="0" r="13335" b="0"/>
              <wp:wrapNone/>
              <wp:docPr id="58541716" name="Text Box 2" descr="Public Cont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3465" cy="424815"/>
                      </a:xfrm>
                      <a:prstGeom prst="rect">
                        <a:avLst/>
                      </a:prstGeom>
                      <a:noFill/>
                      <a:ln>
                        <a:noFill/>
                      </a:ln>
                    </wps:spPr>
                    <wps:txbx>
                      <w:txbxContent>
                        <w:p w14:paraId="6874A0CA" w14:textId="5D494105" w:rsidR="00517ABC" w:rsidRPr="00517ABC" w:rsidRDefault="00517ABC" w:rsidP="00517ABC">
                          <w:pPr>
                            <w:spacing w:after="0"/>
                            <w:rPr>
                              <w:rFonts w:ascii="Calibri" w:eastAsia="Calibri" w:hAnsi="Calibri" w:cs="Calibri"/>
                              <w:noProof/>
                              <w:color w:val="000000"/>
                              <w:sz w:val="28"/>
                              <w:szCs w:val="28"/>
                            </w:rPr>
                          </w:pPr>
                          <w:r w:rsidRPr="00517ABC">
                            <w:rPr>
                              <w:rFonts w:ascii="Calibri" w:eastAsia="Calibri" w:hAnsi="Calibri" w:cs="Calibri"/>
                              <w:noProof/>
                              <w:color w:val="000000"/>
                              <w:sz w:val="28"/>
                              <w:szCs w:val="28"/>
                            </w:rPr>
                            <w:t>Public Content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0802EE" id="_x0000_t202" coordsize="21600,21600" o:spt="202" path="m,l,21600r21600,l21600,xe">
              <v:stroke joinstyle="miter"/>
              <v:path gradientshapeok="t" o:connecttype="rect"/>
            </v:shapetype>
            <v:shape id="Text Box 2" o:spid="_x0000_s1026" type="#_x0000_t202" alt="Public Content" style="position:absolute;margin-left:0;margin-top:0;width:82.95pt;height:33.4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" filled="f" stroked="f">
              <v:fill o:detectmouseclick="t"/>
              <v:textbox style="mso-fit-shape-to-text:t" inset="0,0,0,15pt">
                <w:txbxContent>
                  <w:p w14:paraId="6874A0CA" w14:textId="5D494105" w:rsidR="00517ABC" w:rsidRPr="00517ABC" w:rsidRDefault="00517ABC" w:rsidP="00517ABC">
                    <w:pPr>
                      <w:spacing w:after="0"/>
                      <w:rPr>
                        <w:rFonts w:ascii="Calibri" w:eastAsia="Calibri" w:hAnsi="Calibri" w:cs="Calibri"/>
                        <w:noProof/>
                        <w:color w:val="000000"/>
                        <w:sz w:val="28"/>
                        <w:szCs w:val="28"/>
                      </w:rPr>
                    </w:pPr>
                    <w:r w:rsidRPr="00517ABC">
                      <w:rPr>
                        <w:rFonts w:ascii="Calibri" w:eastAsia="Calibri" w:hAnsi="Calibri" w:cs="Calibri"/>
                        <w:noProof/>
                        <w:color w:val="000000"/>
                        <w:sz w:val="28"/>
                        <w:szCs w:val="28"/>
                      </w:rPr>
                      <w:t>Public Content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89B22" w14:textId="14467AA0" w:rsidR="00517ABC" w:rsidRDefault="00517ABC">
    <w:pPr>
      <w:pStyle w:val="Footer"/>
    </w:pPr>
    <w:r>
      <w:rPr>
        <w:noProof/>
      </w:rPr>
      <mc:AlternateContent>
        <mc:Choice Requires="wps">
          <w:drawing>
            <wp:anchor distT="0" distB="0" distL="0" distR="0" simplePos="0" relativeHeight="251660288" behindDoc="0" locked="0" layoutInCell="1" allowOverlap="1" wp14:anchorId="6EDB0E49" wp14:editId="35718615">
              <wp:simplePos x="914400" y="9433560"/>
              <wp:positionH relativeFrom="page">
                <wp:align>center</wp:align>
              </wp:positionH>
              <wp:positionV relativeFrom="page">
                <wp:align>bottom</wp:align>
              </wp:positionV>
              <wp:extent cx="1053465" cy="424815"/>
              <wp:effectExtent l="0" t="0" r="13335" b="0"/>
              <wp:wrapNone/>
              <wp:docPr id="1792251016" name="Text Box 3" descr="Public Cont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3465" cy="424815"/>
                      </a:xfrm>
                      <a:prstGeom prst="rect">
                        <a:avLst/>
                      </a:prstGeom>
                      <a:noFill/>
                      <a:ln>
                        <a:noFill/>
                      </a:ln>
                    </wps:spPr>
                    <wps:txbx>
                      <w:txbxContent>
                        <w:p w14:paraId="0285B118" w14:textId="5DE7A987" w:rsidR="00517ABC" w:rsidRPr="00517ABC" w:rsidRDefault="00517ABC" w:rsidP="00517ABC">
                          <w:pPr>
                            <w:spacing w:after="0"/>
                            <w:rPr>
                              <w:rFonts w:ascii="Calibri" w:eastAsia="Calibri" w:hAnsi="Calibri" w:cs="Calibri"/>
                              <w:noProof/>
                              <w:color w:val="000000"/>
                              <w:sz w:val="28"/>
                              <w:szCs w:val="28"/>
                            </w:rPr>
                          </w:pPr>
                          <w:r w:rsidRPr="00517ABC">
                            <w:rPr>
                              <w:rFonts w:ascii="Calibri" w:eastAsia="Calibri" w:hAnsi="Calibri" w:cs="Calibri"/>
                              <w:noProof/>
                              <w:color w:val="000000"/>
                              <w:sz w:val="28"/>
                              <w:szCs w:val="28"/>
                            </w:rPr>
                            <w:t>Public Content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EDB0E49" id="_x0000_t202" coordsize="21600,21600" o:spt="202" path="m,l,21600r21600,l21600,xe">
              <v:stroke joinstyle="miter"/>
              <v:path gradientshapeok="t" o:connecttype="rect"/>
            </v:shapetype>
            <v:shape id="Text Box 3" o:spid="_x0000_s1027" type="#_x0000_t202" alt="Public Content" style="position:absolute;margin-left:0;margin-top:0;width:82.95pt;height:33.4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" filled="f" stroked="f">
              <v:fill o:detectmouseclick="t"/>
              <v:textbox style="mso-fit-shape-to-text:t" inset="0,0,0,15pt">
                <w:txbxContent>
                  <w:p w14:paraId="0285B118" w14:textId="5DE7A987" w:rsidR="00517ABC" w:rsidRPr="00517ABC" w:rsidRDefault="00517ABC" w:rsidP="00517ABC">
                    <w:pPr>
                      <w:spacing w:after="0"/>
                      <w:rPr>
                        <w:rFonts w:ascii="Calibri" w:eastAsia="Calibri" w:hAnsi="Calibri" w:cs="Calibri"/>
                        <w:noProof/>
                        <w:color w:val="000000"/>
                        <w:sz w:val="28"/>
                        <w:szCs w:val="28"/>
                      </w:rPr>
                    </w:pPr>
                    <w:r w:rsidRPr="00517ABC">
                      <w:rPr>
                        <w:rFonts w:ascii="Calibri" w:eastAsia="Calibri" w:hAnsi="Calibri" w:cs="Calibri"/>
                        <w:noProof/>
                        <w:color w:val="000000"/>
                        <w:sz w:val="28"/>
                        <w:szCs w:val="28"/>
                      </w:rPr>
                      <w:t>Public Content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D117C" w14:textId="2FA34FAC" w:rsidR="00517ABC" w:rsidRDefault="00517ABC">
    <w:pPr>
      <w:pStyle w:val="Footer"/>
    </w:pPr>
    <w:r>
      <w:rPr>
        <w:noProof/>
      </w:rPr>
      <mc:AlternateContent>
        <mc:Choice Requires="wps">
          <w:drawing>
            <wp:anchor distT="0" distB="0" distL="0" distR="0" simplePos="0" relativeHeight="251658240" behindDoc="0" locked="0" layoutInCell="1" allowOverlap="1" wp14:anchorId="27344816" wp14:editId="688C9A44">
              <wp:simplePos x="635" y="635"/>
              <wp:positionH relativeFrom="page">
                <wp:align>center</wp:align>
              </wp:positionH>
              <wp:positionV relativeFrom="page">
                <wp:align>bottom</wp:align>
              </wp:positionV>
              <wp:extent cx="1053465" cy="424815"/>
              <wp:effectExtent l="0" t="0" r="13335" b="0"/>
              <wp:wrapNone/>
              <wp:docPr id="1965191910" name="Text Box 1" descr="Public Cont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3465" cy="424815"/>
                      </a:xfrm>
                      <a:prstGeom prst="rect">
                        <a:avLst/>
                      </a:prstGeom>
                      <a:noFill/>
                      <a:ln>
                        <a:noFill/>
                      </a:ln>
                    </wps:spPr>
                    <wps:txbx>
                      <w:txbxContent>
                        <w:p w14:paraId="1DFDB5CF" w14:textId="29348943" w:rsidR="00517ABC" w:rsidRPr="00517ABC" w:rsidRDefault="00517ABC" w:rsidP="00517ABC">
                          <w:pPr>
                            <w:spacing w:after="0"/>
                            <w:rPr>
                              <w:rFonts w:ascii="Calibri" w:eastAsia="Calibri" w:hAnsi="Calibri" w:cs="Calibri"/>
                              <w:noProof/>
                              <w:color w:val="000000"/>
                              <w:sz w:val="28"/>
                              <w:szCs w:val="28"/>
                            </w:rPr>
                          </w:pPr>
                          <w:r w:rsidRPr="00517ABC">
                            <w:rPr>
                              <w:rFonts w:ascii="Calibri" w:eastAsia="Calibri" w:hAnsi="Calibri" w:cs="Calibri"/>
                              <w:noProof/>
                              <w:color w:val="000000"/>
                              <w:sz w:val="28"/>
                              <w:szCs w:val="28"/>
                            </w:rPr>
                            <w:t>Public Content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7344816" id="_x0000_t202" coordsize="21600,21600" o:spt="202" path="m,l,21600r21600,l21600,xe">
              <v:stroke joinstyle="miter"/>
              <v:path gradientshapeok="t" o:connecttype="rect"/>
            </v:shapetype>
            <v:shape id="Text Box 1" o:spid="_x0000_s1028" type="#_x0000_t202" alt="Public Content" style="position:absolute;margin-left:0;margin-top:0;width:82.95pt;height:33.4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" filled="f" stroked="f">
              <v:fill o:detectmouseclick="t"/>
              <v:textbox style="mso-fit-shape-to-text:t" inset="0,0,0,15pt">
                <w:txbxContent>
                  <w:p w14:paraId="1DFDB5CF" w14:textId="29348943" w:rsidR="00517ABC" w:rsidRPr="00517ABC" w:rsidRDefault="00517ABC" w:rsidP="00517ABC">
                    <w:pPr>
                      <w:spacing w:after="0"/>
                      <w:rPr>
                        <w:rFonts w:ascii="Calibri" w:eastAsia="Calibri" w:hAnsi="Calibri" w:cs="Calibri"/>
                        <w:noProof/>
                        <w:color w:val="000000"/>
                        <w:sz w:val="28"/>
                        <w:szCs w:val="28"/>
                      </w:rPr>
                    </w:pPr>
                    <w:r w:rsidRPr="00517ABC">
                      <w:rPr>
                        <w:rFonts w:ascii="Calibri" w:eastAsia="Calibri" w:hAnsi="Calibri" w:cs="Calibri"/>
                        <w:noProof/>
                        <w:color w:val="000000"/>
                        <w:sz w:val="28"/>
                        <w:szCs w:val="28"/>
                      </w:rPr>
                      <w:t>Public Content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1F192" w14:textId="77777777" w:rsidR="00517ABC" w:rsidRDefault="00517ABC" w:rsidP="00517ABC">
      <w:pPr>
        <w:spacing w:after="0" w:line="240" w:lineRule="auto"/>
      </w:pPr>
      <w:r>
        <w:separator/>
      </w:r>
    </w:p>
  </w:footnote>
  <w:footnote w:type="continuationSeparator" w:id="0">
    <w:p w14:paraId="5F898FBB" w14:textId="77777777" w:rsidR="00517ABC" w:rsidRDefault="00517ABC" w:rsidP="00517A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B128B"/>
    <w:multiLevelType w:val="multilevel"/>
    <w:tmpl w:val="25A6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82E35"/>
    <w:multiLevelType w:val="multilevel"/>
    <w:tmpl w:val="A518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126883"/>
    <w:multiLevelType w:val="multilevel"/>
    <w:tmpl w:val="72627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EA5EAB"/>
    <w:multiLevelType w:val="multilevel"/>
    <w:tmpl w:val="049AE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2830FC"/>
    <w:multiLevelType w:val="multilevel"/>
    <w:tmpl w:val="F84C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637069"/>
    <w:multiLevelType w:val="multilevel"/>
    <w:tmpl w:val="8FEE2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98327D"/>
    <w:multiLevelType w:val="multilevel"/>
    <w:tmpl w:val="1F9A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721247">
    <w:abstractNumId w:val="2"/>
  </w:num>
  <w:num w:numId="2" w16cid:durableId="1506282129">
    <w:abstractNumId w:val="6"/>
  </w:num>
  <w:num w:numId="3" w16cid:durableId="479199437">
    <w:abstractNumId w:val="0"/>
  </w:num>
  <w:num w:numId="4" w16cid:durableId="2128547424">
    <w:abstractNumId w:val="3"/>
  </w:num>
  <w:num w:numId="5" w16cid:durableId="536167137">
    <w:abstractNumId w:val="1"/>
  </w:num>
  <w:num w:numId="6" w16cid:durableId="56169372">
    <w:abstractNumId w:val="4"/>
  </w:num>
  <w:num w:numId="7" w16cid:durableId="18614290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ABC"/>
    <w:rsid w:val="00062555"/>
    <w:rsid w:val="0020302C"/>
    <w:rsid w:val="002860B6"/>
    <w:rsid w:val="00517ABC"/>
    <w:rsid w:val="00EC7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426F9"/>
  <w15:chartTrackingRefBased/>
  <w15:docId w15:val="{EE5C92EF-4851-4E1D-8860-18EBAB9A0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A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7A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7A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7A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7A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7A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A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A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A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A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7A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7A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7A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7A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7A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A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A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ABC"/>
    <w:rPr>
      <w:rFonts w:eastAsiaTheme="majorEastAsia" w:cstheme="majorBidi"/>
      <w:color w:val="272727" w:themeColor="text1" w:themeTint="D8"/>
    </w:rPr>
  </w:style>
  <w:style w:type="paragraph" w:styleId="Title">
    <w:name w:val="Title"/>
    <w:basedOn w:val="Normal"/>
    <w:next w:val="Normal"/>
    <w:link w:val="TitleChar"/>
    <w:uiPriority w:val="10"/>
    <w:qFormat/>
    <w:rsid w:val="00517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A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A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A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ABC"/>
    <w:pPr>
      <w:spacing w:before="160"/>
      <w:jc w:val="center"/>
    </w:pPr>
    <w:rPr>
      <w:i/>
      <w:iCs/>
      <w:color w:val="404040" w:themeColor="text1" w:themeTint="BF"/>
    </w:rPr>
  </w:style>
  <w:style w:type="character" w:customStyle="1" w:styleId="QuoteChar">
    <w:name w:val="Quote Char"/>
    <w:basedOn w:val="DefaultParagraphFont"/>
    <w:link w:val="Quote"/>
    <w:uiPriority w:val="29"/>
    <w:rsid w:val="00517ABC"/>
    <w:rPr>
      <w:i/>
      <w:iCs/>
      <w:color w:val="404040" w:themeColor="text1" w:themeTint="BF"/>
    </w:rPr>
  </w:style>
  <w:style w:type="paragraph" w:styleId="ListParagraph">
    <w:name w:val="List Paragraph"/>
    <w:basedOn w:val="Normal"/>
    <w:uiPriority w:val="34"/>
    <w:qFormat/>
    <w:rsid w:val="00517ABC"/>
    <w:pPr>
      <w:ind w:left="720"/>
      <w:contextualSpacing/>
    </w:pPr>
  </w:style>
  <w:style w:type="character" w:styleId="IntenseEmphasis">
    <w:name w:val="Intense Emphasis"/>
    <w:basedOn w:val="DefaultParagraphFont"/>
    <w:uiPriority w:val="21"/>
    <w:qFormat/>
    <w:rsid w:val="00517ABC"/>
    <w:rPr>
      <w:i/>
      <w:iCs/>
      <w:color w:val="2F5496" w:themeColor="accent1" w:themeShade="BF"/>
    </w:rPr>
  </w:style>
  <w:style w:type="paragraph" w:styleId="IntenseQuote">
    <w:name w:val="Intense Quote"/>
    <w:basedOn w:val="Normal"/>
    <w:next w:val="Normal"/>
    <w:link w:val="IntenseQuoteChar"/>
    <w:uiPriority w:val="30"/>
    <w:qFormat/>
    <w:rsid w:val="00517A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7ABC"/>
    <w:rPr>
      <w:i/>
      <w:iCs/>
      <w:color w:val="2F5496" w:themeColor="accent1" w:themeShade="BF"/>
    </w:rPr>
  </w:style>
  <w:style w:type="character" w:styleId="IntenseReference">
    <w:name w:val="Intense Reference"/>
    <w:basedOn w:val="DefaultParagraphFont"/>
    <w:uiPriority w:val="32"/>
    <w:qFormat/>
    <w:rsid w:val="00517ABC"/>
    <w:rPr>
      <w:b/>
      <w:bCs/>
      <w:smallCaps/>
      <w:color w:val="2F5496" w:themeColor="accent1" w:themeShade="BF"/>
      <w:spacing w:val="5"/>
    </w:rPr>
  </w:style>
  <w:style w:type="paragraph" w:styleId="Footer">
    <w:name w:val="footer"/>
    <w:basedOn w:val="Normal"/>
    <w:link w:val="FooterChar"/>
    <w:uiPriority w:val="99"/>
    <w:unhideWhenUsed/>
    <w:rsid w:val="00517A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A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897938">
      <w:bodyDiv w:val="1"/>
      <w:marLeft w:val="0"/>
      <w:marRight w:val="0"/>
      <w:marTop w:val="0"/>
      <w:marBottom w:val="0"/>
      <w:divBdr>
        <w:top w:val="none" w:sz="0" w:space="0" w:color="auto"/>
        <w:left w:val="none" w:sz="0" w:space="0" w:color="auto"/>
        <w:bottom w:val="none" w:sz="0" w:space="0" w:color="auto"/>
        <w:right w:val="none" w:sz="0" w:space="0" w:color="auto"/>
      </w:divBdr>
    </w:div>
    <w:div w:id="983504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61D9512686AC4C881E0B4B816080B8" ma:contentTypeVersion="14" ma:contentTypeDescription="Create a new document." ma:contentTypeScope="" ma:versionID="8d9258922891007344bf078415ba4d7b">
  <xsd:schema xmlns:xsd="http://www.w3.org/2001/XMLSchema" xmlns:xs="http://www.w3.org/2001/XMLSchema" xmlns:p="http://schemas.microsoft.com/office/2006/metadata/properties" xmlns:ns1="http://schemas.microsoft.com/sharepoint/v3" xmlns:ns2="585d788a-57c3-4cdf-9191-d10e4aee42f4" xmlns:ns3="02e39f72-6811-4b82-98cd-edef7b1fe94d" targetNamespace="http://schemas.microsoft.com/office/2006/metadata/properties" ma:root="true" ma:fieldsID="cf064cb06eee941616dd0871012b69f2" ns1:_="" ns2:_="" ns3:_="">
    <xsd:import namespace="http://schemas.microsoft.com/sharepoint/v3"/>
    <xsd:import namespace="585d788a-57c3-4cdf-9191-d10e4aee42f4"/>
    <xsd:import namespace="02e39f72-6811-4b82-98cd-edef7b1fe94d"/>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5d788a-57c3-4cdf-9191-d10e4aee42f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2c31743-b472-40df-9b62-06485429a53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2e39f72-6811-4b82-98cd-edef7b1fe94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e4acc3-a0d2-468e-b77a-195e6bff6a56}" ma:internalName="TaxCatchAll" ma:showField="CatchAllData" ma:web="02e39f72-6811-4b82-98cd-edef7b1fe9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585d788a-57c3-4cdf-9191-d10e4aee42f4">
      <Terms xmlns="http://schemas.microsoft.com/office/infopath/2007/PartnerControls"/>
    </lcf76f155ced4ddcb4097134ff3c332f>
    <TaxCatchAll xmlns="02e39f72-6811-4b82-98cd-edef7b1fe94d" xsi:nil="true"/>
  </documentManagement>
</p:properties>
</file>

<file path=customXml/itemProps1.xml><?xml version="1.0" encoding="utf-8"?>
<ds:datastoreItem xmlns:ds="http://schemas.openxmlformats.org/officeDocument/2006/customXml" ds:itemID="{F6409991-AA73-4242-94CB-A19B42D293B8}"/>
</file>

<file path=customXml/itemProps2.xml><?xml version="1.0" encoding="utf-8"?>
<ds:datastoreItem xmlns:ds="http://schemas.openxmlformats.org/officeDocument/2006/customXml" ds:itemID="{0CE6D6A8-FA07-48E8-A87E-83BB01A81369}"/>
</file>

<file path=customXml/itemProps3.xml><?xml version="1.0" encoding="utf-8"?>
<ds:datastoreItem xmlns:ds="http://schemas.openxmlformats.org/officeDocument/2006/customXml" ds:itemID="{4FA73698-B46F-45EC-8EDC-6EBA795FE5A3}"/>
</file>

<file path=docMetadata/LabelInfo.xml><?xml version="1.0" encoding="utf-8"?>
<clbl:labelList xmlns:clbl="http://schemas.microsoft.com/office/2020/mipLabelMetadata">
  <clbl:label id="{8542cf18-e12a-40db-9df3-580a9dfd5309}" enabled="1" method="Standard" siteId="{61e2692b-b9a2-4a3f-ac37-b8aeb7bdac87}" contentBits="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675</Words>
  <Characters>3785</Characters>
  <Application>Microsoft Office Word</Application>
  <DocSecurity>0</DocSecurity>
  <Lines>108</Lines>
  <Paragraphs>84</Paragraphs>
  <ScaleCrop>false</ScaleCrop>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Steneman</dc:creator>
  <cp:keywords/>
  <dc:description/>
  <cp:lastModifiedBy>Derek Steneman</cp:lastModifiedBy>
  <cp:revision>1</cp:revision>
  <dcterms:created xsi:type="dcterms:W3CDTF">2025-08-27T23:16:00Z</dcterms:created>
  <dcterms:modified xsi:type="dcterms:W3CDTF">2025-08-27T23:17:00Z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752272e6,37d4694,6ad39488</vt:lpwstr>
  </property>
  <property fmtid="{D5CDD505-2E9C-101B-9397-08002B2CF9AE}" pid="3" name="ClassificationContentMarkingFooterFontProps">
    <vt:lpwstr>#000000,14,Calibri</vt:lpwstr>
  </property>
  <property fmtid="{D5CDD505-2E9C-101B-9397-08002B2CF9AE}" pid="4" name="ClassificationContentMarkingFooterText">
    <vt:lpwstr>Public Content</vt:lpwstr>
  </property>
  <property fmtid="{D5CDD505-2E9C-101B-9397-08002B2CF9AE}" pid="5" name="ContentTypeId">
    <vt:lpwstr>0x0101000261D9512686AC4C881E0B4B816080B8</vt:lpwstr>
  </property>
</Properties>
</file>