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5ECB" w14:textId="77777777" w:rsidR="00B104C0" w:rsidRPr="00B104C0" w:rsidRDefault="00B104C0" w:rsidP="00B104C0">
      <w:pPr>
        <w:rPr>
          <w:b/>
          <w:bCs/>
        </w:rPr>
      </w:pPr>
      <w:r w:rsidRPr="00B104C0">
        <w:rPr>
          <w:b/>
          <w:bCs/>
        </w:rPr>
        <w:t>SOP: No-Bid Decision &amp; Risk Flagging</w:t>
      </w:r>
    </w:p>
    <w:p w14:paraId="1E457F72" w14:textId="77777777" w:rsidR="00B104C0" w:rsidRPr="00B104C0" w:rsidRDefault="00B104C0" w:rsidP="00B104C0">
      <w:r w:rsidRPr="00B104C0">
        <w:rPr>
          <w:b/>
          <w:bCs/>
        </w:rPr>
        <w:t>1. Title</w:t>
      </w:r>
      <w:r w:rsidRPr="00B104C0">
        <w:br/>
        <w:t>No-Bid Decision &amp; Risk Flagging – Ongoing Assessment</w:t>
      </w:r>
    </w:p>
    <w:p w14:paraId="6B36E8E4" w14:textId="77777777" w:rsidR="00B104C0" w:rsidRPr="00B104C0" w:rsidRDefault="00B104C0" w:rsidP="00B104C0">
      <w:r w:rsidRPr="00B104C0">
        <w:rPr>
          <w:b/>
          <w:bCs/>
        </w:rPr>
        <w:t>2. Purpose</w:t>
      </w:r>
      <w:r w:rsidRPr="00B104C0">
        <w:br/>
        <w:t>To establish the process for identifying risks and making informed No-Bid decisions. The goal is to conserve B&amp;P resources, maintain pipeline quality, and ensure leadership visibility when an opportunity no longer meets Albers’ standards for pursuit.</w:t>
      </w:r>
    </w:p>
    <w:p w14:paraId="349160AD" w14:textId="77777777" w:rsidR="00B104C0" w:rsidRPr="00B104C0" w:rsidRDefault="00B104C0" w:rsidP="00B104C0">
      <w:r w:rsidRPr="00B104C0">
        <w:rPr>
          <w:b/>
          <w:bCs/>
        </w:rPr>
        <w:t>3. Scope</w:t>
      </w:r>
      <w:r w:rsidRPr="00B104C0">
        <w:br/>
        <w:t>Applies to all opportunities across all phases (Discover, Target, Capture, Proposal). Governs Pursuit Leads, Capture Managers, Program Managers, BD leadership, and LOB leadership when assessing whether to continue or close an opportunity.</w:t>
      </w:r>
    </w:p>
    <w:p w14:paraId="48368B6A" w14:textId="77777777" w:rsidR="00B104C0" w:rsidRPr="00B104C0" w:rsidRDefault="00B104C0" w:rsidP="00B104C0">
      <w:r w:rsidRPr="00B104C0">
        <w:rPr>
          <w:b/>
          <w:bCs/>
        </w:rPr>
        <w:t>4. Intent</w:t>
      </w:r>
    </w:p>
    <w:p w14:paraId="6F8F2EAE" w14:textId="77777777" w:rsidR="00B104C0" w:rsidRPr="00B104C0" w:rsidRDefault="00B104C0" w:rsidP="00B104C0">
      <w:pPr>
        <w:numPr>
          <w:ilvl w:val="0"/>
          <w:numId w:val="1"/>
        </w:numPr>
      </w:pPr>
      <w:r w:rsidRPr="00B104C0">
        <w:rPr>
          <w:b/>
          <w:bCs/>
        </w:rPr>
        <w:t>Ongoing Bid/No-Bid Assessment</w:t>
      </w:r>
    </w:p>
    <w:p w14:paraId="62FECCDC" w14:textId="77777777" w:rsidR="00B104C0" w:rsidRPr="00B104C0" w:rsidRDefault="00B104C0" w:rsidP="00B104C0">
      <w:pPr>
        <w:numPr>
          <w:ilvl w:val="1"/>
          <w:numId w:val="1"/>
        </w:numPr>
      </w:pPr>
      <w:r w:rsidRPr="00B104C0">
        <w:t xml:space="preserve">Bid/No-Bid is </w:t>
      </w:r>
      <w:r w:rsidRPr="00B104C0">
        <w:rPr>
          <w:b/>
          <w:bCs/>
        </w:rPr>
        <w:t>not a one-time event</w:t>
      </w:r>
      <w:r w:rsidRPr="00B104C0">
        <w:t>. Each phase and gate review requires reevaluating whether the pursuit remains viable.</w:t>
      </w:r>
    </w:p>
    <w:p w14:paraId="6405F34E" w14:textId="77777777" w:rsidR="00B104C0" w:rsidRPr="00B104C0" w:rsidRDefault="00B104C0" w:rsidP="00B104C0">
      <w:pPr>
        <w:numPr>
          <w:ilvl w:val="1"/>
          <w:numId w:val="1"/>
        </w:numPr>
      </w:pPr>
      <w:r w:rsidRPr="00B104C0">
        <w:t xml:space="preserve">Capture Managers must continuously assess </w:t>
      </w:r>
      <w:r w:rsidRPr="00B104C0">
        <w:rPr>
          <w:b/>
          <w:bCs/>
        </w:rPr>
        <w:t>PWin, alignment, resourcing, and customer access</w:t>
      </w:r>
      <w:r w:rsidRPr="00B104C0">
        <w:t>.</w:t>
      </w:r>
    </w:p>
    <w:p w14:paraId="5353D9F1" w14:textId="77777777" w:rsidR="00B104C0" w:rsidRPr="00B104C0" w:rsidRDefault="00B104C0" w:rsidP="00B104C0">
      <w:pPr>
        <w:numPr>
          <w:ilvl w:val="0"/>
          <w:numId w:val="1"/>
        </w:numPr>
      </w:pPr>
      <w:r w:rsidRPr="00B104C0">
        <w:rPr>
          <w:b/>
          <w:bCs/>
        </w:rPr>
        <w:t>Risk Flagging</w:t>
      </w:r>
    </w:p>
    <w:p w14:paraId="52DCCDE3" w14:textId="77777777" w:rsidR="00B104C0" w:rsidRPr="00B104C0" w:rsidRDefault="00B104C0" w:rsidP="00B104C0">
      <w:pPr>
        <w:numPr>
          <w:ilvl w:val="1"/>
          <w:numId w:val="1"/>
        </w:numPr>
      </w:pPr>
      <w:r w:rsidRPr="00B104C0">
        <w:t>Risks must be flagged early in GovDash and Salesforce.</w:t>
      </w:r>
    </w:p>
    <w:p w14:paraId="7BD36769" w14:textId="77777777" w:rsidR="00B104C0" w:rsidRPr="00B104C0" w:rsidRDefault="00B104C0" w:rsidP="00B104C0">
      <w:pPr>
        <w:numPr>
          <w:ilvl w:val="1"/>
          <w:numId w:val="1"/>
        </w:numPr>
      </w:pPr>
      <w:r w:rsidRPr="00B104C0">
        <w:t>Common red flags: lack of customer access, insurmountable capability gaps, misalignment with AOP, uncompetitive pricing, teammate issues, or schedule/resource strain.</w:t>
      </w:r>
    </w:p>
    <w:p w14:paraId="78332133" w14:textId="77777777" w:rsidR="00B104C0" w:rsidRPr="00B104C0" w:rsidRDefault="00B104C0" w:rsidP="00B104C0">
      <w:pPr>
        <w:numPr>
          <w:ilvl w:val="1"/>
          <w:numId w:val="1"/>
        </w:numPr>
      </w:pPr>
      <w:r w:rsidRPr="00B104C0">
        <w:t>Risk flags must be documented, not verbal only.</w:t>
      </w:r>
    </w:p>
    <w:p w14:paraId="5C8D9DAF" w14:textId="77777777" w:rsidR="00B104C0" w:rsidRPr="00B104C0" w:rsidRDefault="00B104C0" w:rsidP="00B104C0">
      <w:pPr>
        <w:numPr>
          <w:ilvl w:val="0"/>
          <w:numId w:val="1"/>
        </w:numPr>
      </w:pPr>
      <w:r w:rsidRPr="00B104C0">
        <w:rPr>
          <w:b/>
          <w:bCs/>
        </w:rPr>
        <w:t>No-Bid Authority &amp; Coordination</w:t>
      </w:r>
    </w:p>
    <w:p w14:paraId="3FE71BAA" w14:textId="77777777" w:rsidR="00B104C0" w:rsidRPr="00B104C0" w:rsidRDefault="00B104C0" w:rsidP="00B104C0">
      <w:pPr>
        <w:numPr>
          <w:ilvl w:val="1"/>
          <w:numId w:val="1"/>
        </w:numPr>
      </w:pPr>
      <w:r w:rsidRPr="00B104C0">
        <w:t xml:space="preserve">A </w:t>
      </w:r>
      <w:r w:rsidRPr="00B104C0">
        <w:rPr>
          <w:b/>
          <w:bCs/>
        </w:rPr>
        <w:t>No-Bid can occur at any time</w:t>
      </w:r>
      <w:r w:rsidRPr="00B104C0">
        <w:t>, regardless of phase.</w:t>
      </w:r>
    </w:p>
    <w:p w14:paraId="201D217A" w14:textId="77777777" w:rsidR="00B104C0" w:rsidRPr="00B104C0" w:rsidRDefault="00B104C0" w:rsidP="00B104C0">
      <w:pPr>
        <w:numPr>
          <w:ilvl w:val="1"/>
          <w:numId w:val="1"/>
        </w:numPr>
      </w:pPr>
      <w:r w:rsidRPr="00B104C0">
        <w:t>The Capture Manager (or Pursuit Lead in Discover) must first coordinate with:</w:t>
      </w:r>
    </w:p>
    <w:p w14:paraId="1899FB32" w14:textId="77777777" w:rsidR="00B104C0" w:rsidRPr="00B104C0" w:rsidRDefault="00B104C0" w:rsidP="00B104C0">
      <w:pPr>
        <w:numPr>
          <w:ilvl w:val="2"/>
          <w:numId w:val="1"/>
        </w:numPr>
      </w:pPr>
      <w:r w:rsidRPr="00B104C0">
        <w:rPr>
          <w:b/>
          <w:bCs/>
        </w:rPr>
        <w:t>BD Lead</w:t>
      </w:r>
      <w:r w:rsidRPr="00B104C0">
        <w:t xml:space="preserve"> (for pipeline/strategy alignment)</w:t>
      </w:r>
    </w:p>
    <w:p w14:paraId="664677A4" w14:textId="77777777" w:rsidR="00B104C0" w:rsidRPr="00B104C0" w:rsidRDefault="00B104C0" w:rsidP="00B104C0">
      <w:pPr>
        <w:numPr>
          <w:ilvl w:val="2"/>
          <w:numId w:val="1"/>
        </w:numPr>
      </w:pPr>
      <w:r w:rsidRPr="00B104C0">
        <w:rPr>
          <w:b/>
          <w:bCs/>
        </w:rPr>
        <w:t>LOB Lead</w:t>
      </w:r>
      <w:r w:rsidRPr="00B104C0">
        <w:t xml:space="preserve"> (for business impact and resource allocation)</w:t>
      </w:r>
    </w:p>
    <w:p w14:paraId="3868BD8C" w14:textId="77777777" w:rsidR="00B104C0" w:rsidRPr="00B104C0" w:rsidRDefault="00B104C0" w:rsidP="00B104C0">
      <w:pPr>
        <w:numPr>
          <w:ilvl w:val="1"/>
          <w:numId w:val="1"/>
        </w:numPr>
      </w:pPr>
      <w:r w:rsidRPr="00B104C0">
        <w:t>Only after concurrence is the No-Bid decision finalized and recorded.</w:t>
      </w:r>
    </w:p>
    <w:p w14:paraId="253C7E13" w14:textId="77777777" w:rsidR="00B104C0" w:rsidRPr="00B104C0" w:rsidRDefault="00B104C0" w:rsidP="00B104C0">
      <w:pPr>
        <w:numPr>
          <w:ilvl w:val="0"/>
          <w:numId w:val="1"/>
        </w:numPr>
      </w:pPr>
      <w:r w:rsidRPr="00B104C0">
        <w:rPr>
          <w:b/>
          <w:bCs/>
        </w:rPr>
        <w:t>Closing Process</w:t>
      </w:r>
    </w:p>
    <w:p w14:paraId="1CBD6D0E" w14:textId="77777777" w:rsidR="00B104C0" w:rsidRPr="00B104C0" w:rsidRDefault="00B104C0" w:rsidP="00B104C0">
      <w:pPr>
        <w:numPr>
          <w:ilvl w:val="1"/>
          <w:numId w:val="1"/>
        </w:numPr>
      </w:pPr>
      <w:r w:rsidRPr="00B104C0">
        <w:t>Salesforce record updated to “No-Bid” with rationale documented.</w:t>
      </w:r>
    </w:p>
    <w:p w14:paraId="2A0D76DF" w14:textId="77777777" w:rsidR="00B104C0" w:rsidRPr="00B104C0" w:rsidRDefault="00B104C0" w:rsidP="00B104C0">
      <w:pPr>
        <w:numPr>
          <w:ilvl w:val="1"/>
          <w:numId w:val="1"/>
        </w:numPr>
      </w:pPr>
      <w:r w:rsidRPr="00B104C0">
        <w:t>GovDash updated with risk notes and lessons learned for TDP².</w:t>
      </w:r>
    </w:p>
    <w:p w14:paraId="6196191C" w14:textId="77777777" w:rsidR="00B104C0" w:rsidRPr="00B104C0" w:rsidRDefault="00B104C0" w:rsidP="00B104C0">
      <w:pPr>
        <w:numPr>
          <w:ilvl w:val="1"/>
          <w:numId w:val="1"/>
        </w:numPr>
      </w:pPr>
      <w:r w:rsidRPr="00B104C0">
        <w:t>Notification sent to teammates (if applicable).</w:t>
      </w:r>
    </w:p>
    <w:p w14:paraId="564E27AE" w14:textId="77777777" w:rsidR="00B104C0" w:rsidRPr="00B104C0" w:rsidRDefault="00B104C0" w:rsidP="00B104C0">
      <w:r w:rsidRPr="00B104C0">
        <w:rPr>
          <w:rFonts w:ascii="Segoe UI Emoji" w:hAnsi="Segoe UI Emoji" w:cs="Segoe UI Emoji"/>
        </w:rPr>
        <w:lastRenderedPageBreak/>
        <w:t>✅</w:t>
      </w:r>
      <w:r w:rsidRPr="00B104C0">
        <w:t xml:space="preserve"> </w:t>
      </w:r>
      <w:r w:rsidRPr="00B104C0">
        <w:rPr>
          <w:b/>
          <w:bCs/>
        </w:rPr>
        <w:t>Bottom Line</w:t>
      </w:r>
      <w:r w:rsidRPr="00B104C0">
        <w:t xml:space="preserve">: </w:t>
      </w:r>
      <w:r w:rsidRPr="00B104C0">
        <w:rPr>
          <w:b/>
          <w:bCs/>
        </w:rPr>
        <w:t>No-Bid is a smart decision, not a failure.</w:t>
      </w:r>
      <w:r w:rsidRPr="00B104C0">
        <w:t xml:space="preserve"> It protects resources, sharpens focus, and signals discipline. Risks must be flagged early, and every No-Bid must be coordinated with BD and LOB leadership before execution.</w:t>
      </w:r>
    </w:p>
    <w:p w14:paraId="7DBC95F8" w14:textId="77777777" w:rsidR="00EC72B4" w:rsidRDefault="00EC72B4"/>
    <w:sectPr w:rsidR="00EC72B4">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36E3B" w14:textId="77777777" w:rsidR="00B104C0" w:rsidRDefault="00B104C0" w:rsidP="00B104C0">
      <w:pPr>
        <w:spacing w:after="0" w:line="240" w:lineRule="auto"/>
      </w:pPr>
      <w:r>
        <w:separator/>
      </w:r>
    </w:p>
  </w:endnote>
  <w:endnote w:type="continuationSeparator" w:id="0">
    <w:p w14:paraId="2060E9D0" w14:textId="77777777" w:rsidR="00B104C0" w:rsidRDefault="00B104C0" w:rsidP="00B10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9622" w14:textId="348ADE16" w:rsidR="00B104C0" w:rsidRDefault="00B104C0">
    <w:pPr>
      <w:pStyle w:val="Footer"/>
    </w:pPr>
    <w:r>
      <w:rPr>
        <w:noProof/>
      </w:rPr>
      <mc:AlternateContent>
        <mc:Choice Requires="wps">
          <w:drawing>
            <wp:anchor distT="0" distB="0" distL="0" distR="0" simplePos="0" relativeHeight="251659264" behindDoc="0" locked="0" layoutInCell="1" allowOverlap="1" wp14:anchorId="4E76AE9C" wp14:editId="3CA34F96">
              <wp:simplePos x="635" y="635"/>
              <wp:positionH relativeFrom="page">
                <wp:align>center</wp:align>
              </wp:positionH>
              <wp:positionV relativeFrom="page">
                <wp:align>bottom</wp:align>
              </wp:positionV>
              <wp:extent cx="1053465" cy="424815"/>
              <wp:effectExtent l="0" t="0" r="13335" b="0"/>
              <wp:wrapNone/>
              <wp:docPr id="1467763875" name="Text Box 2"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240A6FAF" w14:textId="3F6B50AF" w:rsidR="00B104C0" w:rsidRPr="00B104C0" w:rsidRDefault="00B104C0" w:rsidP="00B104C0">
                          <w:pPr>
                            <w:spacing w:after="0"/>
                            <w:rPr>
                              <w:rFonts w:ascii="Calibri" w:eastAsia="Calibri" w:hAnsi="Calibri" w:cs="Calibri"/>
                              <w:noProof/>
                              <w:color w:val="000000"/>
                              <w:sz w:val="28"/>
                              <w:szCs w:val="28"/>
                            </w:rPr>
                          </w:pPr>
                          <w:r w:rsidRPr="00B104C0">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76AE9C" id="_x0000_t202" coordsize="21600,21600" o:spt="202" path="m,l,21600r21600,l21600,xe">
              <v:stroke joinstyle="miter"/>
              <v:path gradientshapeok="t" o:connecttype="rect"/>
            </v:shapetype>
            <v:shape id="Text Box 2" o:spid="_x0000_s1026" type="#_x0000_t202" alt="Public Content" style="position:absolute;margin-left:0;margin-top:0;width:82.95pt;height:33.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" filled="f" stroked="f">
              <v:fill o:detectmouseclick="t"/>
              <v:textbox style="mso-fit-shape-to-text:t" inset="0,0,0,15pt">
                <w:txbxContent>
                  <w:p w14:paraId="240A6FAF" w14:textId="3F6B50AF" w:rsidR="00B104C0" w:rsidRPr="00B104C0" w:rsidRDefault="00B104C0" w:rsidP="00B104C0">
                    <w:pPr>
                      <w:spacing w:after="0"/>
                      <w:rPr>
                        <w:rFonts w:ascii="Calibri" w:eastAsia="Calibri" w:hAnsi="Calibri" w:cs="Calibri"/>
                        <w:noProof/>
                        <w:color w:val="000000"/>
                        <w:sz w:val="28"/>
                        <w:szCs w:val="28"/>
                      </w:rPr>
                    </w:pPr>
                    <w:r w:rsidRPr="00B104C0">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9544" w14:textId="53E1DA53" w:rsidR="00B104C0" w:rsidRDefault="00B104C0">
    <w:pPr>
      <w:pStyle w:val="Footer"/>
    </w:pPr>
    <w:r>
      <w:rPr>
        <w:noProof/>
      </w:rPr>
      <mc:AlternateContent>
        <mc:Choice Requires="wps">
          <w:drawing>
            <wp:anchor distT="0" distB="0" distL="0" distR="0" simplePos="0" relativeHeight="251660288" behindDoc="0" locked="0" layoutInCell="1" allowOverlap="1" wp14:anchorId="1A819445" wp14:editId="3D4D92EE">
              <wp:simplePos x="914400" y="9429750"/>
              <wp:positionH relativeFrom="page">
                <wp:align>center</wp:align>
              </wp:positionH>
              <wp:positionV relativeFrom="page">
                <wp:align>bottom</wp:align>
              </wp:positionV>
              <wp:extent cx="1053465" cy="424815"/>
              <wp:effectExtent l="0" t="0" r="13335" b="0"/>
              <wp:wrapNone/>
              <wp:docPr id="112064111" name="Text Box 3"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4A829955" w14:textId="0F412E7E" w:rsidR="00B104C0" w:rsidRPr="00B104C0" w:rsidRDefault="00B104C0" w:rsidP="00B104C0">
                          <w:pPr>
                            <w:spacing w:after="0"/>
                            <w:rPr>
                              <w:rFonts w:ascii="Calibri" w:eastAsia="Calibri" w:hAnsi="Calibri" w:cs="Calibri"/>
                              <w:noProof/>
                              <w:color w:val="000000"/>
                              <w:sz w:val="28"/>
                              <w:szCs w:val="28"/>
                            </w:rPr>
                          </w:pPr>
                          <w:r w:rsidRPr="00B104C0">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819445" id="_x0000_t202" coordsize="21600,21600" o:spt="202" path="m,l,21600r21600,l21600,xe">
              <v:stroke joinstyle="miter"/>
              <v:path gradientshapeok="t" o:connecttype="rect"/>
            </v:shapetype>
            <v:shape id="Text Box 3" o:spid="_x0000_s1027" type="#_x0000_t202" alt="Public Content" style="position:absolute;margin-left:0;margin-top:0;width:82.95pt;height:33.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5LoDwIAAB0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" filled="f" stroked="f">
              <v:fill o:detectmouseclick="t"/>
              <v:textbox style="mso-fit-shape-to-text:t" inset="0,0,0,15pt">
                <w:txbxContent>
                  <w:p w14:paraId="4A829955" w14:textId="0F412E7E" w:rsidR="00B104C0" w:rsidRPr="00B104C0" w:rsidRDefault="00B104C0" w:rsidP="00B104C0">
                    <w:pPr>
                      <w:spacing w:after="0"/>
                      <w:rPr>
                        <w:rFonts w:ascii="Calibri" w:eastAsia="Calibri" w:hAnsi="Calibri" w:cs="Calibri"/>
                        <w:noProof/>
                        <w:color w:val="000000"/>
                        <w:sz w:val="28"/>
                        <w:szCs w:val="28"/>
                      </w:rPr>
                    </w:pPr>
                    <w:r w:rsidRPr="00B104C0">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A2A5" w14:textId="6A8320BB" w:rsidR="00B104C0" w:rsidRDefault="00B104C0">
    <w:pPr>
      <w:pStyle w:val="Footer"/>
    </w:pPr>
    <w:r>
      <w:rPr>
        <w:noProof/>
      </w:rPr>
      <mc:AlternateContent>
        <mc:Choice Requires="wps">
          <w:drawing>
            <wp:anchor distT="0" distB="0" distL="0" distR="0" simplePos="0" relativeHeight="251658240" behindDoc="0" locked="0" layoutInCell="1" allowOverlap="1" wp14:anchorId="438BA456" wp14:editId="2D234EFD">
              <wp:simplePos x="635" y="635"/>
              <wp:positionH relativeFrom="page">
                <wp:align>center</wp:align>
              </wp:positionH>
              <wp:positionV relativeFrom="page">
                <wp:align>bottom</wp:align>
              </wp:positionV>
              <wp:extent cx="1053465" cy="424815"/>
              <wp:effectExtent l="0" t="0" r="13335" b="0"/>
              <wp:wrapNone/>
              <wp:docPr id="1334049523" name="Text Box 1"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05644D6C" w14:textId="73FAD56A" w:rsidR="00B104C0" w:rsidRPr="00B104C0" w:rsidRDefault="00B104C0" w:rsidP="00B104C0">
                          <w:pPr>
                            <w:spacing w:after="0"/>
                            <w:rPr>
                              <w:rFonts w:ascii="Calibri" w:eastAsia="Calibri" w:hAnsi="Calibri" w:cs="Calibri"/>
                              <w:noProof/>
                              <w:color w:val="000000"/>
                              <w:sz w:val="28"/>
                              <w:szCs w:val="28"/>
                            </w:rPr>
                          </w:pPr>
                          <w:r w:rsidRPr="00B104C0">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8BA456" id="_x0000_t202" coordsize="21600,21600" o:spt="202" path="m,l,21600r21600,l21600,xe">
              <v:stroke joinstyle="miter"/>
              <v:path gradientshapeok="t" o:connecttype="rect"/>
            </v:shapetype>
            <v:shape id="Text Box 1" o:spid="_x0000_s1028" type="#_x0000_t202" alt="Public Content" style="position:absolute;margin-left:0;margin-top:0;width:82.95pt;height:33.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tJKCwIAABY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" filled="f" stroked="f">
              <v:fill o:detectmouseclick="t"/>
              <v:textbox style="mso-fit-shape-to-text:t" inset="0,0,0,15pt">
                <w:txbxContent>
                  <w:p w14:paraId="05644D6C" w14:textId="73FAD56A" w:rsidR="00B104C0" w:rsidRPr="00B104C0" w:rsidRDefault="00B104C0" w:rsidP="00B104C0">
                    <w:pPr>
                      <w:spacing w:after="0"/>
                      <w:rPr>
                        <w:rFonts w:ascii="Calibri" w:eastAsia="Calibri" w:hAnsi="Calibri" w:cs="Calibri"/>
                        <w:noProof/>
                        <w:color w:val="000000"/>
                        <w:sz w:val="28"/>
                        <w:szCs w:val="28"/>
                      </w:rPr>
                    </w:pPr>
                    <w:r w:rsidRPr="00B104C0">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1B609" w14:textId="77777777" w:rsidR="00B104C0" w:rsidRDefault="00B104C0" w:rsidP="00B104C0">
      <w:pPr>
        <w:spacing w:after="0" w:line="240" w:lineRule="auto"/>
      </w:pPr>
      <w:r>
        <w:separator/>
      </w:r>
    </w:p>
  </w:footnote>
  <w:footnote w:type="continuationSeparator" w:id="0">
    <w:p w14:paraId="1FAD9B32" w14:textId="77777777" w:rsidR="00B104C0" w:rsidRDefault="00B104C0" w:rsidP="00B104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62128"/>
    <w:multiLevelType w:val="multilevel"/>
    <w:tmpl w:val="6A1AD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003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4C0"/>
    <w:rsid w:val="00062555"/>
    <w:rsid w:val="0020302C"/>
    <w:rsid w:val="002860B6"/>
    <w:rsid w:val="00B104C0"/>
    <w:rsid w:val="00EC7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EF61"/>
  <w15:chartTrackingRefBased/>
  <w15:docId w15:val="{CB4ED4DC-CD4C-4D7C-80F9-BA7DFEAC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4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4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4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4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4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4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4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4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4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4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4C0"/>
    <w:rPr>
      <w:rFonts w:eastAsiaTheme="majorEastAsia" w:cstheme="majorBidi"/>
      <w:color w:val="272727" w:themeColor="text1" w:themeTint="D8"/>
    </w:rPr>
  </w:style>
  <w:style w:type="paragraph" w:styleId="Title">
    <w:name w:val="Title"/>
    <w:basedOn w:val="Normal"/>
    <w:next w:val="Normal"/>
    <w:link w:val="TitleChar"/>
    <w:uiPriority w:val="10"/>
    <w:qFormat/>
    <w:rsid w:val="00B10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4C0"/>
    <w:pPr>
      <w:spacing w:before="160"/>
      <w:jc w:val="center"/>
    </w:pPr>
    <w:rPr>
      <w:i/>
      <w:iCs/>
      <w:color w:val="404040" w:themeColor="text1" w:themeTint="BF"/>
    </w:rPr>
  </w:style>
  <w:style w:type="character" w:customStyle="1" w:styleId="QuoteChar">
    <w:name w:val="Quote Char"/>
    <w:basedOn w:val="DefaultParagraphFont"/>
    <w:link w:val="Quote"/>
    <w:uiPriority w:val="29"/>
    <w:rsid w:val="00B104C0"/>
    <w:rPr>
      <w:i/>
      <w:iCs/>
      <w:color w:val="404040" w:themeColor="text1" w:themeTint="BF"/>
    </w:rPr>
  </w:style>
  <w:style w:type="paragraph" w:styleId="ListParagraph">
    <w:name w:val="List Paragraph"/>
    <w:basedOn w:val="Normal"/>
    <w:uiPriority w:val="34"/>
    <w:qFormat/>
    <w:rsid w:val="00B104C0"/>
    <w:pPr>
      <w:ind w:left="720"/>
      <w:contextualSpacing/>
    </w:pPr>
  </w:style>
  <w:style w:type="character" w:styleId="IntenseEmphasis">
    <w:name w:val="Intense Emphasis"/>
    <w:basedOn w:val="DefaultParagraphFont"/>
    <w:uiPriority w:val="21"/>
    <w:qFormat/>
    <w:rsid w:val="00B104C0"/>
    <w:rPr>
      <w:i/>
      <w:iCs/>
      <w:color w:val="2F5496" w:themeColor="accent1" w:themeShade="BF"/>
    </w:rPr>
  </w:style>
  <w:style w:type="paragraph" w:styleId="IntenseQuote">
    <w:name w:val="Intense Quote"/>
    <w:basedOn w:val="Normal"/>
    <w:next w:val="Normal"/>
    <w:link w:val="IntenseQuoteChar"/>
    <w:uiPriority w:val="30"/>
    <w:qFormat/>
    <w:rsid w:val="00B104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4C0"/>
    <w:rPr>
      <w:i/>
      <w:iCs/>
      <w:color w:val="2F5496" w:themeColor="accent1" w:themeShade="BF"/>
    </w:rPr>
  </w:style>
  <w:style w:type="character" w:styleId="IntenseReference">
    <w:name w:val="Intense Reference"/>
    <w:basedOn w:val="DefaultParagraphFont"/>
    <w:uiPriority w:val="32"/>
    <w:qFormat/>
    <w:rsid w:val="00B104C0"/>
    <w:rPr>
      <w:b/>
      <w:bCs/>
      <w:smallCaps/>
      <w:color w:val="2F5496" w:themeColor="accent1" w:themeShade="BF"/>
      <w:spacing w:val="5"/>
    </w:rPr>
  </w:style>
  <w:style w:type="paragraph" w:styleId="Footer">
    <w:name w:val="footer"/>
    <w:basedOn w:val="Normal"/>
    <w:link w:val="FooterChar"/>
    <w:uiPriority w:val="99"/>
    <w:unhideWhenUsed/>
    <w:rsid w:val="00B104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5722">
      <w:bodyDiv w:val="1"/>
      <w:marLeft w:val="0"/>
      <w:marRight w:val="0"/>
      <w:marTop w:val="0"/>
      <w:marBottom w:val="0"/>
      <w:divBdr>
        <w:top w:val="none" w:sz="0" w:space="0" w:color="auto"/>
        <w:left w:val="none" w:sz="0" w:space="0" w:color="auto"/>
        <w:bottom w:val="none" w:sz="0" w:space="0" w:color="auto"/>
        <w:right w:val="none" w:sz="0" w:space="0" w:color="auto"/>
      </w:divBdr>
    </w:div>
    <w:div w:id="152701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61D9512686AC4C881E0B4B816080B8" ma:contentTypeVersion="14" ma:contentTypeDescription="Create a new document." ma:contentTypeScope="" ma:versionID="8d9258922891007344bf078415ba4d7b">
  <xsd:schema xmlns:xsd="http://www.w3.org/2001/XMLSchema" xmlns:xs="http://www.w3.org/2001/XMLSchema" xmlns:p="http://schemas.microsoft.com/office/2006/metadata/properties" xmlns:ns1="http://schemas.microsoft.com/sharepoint/v3" xmlns:ns2="585d788a-57c3-4cdf-9191-d10e4aee42f4" xmlns:ns3="02e39f72-6811-4b82-98cd-edef7b1fe94d" targetNamespace="http://schemas.microsoft.com/office/2006/metadata/properties" ma:root="true" ma:fieldsID="cf064cb06eee941616dd0871012b69f2" ns1:_="" ns2:_="" ns3:_="">
    <xsd:import namespace="http://schemas.microsoft.com/sharepoint/v3"/>
    <xsd:import namespace="585d788a-57c3-4cdf-9191-d10e4aee42f4"/>
    <xsd:import namespace="02e39f72-6811-4b82-98cd-edef7b1fe94d"/>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d788a-57c3-4cdf-9191-d10e4aee42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2c31743-b472-40df-9b62-06485429a53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e39f72-6811-4b82-98cd-edef7b1fe9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4acc3-a0d2-468e-b77a-195e6bff6a56}" ma:internalName="TaxCatchAll" ma:showField="CatchAllData" ma:web="02e39f72-6811-4b82-98cd-edef7b1fe9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85d788a-57c3-4cdf-9191-d10e4aee42f4">
      <Terms xmlns="http://schemas.microsoft.com/office/infopath/2007/PartnerControls"/>
    </lcf76f155ced4ddcb4097134ff3c332f>
    <TaxCatchAll xmlns="02e39f72-6811-4b82-98cd-edef7b1fe94d" xsi:nil="true"/>
  </documentManagement>
</p:properties>
</file>

<file path=customXml/itemProps1.xml><?xml version="1.0" encoding="utf-8"?>
<ds:datastoreItem xmlns:ds="http://schemas.openxmlformats.org/officeDocument/2006/customXml" ds:itemID="{A3A9F962-B76D-47BE-9AF4-52DA6E6E561C}"/>
</file>

<file path=customXml/itemProps2.xml><?xml version="1.0" encoding="utf-8"?>
<ds:datastoreItem xmlns:ds="http://schemas.openxmlformats.org/officeDocument/2006/customXml" ds:itemID="{01DA74B1-ACA9-4287-93A5-5E6A9E8D2AF5}"/>
</file>

<file path=customXml/itemProps3.xml><?xml version="1.0" encoding="utf-8"?>
<ds:datastoreItem xmlns:ds="http://schemas.openxmlformats.org/officeDocument/2006/customXml" ds:itemID="{0146929F-1DE8-423B-A08D-021D695A98A2}"/>
</file>

<file path=docMetadata/LabelInfo.xml><?xml version="1.0" encoding="utf-8"?>
<clbl:labelList xmlns:clbl="http://schemas.microsoft.com/office/2020/mipLabelMetadata">
  <clbl:label id="{8542cf18-e12a-40db-9df3-580a9dfd5309}" enabled="1" method="Standard" siteId="{61e2692b-b9a2-4a3f-ac37-b8aeb7bdac87}"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287</Words>
  <Characters>1613</Characters>
  <Application>Microsoft Office Word</Application>
  <DocSecurity>0</DocSecurity>
  <Lines>46</Lines>
  <Paragraphs>35</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Steneman</dc:creator>
  <cp:keywords/>
  <dc:description/>
  <cp:lastModifiedBy>Derek Steneman</cp:lastModifiedBy>
  <cp:revision>1</cp:revision>
  <dcterms:created xsi:type="dcterms:W3CDTF">2025-08-27T22:35:00Z</dcterms:created>
  <dcterms:modified xsi:type="dcterms:W3CDTF">2025-08-27T22:36:00Z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4f83faf3,577c4ca3,6adf66f</vt:lpwstr>
  </property>
  <property fmtid="{D5CDD505-2E9C-101B-9397-08002B2CF9AE}" pid="3" name="ClassificationContentMarkingFooterFontProps">
    <vt:lpwstr>#000000,14,Calibri</vt:lpwstr>
  </property>
  <property fmtid="{D5CDD505-2E9C-101B-9397-08002B2CF9AE}" pid="4" name="ClassificationContentMarkingFooterText">
    <vt:lpwstr>Public Content</vt:lpwstr>
  </property>
  <property fmtid="{D5CDD505-2E9C-101B-9397-08002B2CF9AE}" pid="5" name="ContentTypeId">
    <vt:lpwstr>0x0101000261D9512686AC4C881E0B4B816080B8</vt:lpwstr>
  </property>
</Properties>
</file>