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Enriquecendo</w:t>
      </w:r>
      <w:r>
        <w:t xml:space="preserve"> </w:t>
      </w:r>
      <w:r>
        <w:t xml:space="preserve">o</w:t>
      </w:r>
      <w:r>
        <w:t xml:space="preserve"> </w:t>
      </w:r>
      <w:r>
        <w:t xml:space="preserve">ensino</w:t>
      </w:r>
      <w:r>
        <w:t xml:space="preserve"> </w:t>
      </w:r>
      <w:r>
        <w:t xml:space="preserve">de</w:t>
      </w:r>
      <w:r>
        <w:t xml:space="preserve"> </w:t>
      </w:r>
      <w:r>
        <w:t xml:space="preserve">frações</w:t>
      </w:r>
      <w:r>
        <w:t xml:space="preserve"> </w:t>
      </w:r>
      <w:r>
        <w:t xml:space="preserve">através</w:t>
      </w:r>
      <w:r>
        <w:t xml:space="preserve"> </w:t>
      </w:r>
      <w:r>
        <w:t xml:space="preserve">da</w:t>
      </w:r>
      <w:r>
        <w:t xml:space="preserve"> </w:t>
      </w:r>
      <w:r>
        <w:t xml:space="preserve">integração</w:t>
      </w:r>
      <w:r>
        <w:t xml:space="preserve"> </w:t>
      </w:r>
      <w:r>
        <w:t xml:space="preserve">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Música pode ser um instrumento poderoso nas mãos do professor para promoção de interdisciplinaridade, não apenas porque ela está enraizada no imaginário de cada criança, que desde o berço escuta o canto da mãe ao ninar, mas também por ser uma forma de arte que envolve a matemática em sua estrutura.</w:t>
      </w:r>
    </w:p>
    <w:p>
      <w:pPr>
        <w:pStyle w:val="BodyText"/>
      </w:pPr>
      <w:r>
        <w:t xml:space="preserve">Neste trabalho, exploro os conceitos de interdisciplinaridade e integração com artes para enriquecer o ensino de frações. Além disso, apresento uma proposta de atividade que integra a matemática e a música, com o objetivo de promover a aprendizagem de frações de forma mais significativa e contextualizada.</w:t>
      </w:r>
    </w:p>
    <w:bookmarkEnd w:id="20"/>
    <w:bookmarkStart w:id="42" w:name="fundamentação-teórica"/>
    <w:p>
      <w:pPr>
        <w:pStyle w:val="Heading1"/>
      </w:pPr>
      <w:r>
        <w:t xml:space="preserve">2. FUNDAMENTAÇÃO TEÓRICA</w:t>
      </w:r>
    </w:p>
    <w:bookmarkStart w:id="23" w:name="X02368460e796a88e0096ff47a6807e3d4c0600d"/>
    <w:p>
      <w:pPr>
        <w:pStyle w:val="Heading2"/>
      </w:pPr>
      <w:r>
        <w:t xml:space="preserve">2.1 Interdisciplinaridade e integração com artes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p>
      <w:pPr>
        <w:pStyle w:val="BodyText"/>
      </w:pPr>
      <w:r>
        <w:t xml:space="preserve">A essa altura, é importante destacar que a integração com a arte se localiza na esfera pedagógica (micro), estando associada mas não se confundindo com a educação omnilateral, que é um conceito melhor entendido na esfera macro. O objetivo da educação omnilateral é a formação integral do ser humano, que envolve o desenvolvimento de todas as suas potencialidades, incluindo a intelectual, a física, a artística, a moral e a ética. Esse objetivo é alcançado através do desenvolvimento de</w:t>
      </w:r>
      <w:r>
        <w:t xml:space="preserve"> </w:t>
      </w:r>
      <w:r>
        <w:t xml:space="preserve">“</w:t>
      </w:r>
      <w:r>
        <w:t xml:space="preserve">processos pedagógicos que garantam, ao final do processo educativo, o acesso efetivamente democrático ao conhecimento na sua mais elevada universalidade</w:t>
      </w:r>
      <w:r>
        <w:t xml:space="preserve">”</w:t>
      </w:r>
      <w:r>
        <w:t xml:space="preserve">, que se dão em oposição ao tipo de educação presente no seio das sociedades capitalistas</w:t>
      </w:r>
      <w:r>
        <w:t xml:space="preserve"> </w:t>
      </w:r>
      <w:r>
        <w:t xml:space="preserve">(MACIEL, 2015; apud FRIGOTTO; CIAVATTA, 2012)</w:t>
      </w:r>
      <w:r>
        <w:t xml:space="preserve">.</w:t>
      </w:r>
    </w:p>
    <w:p>
      <w:pPr>
        <w:pStyle w:val="BodyText"/>
      </w:pPr>
      <w:r>
        <w:t xml:space="preserve">Não obstante não se tratar de atividades ao nível de uma educação omnilateral, a integração com a arte traz consigo potencial para facilitar o conhecimento mais profundo dos conceitos, realizar conexões entre diferentes áreas do conhecimento de forma mais significativa e destacar os relacionamentos entre as disciplinas e os temas culturais da sociedade. Além disso, há também evidências de benefícios comportamentais e de relacionamento, como redução de ansiedade e aumento da participação e colaboração, não apenas entre alunos, mas também entre professores.</w:t>
      </w:r>
      <w:r>
        <w:t xml:space="preserve">(LOVEMORE; ROBERTSON; GRAVEN, 2021)</w:t>
      </w:r>
      <w:r>
        <w:t xml:space="preserve">.</w:t>
      </w:r>
    </w:p>
    <w:bookmarkEnd w:id="23"/>
    <w:bookmarkStart w:id="41" w:name="Xa879ff81c0da0ec5bca35cb06de6d1d76aabe4d"/>
    <w:p>
      <w:pPr>
        <w:pStyle w:val="Heading2"/>
      </w:pPr>
      <w:r>
        <w:t xml:space="preserve">2.2 Frações de compasso e valores de notas musicais</w:t>
      </w:r>
    </w:p>
    <w:p>
      <w:pPr>
        <w:pStyle w:val="FirstParagraph"/>
      </w:pPr>
      <w:r>
        <w:t xml:space="preserve">Qualquer aluno que tenha escolhido música esperando não encontrar matemática ficará profundamente desapontado. Na maior parte dos livros e apostilas de teoria musical geral, logo no capítulo 1, o aluno será introduzido aos conceitos de figuras rítmicas e fórmulas de compasso.</w:t>
      </w:r>
    </w:p>
    <w:p>
      <w:pPr>
        <w:pStyle w:val="BodyText"/>
      </w:pPr>
      <w:r>
        <w:t xml:space="preserve">Toda e qualquer nota musical possui um valor rítmico associado, que é a duração que ela deve ser tocada (</w:t>
      </w:r>
      <w:hyperlink w:anchor="fig-valores">
        <w:r>
          <w:rPr>
            <w:rStyle w:val="Hyperlink"/>
          </w:rPr>
          <w:t xml:space="preserve">Figura 1 (a)</w:t>
        </w:r>
      </w:hyperlink>
      <w:r>
        <w:t xml:space="preserve">). Cada nota musical vale a metade da nota que a sucede, e o dobro da nota que a antecede. Essa relação hierárquica baseada em subdivisões e multiplicações por 2 é a base do sistema de notação musical (</w:t>
      </w:r>
      <w:hyperlink w:anchor="fig-hierarquia">
        <w:r>
          <w:rPr>
            <w:rStyle w:val="Hyperlink"/>
          </w:rPr>
          <w:t xml:space="preserve">Figura 1 (b)</w:t>
        </w:r>
      </w:hyperlink>
      <w:r>
        <w:t xml:space="preserve">).</w:t>
      </w:r>
    </w:p>
    <w:bookmarkStart w:id="32" w:name="fig-nota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7" w:name="fig-valores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5062508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valores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5062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Notas musicais e seus valores rítmicos</w:t>
                  </w:r>
                </w:p>
                <w:bookmarkEnd w:id="27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1" w:name="fig-hierarquia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213035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hierarquia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21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Relação hierárquica entre as notas musicais</w:t>
                  </w:r>
                </w:p>
                <w:bookmarkEnd w:id="31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1: Notas musicais e suas relações hierárquicas de duração.</w:t>
      </w:r>
    </w:p>
    <w:bookmarkEnd w:id="32"/>
    <w:p>
      <w:pPr>
        <w:pStyle w:val="BodyText"/>
      </w:pPr>
      <w:r>
        <w:t xml:space="preserve">A fração de compasso (</w:t>
      </w:r>
      <w:hyperlink w:anchor="fig-fração">
        <w:r>
          <w:rPr>
            <w:rStyle w:val="Hyperlink"/>
          </w:rPr>
          <w:t xml:space="preserve">Figura 2</w:t>
        </w:r>
      </w:hyperlink>
      <w:r>
        <w:t xml:space="preserve">) é a responsável por indicar a quantidade de tempos que cada compasso possui, e a unidade de tempo que será utilizada para contar esses tempos. O numerador da fração indica a quantidade de tempos que cabem e cada compasso, enquanto o denominador indica a unidade de tempo que será utilizada para contar esses tempos. Por exemplo, uma fração de compasso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indica que cada compasso possui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tempos, e que a unidade de tempo é a semínima (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fração"/>
          <w:p>
            <w:pPr>
              <w:pStyle w:val="Compact"/>
              <w:jc w:val="center"/>
            </w:pPr>
            <w:r>
              <w:drawing>
                <wp:inline>
                  <wp:extent cx="2857500" cy="1816875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/fraçã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1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Exemplos de frações de compasso</w:t>
            </w:r>
          </w:p>
          <w:bookmarkEnd w:id="36"/>
        </w:tc>
      </w:tr>
    </w:tbl>
    <w:p>
      <w:pPr>
        <w:pStyle w:val="BodyText"/>
      </w:pPr>
      <w:r>
        <w:t xml:space="preserve">Então, se um compasso tiver fração</w:t>
      </w:r>
      <w:r>
        <w:t xml:space="preserve"> </w:t>
      </w:r>
      <m:oMath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, isso significa que ele terá 3 tempos, e que a unidade de tempo é a semínima. Esse compasso pode conter, por exemplo, três semínimas ou uma mínima e uma semínima (</w:t>
      </w:r>
      <w:hyperlink w:anchor="fig-fração-2">
        <w:r>
          <w:rPr>
            <w:rStyle w:val="Hyperlink"/>
          </w:rPr>
          <w:t xml:space="preserve">Figura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fração-2"/>
          <w:p>
            <w:pPr>
              <w:pStyle w:val="Compact"/>
              <w:jc w:val="center"/>
            </w:pPr>
            <w:r>
              <w:drawing>
                <wp:inline>
                  <wp:extent cx="2857500" cy="188556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g/fração_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85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Exemplos de compassos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</w:p>
          <w:bookmarkEnd w:id="40"/>
        </w:tc>
      </w:tr>
    </w:tbl>
    <w:p>
      <w:pPr>
        <w:pStyle w:val="BodyText"/>
      </w:pPr>
      <w:r>
        <w:t xml:space="preserve">Fica evidente que a teoria musical conta com conceitos e notação matemática, de forma que a escolha da música como vetor para a integração com a arte se mostra vantajosa para o ensino de frações, sem qualquer necessidade de extrapolação de contexto — a matemática já está lá.</w:t>
      </w:r>
    </w:p>
    <w:p>
      <w:pPr>
        <w:pStyle w:val="BodyText"/>
      </w:pPr>
      <w:r>
        <w:t xml:space="preserve">A equivalência se dá diretamente:</w:t>
      </w:r>
    </w:p>
    <w:bookmarkEnd w:id="41"/>
    <w:bookmarkEnd w:id="42"/>
    <w:bookmarkStart w:id="44" w:name="metodologia"/>
    <w:p>
      <w:pPr>
        <w:pStyle w:val="Heading1"/>
      </w:pPr>
      <w:r>
        <w:t xml:space="preserve">3. METODOLOGIA</w:t>
      </w:r>
    </w:p>
    <w:p>
      <w:pPr>
        <w:pStyle w:val="FirstParagraph"/>
      </w:pPr>
      <w:r>
        <w:t xml:space="preserve">A atividade proposta consiste na exploração de conceitos de frações e equivalência a partir das figuras rítmicas e fórmulas de compasso da música</w:t>
      </w:r>
      <w:r>
        <w:t xml:space="preserve"> </w:t>
      </w:r>
      <w:hyperlink r:id="rId43">
        <w:r>
          <w:rPr>
            <w:rStyle w:val="Hyperlink"/>
          </w:rPr>
          <w:t xml:space="preserve">Acorda Pedrinho de Jovem Dionisio</w:t>
        </w:r>
      </w:hyperlink>
      <w:r>
        <w:t xml:space="preserve">. Essa música foi escolhida por dois critérios. Primeiramente, como listado por</w:t>
      </w:r>
      <w:r>
        <w:t xml:space="preserve"> </w:t>
      </w:r>
      <w:r>
        <w:t xml:space="preserve">SOUTO (2010)</w:t>
      </w:r>
      <w:r>
        <w:t xml:space="preserve">, o tema deve ser algo conhecido dos alunos, e essa música alcançou grande popularidade entre as crianças brasileiras em plataformas de streaming entre 2022 e 2023. Em segundo lugar, a música possui uma melodia simples e muito marcada, quase rítmica, o que facilita a identificação das figuras rítmicas.</w:t>
      </w:r>
    </w:p>
    <w:p>
      <w:pPr>
        <w:pStyle w:val="BodyText"/>
      </w:pPr>
      <w:r>
        <w:t xml:space="preserve">A atividade é composta por</w:t>
      </w:r>
    </w:p>
    <w:bookmarkEnd w:id="44"/>
    <w:bookmarkStart w:id="45" w:name="conclusão"/>
    <w:p>
      <w:pPr>
        <w:pStyle w:val="Heading1"/>
      </w:pPr>
      <w:r>
        <w:t xml:space="preserve">4. CONCLUSÃO</w:t>
      </w:r>
    </w:p>
    <w:bookmarkEnd w:id="45"/>
    <w:bookmarkStart w:id="58" w:name="referências"/>
    <w:p>
      <w:pPr>
        <w:pStyle w:val="Heading1"/>
      </w:pPr>
      <w:r>
        <w:t xml:space="preserve">REFERÊNCIAS</w:t>
      </w:r>
    </w:p>
    <w:bookmarkStart w:id="57" w:name="refs"/>
    <w:bookmarkStart w:id="47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46">
        <w:r>
          <w:rPr>
            <w:rStyle w:val="Hyperlink"/>
          </w:rPr>
          <w:t xml:space="preserve">The Subservient, Co-Equal, Affective, and Social Integration Styles and their Implications for the 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1 jun. 1995.</w:t>
      </w:r>
    </w:p>
    <w:bookmarkEnd w:id="47"/>
    <w:bookmarkStart w:id="48" w:name="ref-frigotto_trabalho_2012"/>
    <w:p>
      <w:pPr>
        <w:pStyle w:val="Bibliography"/>
      </w:pPr>
      <w:r>
        <w:t xml:space="preserve">FRIGOTTO, G.; CIAVATTA, M. Trabalho como Princípio Educativo. Em:</w:t>
      </w:r>
      <w:r>
        <w:t xml:space="preserve"> </w:t>
      </w:r>
      <w:r>
        <w:rPr>
          <w:bCs/>
          <w:b/>
        </w:rPr>
        <w:t xml:space="preserve">Dicionário da Educação do Campo</w:t>
      </w:r>
      <w:r>
        <w:t xml:space="preserve">. [s.l.] Epsjv - Fiocruz, 2012. p. 750–757.</w:t>
      </w:r>
    </w:p>
    <w:bookmarkEnd w:id="48"/>
    <w:bookmarkStart w:id="50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49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21 jan. 2021.</w:t>
      </w:r>
    </w:p>
    <w:bookmarkEnd w:id="50"/>
    <w:bookmarkStart w:id="52" w:name="ref-maciel_educacao_2015"/>
    <w:p>
      <w:pPr>
        <w:pStyle w:val="Bibliography"/>
      </w:pPr>
      <w:r>
        <w:t xml:space="preserve">MACIEL, C. L. A.</w:t>
      </w:r>
      <w:r>
        <w:t xml:space="preserve"> </w:t>
      </w:r>
      <w:hyperlink r:id="rId51">
        <w:r>
          <w:rPr>
            <w:rStyle w:val="Hyperlink"/>
          </w:rPr>
          <w:t xml:space="preserve">EDUCAÇÃO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INTEGRAL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LIMITES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POSSIBILIDADES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HEGEMONIA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CAPITAL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Revista Contemporânea de Educação</w:t>
      </w:r>
      <w:r>
        <w:t xml:space="preserve">, v. 10, n. 20, p. 405 a 426–405 a 426, 17 dez. 2015.</w:t>
      </w:r>
    </w:p>
    <w:bookmarkEnd w:id="52"/>
    <w:bookmarkStart w:id="53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 Em Educação Matemática</w:t>
      </w:r>
      <w:r>
        <w:t xml:space="preserve">. [s.l.] Unisulvirtual, 2007.</w:t>
      </w:r>
    </w:p>
    <w:bookmarkEnd w:id="53"/>
    <w:bookmarkStart w:id="55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54">
        <w:r>
          <w:rPr>
            <w:rStyle w:val="Hyperlink"/>
          </w:rPr>
          <w:t xml:space="preserve">Arts Integration and the Success of Disadvantaged Students: A Research 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1 out. 2013.</w:t>
      </w:r>
    </w:p>
    <w:bookmarkEnd w:id="55"/>
    <w:bookmarkStart w:id="56" w:name="ref-souto_interdisciplinaridade_2010"/>
    <w:p>
      <w:pPr>
        <w:pStyle w:val="Bibliography"/>
      </w:pPr>
      <w:r>
        <w:t xml:space="preserve">SOUTO, D. L. P. Interdisciplinaridade e aprendizagem da Matemática em sala de aula, de Vanessa Sena Tomaz e Maria Manuela Martins Soares David.(Coleção Tendências em Educação Matemática)–Belo Horizonte: Autêntica,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 filosofia, a estética é uma área de conhecimento associada às artes e sensações. É a forma de conhecer o mundo através dos cinco sentidos.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46" Target="https://doi.org/10.1080/10632913.1995.9934564" TargetMode="External" /><Relationship Type="http://schemas.openxmlformats.org/officeDocument/2006/relationships/hyperlink" Id="rId54" Target="https://doi.org/10.1080/10632913.2013.826050" TargetMode="External" /><Relationship Type="http://schemas.openxmlformats.org/officeDocument/2006/relationships/hyperlink" Id="rId51" Target="https://doi.org/10.20500/rce.v10i20.2220" TargetMode="External" /><Relationship Type="http://schemas.openxmlformats.org/officeDocument/2006/relationships/hyperlink" Id="rId49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doi.org/10.1080/10632913.1995.9934564" TargetMode="External" /><Relationship Type="http://schemas.openxmlformats.org/officeDocument/2006/relationships/hyperlink" Id="rId54" Target="https://doi.org/10.1080/10632913.2013.826050" TargetMode="External" /><Relationship Type="http://schemas.openxmlformats.org/officeDocument/2006/relationships/hyperlink" Id="rId51" Target="https://doi.org/10.20500/rce.v10i20.2220" TargetMode="External" /><Relationship Type="http://schemas.openxmlformats.org/officeDocument/2006/relationships/hyperlink" Id="rId49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Enriquecendo o ensino de frações através da integração da matemática e música</dc:title>
  <dc:creator>Alberson Miranda</dc:creator>
  <dc:language>pt-BR</dc:language>
  <cp:keywords/>
  <dcterms:created xsi:type="dcterms:W3CDTF">2024-04-24T10:02:19Z</dcterms:created>
  <dcterms:modified xsi:type="dcterms:W3CDTF">2024-04-24T10:02:19Z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24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Índice</vt:lpwstr>
  </property>
  <property fmtid="{D5CDD505-2E9C-101B-9397-08002B2CF9AE}" pid="28" name="unroll-markdown-cells">
    <vt:lpwstr>True</vt:lpwstr>
  </property>
</Properties>
</file>