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Enriquecendo</w:t>
      </w:r>
      <w:r>
        <w:t xml:space="preserve"> </w:t>
      </w:r>
      <w:r>
        <w:t xml:space="preserve">o</w:t>
      </w:r>
      <w:r>
        <w:t xml:space="preserve"> </w:t>
      </w:r>
      <w:r>
        <w:t xml:space="preserve">ensino</w:t>
      </w:r>
      <w:r>
        <w:t xml:space="preserve"> </w:t>
      </w:r>
      <w:r>
        <w:t xml:space="preserve">de</w:t>
      </w:r>
      <w:r>
        <w:t xml:space="preserve"> </w:t>
      </w:r>
      <w:r>
        <w:t xml:space="preserve">frações</w:t>
      </w:r>
      <w:r>
        <w:t xml:space="preserve"> </w:t>
      </w:r>
      <w:r>
        <w:t xml:space="preserve">através</w:t>
      </w:r>
      <w:r>
        <w:t xml:space="preserve"> </w:t>
      </w:r>
      <w:r>
        <w:t xml:space="preserve">da</w:t>
      </w:r>
      <w:r>
        <w:t xml:space="preserve"> </w:t>
      </w:r>
      <w:r>
        <w:t xml:space="preserve">integração</w:t>
      </w:r>
      <w:r>
        <w:t xml:space="preserve"> </w:t>
      </w:r>
      <w:r>
        <w:t xml:space="preserve">da</w:t>
      </w:r>
      <w:r>
        <w:t xml:space="preserve"> </w:t>
      </w:r>
      <w:r>
        <w:t xml:space="preserve">matemática</w:t>
      </w:r>
      <w:r>
        <w:t xml:space="preserve"> </w:t>
      </w:r>
      <w:r>
        <w:t xml:space="preserve">e</w:t>
      </w:r>
      <w:r>
        <w:t xml:space="preserve"> </w:t>
      </w:r>
      <w:r>
        <w:t xml:space="preserve">música</w:t>
      </w:r>
    </w:p>
    <w:p>
      <w:pPr>
        <w:pStyle w:val="Author"/>
      </w:pPr>
      <w:r>
        <w:t xml:space="preserve">Alberson</w:t>
      </w:r>
      <w:r>
        <w:t xml:space="preserve"> </w:t>
      </w:r>
      <w:r>
        <w:t xml:space="preserve">Miranda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de</w:t>
      </w:r>
      <w:r>
        <w:t xml:space="preserve"> </w:t>
      </w:r>
      <w:r>
        <w:t xml:space="preserve">abril</w:t>
      </w:r>
      <w:r>
        <w:t xml:space="preserve"> </w:t>
      </w:r>
      <w:r>
        <w:t xml:space="preserve">de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Índice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ção"/>
    <w:p>
      <w:pPr>
        <w:pStyle w:val="Heading1"/>
      </w:pPr>
      <w:r>
        <w:t xml:space="preserve">1. INTRODUÇÃO</w:t>
      </w:r>
    </w:p>
    <w:p>
      <w:pPr>
        <w:pStyle w:val="FirstParagraph"/>
      </w:pPr>
      <w:r>
        <w:t xml:space="preserve">Música pode ser um instrumento poderoso nas mãoes do professor para promoção de interdisciplinaridade, não apenas porque ela está enraizada no imaginário de cada criança, que desde o berço escuta o canto da mãe ao ninar, mas também por ser uma forma de arte que envolve a matemática em sua estrutura.</w:t>
      </w:r>
    </w:p>
    <w:p>
      <w:pPr>
        <w:pStyle w:val="BodyText"/>
      </w:pPr>
      <w:r>
        <w:t xml:space="preserve">Neste trabalho, exploro os conceitos de interdisciplinaridade e integração com artes para enriquecer o ensino de frações. Para isso, apresento uma proposta de atividade que integra a matemática e a música, com o objetivo de promover a aprendizagem de frações de forma mais significativa e contextualizada.</w:t>
      </w:r>
    </w:p>
    <w:bookmarkEnd w:id="20"/>
    <w:bookmarkStart w:id="24" w:name="fundamentação-teórica"/>
    <w:p>
      <w:pPr>
        <w:pStyle w:val="Heading1"/>
      </w:pPr>
      <w:r>
        <w:t xml:space="preserve">2. FUNDAMENTAÇÃO TEÓRICA</w:t>
      </w:r>
    </w:p>
    <w:bookmarkStart w:id="22" w:name="X02368460e796a88e0096ff47a6807e3d4c0600d"/>
    <w:p>
      <w:pPr>
        <w:pStyle w:val="Heading2"/>
      </w:pPr>
      <w:r>
        <w:t xml:space="preserve">2.1 Interdisciplinaridade e integração com artes</w:t>
      </w:r>
    </w:p>
    <w:p>
      <w:pPr>
        <w:pStyle w:val="FirstParagraph"/>
      </w:pPr>
      <w:r>
        <w:t xml:space="preserve">As chamadas tendências em educação matemática são categorizações que buscam identificar e descrever as diferentes abordagens e perspectivas que norteiam a pesquisa e o ensino da matemática</w:t>
      </w:r>
      <w:r>
        <w:t xml:space="preserve"> </w:t>
      </w:r>
      <w:r>
        <w:t xml:space="preserve">(MELLO, 2007)</w:t>
      </w:r>
      <w:r>
        <w:t xml:space="preserve">. Nesse sentido, uma das tendências que surge a partir da busca de soluções para os problemas da Educação Matemática é a interdisciplinaridade.</w:t>
      </w:r>
    </w:p>
    <w:p>
      <w:pPr>
        <w:pStyle w:val="BodyText"/>
      </w:pPr>
      <w:r>
        <w:t xml:space="preserve">A interdisciplinaridade é uma abordagem que visa a integração de diferentes áreas do conhecimento, com o objetivo de promover uma aprendizagem mais significativa e contextualizada. Esse conceito envolve ao mesmo tempo teoria e ação, uma vez que exige mais a atuação do professor em sala de aula do que a simples união de duas ou mais disciplinas ou áreas do saber em atividades</w:t>
      </w:r>
      <w:r>
        <w:t xml:space="preserve"> </w:t>
      </w:r>
      <w:r>
        <w:t xml:space="preserve">(MELLO, 2007)</w:t>
      </w:r>
      <w:r>
        <w:t xml:space="preserve">.</w:t>
      </w:r>
    </w:p>
    <w:p>
      <w:pPr>
        <w:pStyle w:val="BodyText"/>
      </w:pPr>
      <w:r>
        <w:t xml:space="preserve">Essa interdisciplinaridade é alcançada a partir do rompimento com o isolamento e a fragmentação dos conteúdos, possibilitando a transferência de aprendizagem de uma situação para a outra e a construção de significado em cima desse aprendizado transferido</w:t>
      </w:r>
      <w:r>
        <w:t xml:space="preserve"> </w:t>
      </w:r>
      <w:r>
        <w:t xml:space="preserve">(SOUTO, 2010)</w:t>
      </w:r>
      <w:r>
        <w:t xml:space="preserve">. Para que isso seja possível,</w:t>
      </w:r>
      <w:r>
        <w:t xml:space="preserve"> </w:t>
      </w:r>
      <w:r>
        <w:t xml:space="preserve">SOUTO (2010)</w:t>
      </w:r>
      <w:r>
        <w:t xml:space="preserve"> </w:t>
      </w:r>
      <w:r>
        <w:t xml:space="preserve">lista algumas condições que a atividade deve atender, como:</w:t>
      </w:r>
    </w:p>
    <w:p>
      <w:pPr>
        <w:numPr>
          <w:ilvl w:val="0"/>
          <w:numId w:val="1001"/>
        </w:numPr>
        <w:pStyle w:val="Compact"/>
      </w:pPr>
      <w:r>
        <w:t xml:space="preserve">O tema deve ser algo conhecido dos alunos;</w:t>
      </w:r>
    </w:p>
    <w:p>
      <w:pPr>
        <w:numPr>
          <w:ilvl w:val="0"/>
          <w:numId w:val="1001"/>
        </w:numPr>
        <w:pStyle w:val="Compact"/>
      </w:pPr>
      <w:r>
        <w:t xml:space="preserve">Ser de discussão possível;</w:t>
      </w:r>
    </w:p>
    <w:p>
      <w:pPr>
        <w:numPr>
          <w:ilvl w:val="0"/>
          <w:numId w:val="1001"/>
        </w:numPr>
        <w:pStyle w:val="Compact"/>
      </w:pPr>
      <w:r>
        <w:t xml:space="preserve">Ter valor em si mesmo;</w:t>
      </w:r>
    </w:p>
    <w:p>
      <w:pPr>
        <w:numPr>
          <w:ilvl w:val="0"/>
          <w:numId w:val="1001"/>
        </w:numPr>
        <w:pStyle w:val="Compact"/>
      </w:pPr>
      <w:r>
        <w:t xml:space="preserve">Ser capaz de criar conceitos matemáticos;</w:t>
      </w:r>
    </w:p>
    <w:p>
      <w:pPr>
        <w:numPr>
          <w:ilvl w:val="0"/>
          <w:numId w:val="1001"/>
        </w:numPr>
        <w:pStyle w:val="Compact"/>
      </w:pPr>
      <w:r>
        <w:t xml:space="preserve">desenvolver habilidades matemáticas;</w:t>
      </w:r>
    </w:p>
    <w:p>
      <w:pPr>
        <w:numPr>
          <w:ilvl w:val="0"/>
          <w:numId w:val="1001"/>
        </w:numPr>
        <w:pStyle w:val="Compact"/>
      </w:pPr>
      <w:r>
        <w:t xml:space="preserve">e privilegiar a concretude social.</w:t>
      </w:r>
    </w:p>
    <w:p>
      <w:pPr>
        <w:pStyle w:val="FirstParagraph"/>
      </w:pPr>
      <w:r>
        <w:t xml:space="preserve">Nesse sentido, a integração com a arte é uma das formas de promover a interdisciplinaridade, uma vez que ela é uma forma de expressão humana que permeia o indivíduo em toda cultura e sociedade. De acordo com</w:t>
      </w:r>
      <w:r>
        <w:t xml:space="preserve"> </w:t>
      </w:r>
      <w:r>
        <w:t xml:space="preserve">ROBINSON (2013)</w:t>
      </w:r>
      <w:r>
        <w:t xml:space="preserve">, integração com artes pode ser definida a partir de três características que devem ser consideradas para que seja alcançada uma interdisciplinaridade de alta qualidade, são elas:</w:t>
      </w:r>
    </w:p>
    <w:p>
      <w:pPr>
        <w:numPr>
          <w:ilvl w:val="0"/>
          <w:numId w:val="1002"/>
        </w:numPr>
        <w:pStyle w:val="Compact"/>
      </w:pPr>
      <w:r>
        <w:t xml:space="preserve">Aprendizado</w:t>
      </w:r>
      <w:r>
        <w:t xml:space="preserve"> </w:t>
      </w:r>
      <w:r>
        <w:rPr>
          <w:iCs/>
          <w:i/>
        </w:rPr>
        <w:t xml:space="preserve">através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com</w:t>
      </w:r>
      <w:r>
        <w:t xml:space="preserve"> </w:t>
      </w:r>
      <w:r>
        <w:t xml:space="preserve">artes;</w:t>
      </w:r>
    </w:p>
    <w:p>
      <w:pPr>
        <w:numPr>
          <w:ilvl w:val="0"/>
          <w:numId w:val="1002"/>
        </w:numPr>
        <w:pStyle w:val="Compact"/>
      </w:pPr>
      <w:r>
        <w:t xml:space="preserve">Artes como processo de conexão curricular;</w:t>
      </w:r>
    </w:p>
    <w:p>
      <w:pPr>
        <w:numPr>
          <w:ilvl w:val="0"/>
          <w:numId w:val="1002"/>
        </w:numPr>
        <w:pStyle w:val="Compact"/>
      </w:pPr>
      <w:r>
        <w:t xml:space="preserve">Artes como engajamento colaborativo.</w:t>
      </w:r>
    </w:p>
    <w:p>
      <w:pPr>
        <w:pStyle w:val="FirstParagraph"/>
      </w:pPr>
      <w:r>
        <w:t xml:space="preserve">BRESLER (1995)</w:t>
      </w:r>
      <w:r>
        <w:t xml:space="preserve"> </w:t>
      </w:r>
      <w:r>
        <w:t xml:space="preserve">realizou um estudo etnográfico em três escolas K-8 nos Estados Unidos</w:t>
      </w:r>
      <w:r>
        <w:rPr>
          <w:rStyle w:val="FootnoteReference"/>
        </w:rPr>
        <w:footnoteReference w:id="21"/>
      </w:r>
      <w:r>
        <w:t xml:space="preserve">, incluindo observações de aulas; entrevistas com professores, diretores e artistas residentes; e revisão de materiais curriculares. A partir desse estudo, a autora definiu quarto abordagens de integração com a arte, sintetizadas por</w:t>
      </w:r>
      <w:r>
        <w:t xml:space="preserve"> </w:t>
      </w:r>
      <w:r>
        <w:t xml:space="preserve">ROBINSON (2013)</w:t>
      </w:r>
      <w:r>
        <w:t xml:space="preserve">, são elas: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subserviente</w:t>
      </w:r>
      <w:r>
        <w:t xml:space="preserve">: a arte é apenas um extra, usada para ilustrar ou reforçar conceitos de outras disciplinas;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afetiva</w:t>
      </w:r>
      <w:r>
        <w:t xml:space="preserve">: a integração se dá por meio da imersão e da consequente reação dos alunos à arte, como música e peças artísticas, complementando o currículo de outras disciplinas;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social</w:t>
      </w:r>
      <w:r>
        <w:t xml:space="preserve">: baseada em atividades, utilizando a arte para promover a interação entre os alunos e aumentar a participação parental, como em peças de teatro ou música em grupo;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co-igual cognitiva</w:t>
      </w:r>
      <w:r>
        <w:t xml:space="preserve">: a arte é integrada com outros aspectos do currículo e os alunos são exigidos a usar habilidades de pensamento de ordem superior e qualidades estéticas para obter um entendimento mais aprofundado de um conceito acadêmico específico;</w:t>
      </w:r>
    </w:p>
    <w:p>
      <w:pPr>
        <w:pStyle w:val="FirstParagraph"/>
      </w:pPr>
      <w:r>
        <w:t xml:space="preserve">As três primeiras abordagens utilizam a arte como uma ferramenta. Já a quarta abordagem, a integração co-igual cognitiva, é a mais exigente, demandando do professor não apenas o conhecimento, habilidade e confiança no seu conteúdo, mas também na forma de arte escolhida. Além disso, requer tempo para planejar e efetivamente preparar aulas que integrem a arte com o conteúdo acadêmico</w:t>
      </w:r>
      <w:r>
        <w:t xml:space="preserve"> </w:t>
      </w:r>
      <w:r>
        <w:t xml:space="preserve">(LOVEMORE; ROBERTSON; GRAVEN, 2021)</w:t>
      </w:r>
      <w:r>
        <w:t xml:space="preserve">.</w:t>
      </w:r>
    </w:p>
    <w:p>
      <w:pPr>
        <w:pStyle w:val="BodyText"/>
      </w:pPr>
      <w:r>
        <w:t xml:space="preserve">A essa altura, é importante destacar que a integração com a arte se localiza na esfera pedagógica (micro), estando associada mas não se confundindo com a educação omnilateral, que é um conceito melhor entendido na esfera macro. O objetivo da educação omnilateral é a formação integral do ser humano, que envolve o desenvolvimento de todas as suas potencialidades, incluindo a intelectual, a física, a artística, a moral e a ética. Esse objetivo é alcançado através do desenvolvimento de</w:t>
      </w:r>
      <w:r>
        <w:t xml:space="preserve"> </w:t>
      </w:r>
      <w:r>
        <w:t xml:space="preserve">“</w:t>
      </w:r>
      <w:r>
        <w:t xml:space="preserve">processos pedagógicos que garantam, ao final do processo educativo, o acesso efetivamente democrático ao conhecimento na sua mais elevada universalidade</w:t>
      </w:r>
      <w:r>
        <w:t xml:space="preserve">”</w:t>
      </w:r>
      <w:r>
        <w:t xml:space="preserve">, que se dão em oposição ao tipo de educação presente no seio das sociedades capitalistas</w:t>
      </w:r>
      <w:r>
        <w:t xml:space="preserve"> </w:t>
      </w:r>
      <w:r>
        <w:t xml:space="preserve">(MACIEL, 2015; apud FRIGOTTO; CIAVATTA, 2012)</w:t>
      </w:r>
      <w:r>
        <w:t xml:space="preserve">.</w:t>
      </w:r>
    </w:p>
    <w:bookmarkEnd w:id="22"/>
    <w:bookmarkStart w:id="23" w:name="Xa879ff81c0da0ec5bca35cb06de6d1d76aabe4d"/>
    <w:p>
      <w:pPr>
        <w:pStyle w:val="Heading2"/>
      </w:pPr>
      <w:r>
        <w:t xml:space="preserve">2.2 Frações de compasso e valores de notas musicais</w:t>
      </w:r>
    </w:p>
    <w:p>
      <w:pPr>
        <w:pStyle w:val="FirstParagraph"/>
      </w:pPr>
      <w:r>
        <w:t xml:space="preserve">Qualquer aluno que tenha escolhido música esperando não encontrar matemática ficará profundamente desapontado. Na maior parte dos livros e apostilas de teoria musical geral, logo no capítulo 1, o aluno será introduzido aos conceitos de figuras rítmicas e fórmulas de compasso.</w:t>
      </w:r>
    </w:p>
    <w:bookmarkEnd w:id="23"/>
    <w:bookmarkEnd w:id="24"/>
    <w:bookmarkStart w:id="37" w:name="referências"/>
    <w:p>
      <w:pPr>
        <w:pStyle w:val="Heading1"/>
      </w:pPr>
      <w:r>
        <w:t xml:space="preserve">REFERÊNCIAS</w:t>
      </w:r>
    </w:p>
    <w:bookmarkStart w:id="36" w:name="refs"/>
    <w:bookmarkStart w:id="26" w:name="ref-bresler_subservient_1995"/>
    <w:p>
      <w:pPr>
        <w:pStyle w:val="Bibliography"/>
      </w:pPr>
      <w:r>
        <w:t xml:space="preserve">BRESLER, L.</w:t>
      </w:r>
      <w:r>
        <w:t xml:space="preserve"> </w:t>
      </w:r>
      <w:hyperlink r:id="rId25">
        <w:r>
          <w:rPr>
            <w:rStyle w:val="Hyperlink"/>
          </w:rPr>
          <w:t xml:space="preserve">The Subservient, Co-Equal, Affective, and Social Integration Styles and their Implications for the Arts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Arts Education Policy Review</w:t>
      </w:r>
      <w:r>
        <w:t xml:space="preserve">, v. 96, n. 5, p. 31–37, 1 jun. 1995.</w:t>
      </w:r>
    </w:p>
    <w:bookmarkEnd w:id="26"/>
    <w:bookmarkStart w:id="27" w:name="ref-frigotto_trabalho_2012"/>
    <w:p>
      <w:pPr>
        <w:pStyle w:val="Bibliography"/>
      </w:pPr>
      <w:r>
        <w:t xml:space="preserve">FRIGOTTO, G.; CIAVATTA, M. Trabalho como Princípio Educativo. Em:</w:t>
      </w:r>
      <w:r>
        <w:t xml:space="preserve"> </w:t>
      </w:r>
      <w:r>
        <w:rPr>
          <w:bCs/>
          <w:b/>
        </w:rPr>
        <w:t xml:space="preserve">Dicionário da Educação do Campo</w:t>
      </w:r>
      <w:r>
        <w:t xml:space="preserve">. [s.l.] Epsjv - Fiocruz, 2012. p. 750–757.</w:t>
      </w:r>
    </w:p>
    <w:bookmarkEnd w:id="27"/>
    <w:bookmarkStart w:id="29" w:name="ref-lovemore_enriching_2021"/>
    <w:p>
      <w:pPr>
        <w:pStyle w:val="Bibliography"/>
      </w:pPr>
      <w:r>
        <w:t xml:space="preserve">LOVEMORE, T.; ROBERTSON, S.-A.; GRAVEN, M.</w:t>
      </w:r>
      <w:r>
        <w:t xml:space="preserve"> </w:t>
      </w:r>
      <w:hyperlink r:id="rId28">
        <w:r>
          <w:rPr>
            <w:rStyle w:val="Hyperlink"/>
          </w:rPr>
          <w:t xml:space="preserve">Enriching the teaching of fractions through integrating mathematics and music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South African Journal of Childhood Education</w:t>
      </w:r>
      <w:r>
        <w:t xml:space="preserve">, v. 11, 21 jan. 2021.</w:t>
      </w:r>
    </w:p>
    <w:bookmarkEnd w:id="29"/>
    <w:bookmarkStart w:id="31" w:name="ref-maciel_educacao_2015"/>
    <w:p>
      <w:pPr>
        <w:pStyle w:val="Bibliography"/>
      </w:pPr>
      <w:r>
        <w:t xml:space="preserve">MACIEL, C. L. A.</w:t>
      </w:r>
      <w:r>
        <w:t xml:space="preserve"> </w:t>
      </w:r>
      <w:hyperlink r:id="rId30">
        <w:r>
          <w:rPr>
            <w:rStyle w:val="Hyperlink"/>
          </w:rPr>
          <w:t xml:space="preserve">EDUCAÇÃO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INTEGRAL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LIMITES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POSSIBILIDADES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HEGEMONIA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CAPITAL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Revista Contemporânea de Educação</w:t>
      </w:r>
      <w:r>
        <w:t xml:space="preserve">, v. 10, n. 20, p. 405 a 426–405 a 426, 17 dez. 2015.</w:t>
      </w:r>
    </w:p>
    <w:bookmarkEnd w:id="31"/>
    <w:bookmarkStart w:id="32" w:name="ref-mello_tendencias_2007"/>
    <w:p>
      <w:pPr>
        <w:pStyle w:val="Bibliography"/>
      </w:pPr>
      <w:r>
        <w:t xml:space="preserve">MELLO, A. C. C. D.</w:t>
      </w:r>
      <w:r>
        <w:t xml:space="preserve"> </w:t>
      </w:r>
      <w:r>
        <w:rPr>
          <w:bCs/>
          <w:b/>
        </w:rPr>
        <w:t xml:space="preserve">Tendências Em Educação Matemática</w:t>
      </w:r>
      <w:r>
        <w:t xml:space="preserve">. [s.l.] Unisulvirtual, 2007.</w:t>
      </w:r>
    </w:p>
    <w:bookmarkEnd w:id="32"/>
    <w:bookmarkStart w:id="34" w:name="ref-robinson_arts_2013"/>
    <w:p>
      <w:pPr>
        <w:pStyle w:val="Bibliography"/>
      </w:pPr>
      <w:r>
        <w:t xml:space="preserve">ROBINSON, A. H.</w:t>
      </w:r>
      <w:r>
        <w:t xml:space="preserve"> </w:t>
      </w:r>
      <w:hyperlink r:id="rId33">
        <w:r>
          <w:rPr>
            <w:rStyle w:val="Hyperlink"/>
          </w:rPr>
          <w:t xml:space="preserve">Arts Integration and the Success of Disadvantaged Students: A Research Evaluation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Arts Education Policy Review</w:t>
      </w:r>
      <w:r>
        <w:t xml:space="preserve">, v. 114, n. 4, p. 191–204, 1 out. 2013.</w:t>
      </w:r>
    </w:p>
    <w:bookmarkEnd w:id="34"/>
    <w:bookmarkStart w:id="35" w:name="ref-souto_interdisciplinaridade_2010"/>
    <w:p>
      <w:pPr>
        <w:pStyle w:val="Bibliography"/>
      </w:pPr>
      <w:r>
        <w:t xml:space="preserve">SOUTO, D. L. P. Interdisciplinaridade e aprendizagem da Matemática em sala de aula, de Vanessa Sena Tomaz e Maria Manuela Martins Soares David.(Coleção Tendências em Educação Matemática)–Belo Horizonte: Autêntica, 2008.</w:t>
      </w:r>
      <w:r>
        <w:t xml:space="preserve"> </w:t>
      </w:r>
      <w:r>
        <w:rPr>
          <w:bCs/>
          <w:b/>
        </w:rPr>
        <w:t xml:space="preserve">Bolema-Boletim de Educação Matemática</w:t>
      </w:r>
      <w:r>
        <w:t xml:space="preserve">, v. 23, n. 36, p. 801–808, 2010.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K-8 é uma abreviação para</w:t>
      </w:r>
      <w:r>
        <w:t xml:space="preserve"> </w:t>
      </w:r>
      <w:r>
        <w:rPr>
          <w:iCs/>
          <w:i/>
        </w:rPr>
        <w:t xml:space="preserve">kindergarten</w:t>
      </w:r>
      <w:r>
        <w:t xml:space="preserve"> </w:t>
      </w:r>
      <w:r>
        <w:t xml:space="preserve">(pré-escola) até o 8º ano do ensino fundamental.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oi.org/10.1080/10632913.1995.9934564" TargetMode="External" /><Relationship Type="http://schemas.openxmlformats.org/officeDocument/2006/relationships/hyperlink" Id="rId33" Target="https://doi.org/10.1080/10632913.2013.826050" TargetMode="External" /><Relationship Type="http://schemas.openxmlformats.org/officeDocument/2006/relationships/hyperlink" Id="rId30" Target="https://doi.org/10.20500/rce.v10i20.2220" TargetMode="External" /><Relationship Type="http://schemas.openxmlformats.org/officeDocument/2006/relationships/hyperlink" Id="rId28" Target="https://doi.org/10.4102/sajce.v11i1.89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i.org/10.1080/10632913.1995.9934564" TargetMode="External" /><Relationship Type="http://schemas.openxmlformats.org/officeDocument/2006/relationships/hyperlink" Id="rId33" Target="https://doi.org/10.1080/10632913.2013.826050" TargetMode="External" /><Relationship Type="http://schemas.openxmlformats.org/officeDocument/2006/relationships/hyperlink" Id="rId30" Target="https://doi.org/10.20500/rce.v10i20.2220" TargetMode="External" /><Relationship Type="http://schemas.openxmlformats.org/officeDocument/2006/relationships/hyperlink" Id="rId28" Target="https://doi.org/10.4102/sajce.v11i1.89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Enriquecendo o ensino de frações através da integração da matemática e música</dc:title>
  <dc:creator>Alberson Miranda</dc:creator>
  <dc:language>pt-BR</dc:language>
  <cp:keywords/>
  <dcterms:created xsi:type="dcterms:W3CDTF">2024-04-22T21:11:13Z</dcterms:created>
  <dcterms:modified xsi:type="dcterms:W3CDTF">2024-04-22T21:11:13Z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config/teem.bib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csl">
    <vt:lpwstr>config/associacao-brasileira-de-normas-tecnicas.csl</vt:lpwstr>
  </property>
  <property fmtid="{D5CDD505-2E9C-101B-9397-08002B2CF9AE}" pid="10" name="date">
    <vt:lpwstr>22 de abril de 2024</vt:lpwstr>
  </property>
  <property fmtid="{D5CDD505-2E9C-101B-9397-08002B2CF9AE}" pid="11" name="date-format">
    <vt:lpwstr>long</vt:lpwstr>
  </property>
  <property fmtid="{D5CDD505-2E9C-101B-9397-08002B2CF9AE}" pid="12" name="editor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anks">
    <vt:lpwstr>Trabalho desenvolvido para a disciplina de Tópicos Especiais em Educação Matemática, ministrada pela professora Débora Domingues, no curso de Licenciatura em Matemática do Instituto Federal do Espírito Santo.</vt:lpwstr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Índice</vt:lpwstr>
  </property>
  <property fmtid="{D5CDD505-2E9C-101B-9397-08002B2CF9AE}" pid="28" name="unroll-markdown-cells">
    <vt:lpwstr>True</vt:lpwstr>
  </property>
</Properties>
</file>