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[Escrever intro]</w:t>
      </w:r>
    </w:p>
    <w:bookmarkEnd w:id="20"/>
    <w:bookmarkStart w:id="23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</w:t>
      </w:r>
    </w:p>
    <w:bookmarkStart w:id="22" w:name="refs"/>
    <w:bookmarkStart w:id="21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/>
  <dc:language>pt-BR</dc:language>
  <cp:keywords/>
  <dcterms:created xsi:type="dcterms:W3CDTF">2024-04-21T04:12:26Z</dcterms:created>
  <dcterms:modified xsi:type="dcterms:W3CDTF">2024-04-21T04:12:26Z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21 de abril de 2024</vt:lpwstr>
  </property>
  <property fmtid="{D5CDD505-2E9C-101B-9397-08002B2CF9AE}" pid="11" name="date-format">
    <vt:lpwstr>long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Índice</vt:lpwstr>
  </property>
  <property fmtid="{D5CDD505-2E9C-101B-9397-08002B2CF9AE}" pid="26" name="unroll-markdown-cells">
    <vt:lpwstr>True</vt:lpwstr>
  </property>
</Properties>
</file>