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sz w:val="40"/>
          <w:szCs w:val="40"/>
        </w:rPr>
        <w:t xml:space="preserve">Detecting Fabricated Chat and Bank-Statement Screenshots</w:t>
      </w:r>
    </w:p>
    <w:p>
      <w:pPr>
        <w:spacing w:after="500"/>
        <w:jc w:val="center"/>
      </w:pPr>
      <w:r>
        <w:rPr>
          <w:rFonts w:ascii="Calibri" w:cs="Calibri" w:eastAsia="Calibri" w:hAnsi="Calibri"/>
          <w:color w:val="444444"/>
          <w:sz w:val="28"/>
          <w:szCs w:val="28"/>
        </w:rPr>
        <w:t xml:space="preserve">System Design, Literature Review, and Evaluation</w:t>
      </w:r>
    </w:p>
    <w:p>
      <w:pPr>
        <w:spacing w:after="100"/>
        <w:jc w:val="center"/>
      </w:pPr>
      <w:r>
        <w:rPr>
          <w:rFonts w:ascii="Calibri" w:cs="Calibri" w:eastAsia="Calibri" w:hAnsi="Calibri"/>
          <w:i/>
          <w:iCs/>
          <w:sz w:val="22"/>
          <w:szCs w:val="22"/>
        </w:rPr>
        <w:t xml:space="preserve">Screenshot Forensics Project — Technical Report</w:t>
      </w:r>
    </w:p>
    <w:p>
      <w:pPr>
        <w:spacing w:after="1200"/>
        <w:jc w:val="center"/>
      </w:pPr>
      <w:r>
        <w:rPr>
          <w:rFonts w:ascii="Calibri" w:cs="Calibri" w:eastAsia="Calibri" w:hAnsi="Calibri"/>
          <w:sz w:val="22"/>
          <w:szCs w:val="22"/>
        </w:rPr>
        <w:t xml:space="preserve">July 2026</w:t>
      </w:r>
    </w:p>
    <w:p>
      <w:pPr>
        <w:pBdr>
          <w:top w:val="single" w:color="999999" w:sz="6"/>
          <w:bottom w:val="single" w:color="999999" w:sz="6"/>
        </w:pBdr>
        <w:spacing w:after="200" w:before="200"/>
        <w:jc w:val="center"/>
      </w:pPr>
      <w:r>
        <w:rPr>
          <w:rFonts w:ascii="Calibri" w:cs="Calibri" w:eastAsia="Calibri" w:hAnsi="Calibri"/>
          <w:b/>
          <w:bCs/>
          <w:sz w:val="22"/>
          <w:szCs w:val="22"/>
        </w:rPr>
        <w:t xml:space="preserve">Abstract</w:t>
      </w:r>
    </w:p>
    <w:p>
      <w:pPr>
        <w:spacing w:after="160" w:line="276"/>
      </w:pPr>
      <w:r>
        <w:rPr>
          <w:rFonts w:ascii="Calibri" w:cs="Calibri" w:eastAsia="Calibri" w:hAnsi="Calibri"/>
          <w:i/>
          <w:iCs/>
          <w:sz w:val="22"/>
          <w:szCs w:val="22"/>
        </w:rPr>
        <w:t xml:space="preserve">Screenshots of chat conversations and bank statements are widely accepted as informal proof of payment, identity, or communication — and are correspondingly widely forged, from retail “fake payment screenshot” scams to fabricated bank statements used in loan or tenancy fraud. This report describes the design, literature grounding, and evaluation of a multi-cue forensic pipeline purpose-built for this document class. The system combines five classical pixel-level forensic cues (Error Level Analysis, JPEG Ghost double-compression analysis, JPEG quantization-table inspection, block-wise noise consistency, and offset-vector-voting copy-move detection), EXIF/metadata inspection, and a novel OCR-based document-text cue that detects fake-document-generator watermarks and placeholder data invisible to pixel analysis. Cue scores are combined by a RandomForest classifier trained on a real, publicly available labeled forgery dataset, with a high-confidence override layer that prevents a single conclusive signal from being diluted by noisier cues. Calibration against both a synthetic corpus and the real dataset shows the classical pixel-level cues (ELA, JPEG Ghost, noise analysis) generalize poorly from the photographic and scanned-document content they were validated on in the literature to flat, vector-rendered UI screenshots — while metadata and document-text analysis remain reliable. A documented real-world case — a fake bank statement that scored ‘Likely Authentic’ on pixel evidence alone — motivates and validates the override architecture. We review 23 papers spanning classical passive image forensics, copy-move and splicing detection, deep-learning manipulation detection, and document/identity-document forgery detection, and identify a clear gap: no academic literature or public dataset specifically targets chat/bank-statement screenshot forgery as a content class distinct from photographed or scanned documents.</w:t>
      </w:r>
    </w:p>
    <w:p>
      <w:r>
        <w:br w:type="page"/>
      </w:r>
    </w:p>
    <w:p>
      <w:pPr>
        <w:pStyle w:val="Heading1"/>
        <w:spacing w:after="160" w:before="360"/>
      </w:pPr>
      <w:r>
        <w:rPr>
          <w:rFonts w:ascii="Calibri" w:cs="Calibri" w:eastAsia="Calibri" w:hAnsi="Calibri"/>
        </w:rPr>
        <w:t xml:space="preserve">1. Introduction</w:t>
      </w:r>
    </w:p>
    <w:p>
      <w:pPr>
        <w:spacing w:after="160" w:line="276"/>
      </w:pPr>
      <w:r>
        <w:rPr>
          <w:rFonts w:ascii="Calibri" w:cs="Calibri" w:eastAsia="Calibri" w:hAnsi="Calibri"/>
          <w:sz w:val="22"/>
          <w:szCs w:val="22"/>
        </w:rPr>
        <w:t xml:space="preserve">Digital screenshots occupy an unusual evidentiary position: they are trivially easy to fabricate, yet routinely accepted at face value in disputes, marketplace transactions, and even informal loan or tenancy verification. Two document classes account for the overwhelming majority of this misuse: chat-application screenshots (used to fake proof of payment, e.g. “UPI” or peer-to-peer transfer confirmations) and bank-statement screenshots or exports (used to fake proof of funds or income). Industry reporting on “fake payment screenshot” scams describes purpose-built generator tools that reproduce a target payment app's fonts, logos, and layout closely enough that manual visual inspection fails, and documents cases where victims released goods or services against a screenshot alone before any funds actually settled.</w:t>
      </w:r>
    </w:p>
    <w:p>
      <w:pPr>
        <w:spacing w:after="160" w:line="276"/>
      </w:pPr>
      <w:r>
        <w:rPr>
          <w:rFonts w:ascii="Calibri" w:cs="Calibri" w:eastAsia="Calibri" w:hAnsi="Calibri"/>
          <w:sz w:val="22"/>
          <w:szCs w:val="22"/>
        </w:rPr>
        <w:t xml:space="preserve">This is, in forensic terms, a passive (blind) image authentication problem: the verifier has only the image itself, with no reference original, no digital signature, and — critically for this content class — no camera sensor to fingerprint, since the “photo” is a rendered UI screenshot rather than an optical capture. Decades of work in digital image forensics address adjacent versions of this problem for photographs (splicing, copy-move, resampling) and, more recently, for scanned or photographed physical documents (receipts, ID cards, passports). Section 2 reviews this literature in depth. As Section 2.7 makes explicit, however, none of it directly targets screenshots of software UI as a content class, and this gap has concrete consequences: several classical cues that are well-validated on photographic or scanned content turn out to be measurably weaker on flat, vector-rendered UI, a finding this report documents empirically rather than merely asserting.</w:t>
      </w:r>
    </w:p>
    <w:p>
      <w:pPr>
        <w:spacing w:after="160" w:line="276"/>
      </w:pPr>
      <w:r>
        <w:rPr>
          <w:rFonts w:ascii="Calibri" w:cs="Calibri" w:eastAsia="Calibri" w:hAnsi="Calibri"/>
          <w:sz w:val="22"/>
          <w:szCs w:val="22"/>
        </w:rPr>
        <w:t xml:space="preserve">This report presents a working system built to address that gap, and is organized as follows. Section 2 reviews 23 papers across five subfields — JPEG/compression forensics, copy-move detection, splicing and sensor-noise forensics, deep-learning manipulation detection, and document/identity-document forgery detection — and identifies where each does and does not transfer to screenshots. Section 3 describes the system's architecture: seven forensic cues, a trained classifier, and a high-confidence override mechanism. Section 4 describes the two datasets used to build and calibrate it — a self-generated synthetic corpus and a real, labeled receipt-forgery dataset. Section 5 reports measured precision/recall/F1 results, including a real-world case study of a detection failure and its fix. Section 6 discusses limitations honestly, and Section 7 concludes with directions for future work.</w:t>
      </w:r>
    </w:p>
    <w:p>
      <w:pPr>
        <w:pStyle w:val="Heading1"/>
        <w:spacing w:after="160" w:before="360"/>
      </w:pPr>
      <w:r>
        <w:rPr>
          <w:rFonts w:ascii="Calibri" w:cs="Calibri" w:eastAsia="Calibri" w:hAnsi="Calibri"/>
        </w:rPr>
        <w:t xml:space="preserve">2. Related Work</w:t>
      </w:r>
    </w:p>
    <w:p>
      <w:pPr>
        <w:spacing w:after="160" w:line="276"/>
      </w:pPr>
      <w:r>
        <w:rPr>
          <w:rFonts w:ascii="Calibri" w:cs="Calibri" w:eastAsia="Calibri" w:hAnsi="Calibri"/>
          <w:sz w:val="22"/>
          <w:szCs w:val="22"/>
        </w:rPr>
        <w:t xml:space="preserve">This section reviews prior work across the subfields this project draws on, organized by technique family. Within each subsection we note not only what each paper contributes but, where relevant, how well its assumptions transfer to the screenshot-forensics setting — since several of the negative results in Section 5 trace directly to assumptions (photographic sensor noise, natural-image statistics, an optical capture pipeline) that do not hold for a digitally rendered UI.</w:t>
      </w:r>
    </w:p>
    <w:p>
      <w:pPr>
        <w:pStyle w:val="Heading2"/>
        <w:spacing w:after="120" w:before="260"/>
      </w:pPr>
      <w:r>
        <w:rPr>
          <w:rFonts w:ascii="Calibri" w:cs="Calibri" w:eastAsia="Calibri" w:hAnsi="Calibri"/>
        </w:rPr>
        <w:t xml:space="preserve">2.1 Classical JPEG and Compression-History Forensics</w:t>
      </w:r>
    </w:p>
    <w:p>
      <w:pPr>
        <w:spacing w:after="160" w:line="276"/>
      </w:pPr>
      <w:r>
        <w:rPr>
          <w:rFonts w:ascii="Calibri" w:cs="Calibri" w:eastAsia="Calibri" w:hAnsi="Calibri"/>
          <w:sz w:val="22"/>
          <w:szCs w:val="22"/>
        </w:rPr>
        <w:t xml:space="preserve">The foundational insight exploited throughout this subfield is that JPEG compression is lossy and content-dependent, so a region that has been edited and re-saved carries a different compression history than the untouched remainder of the image, and that difference is measurable even after the edit is visually seamless. Farid [1] formalized this as “JPEG Ghosts”: recompressing an image at a range of candidate qualities and looking for a region whose recompression error is minimized at a different quality than the rest of the frame reveals a splice compressed at a different generation. Lin et al. [11] instead analyze the block-wise histogram of DCT coefficients directly, since a doubly JPEG-compressed region produces a distinctive periodic artifact in that histogram that a single compression does not, and use this to flag tampered regions automatically without needing a recompression sweep. Bianchi and Piva contributed two closely related detectors: a block-grained likelihood map for aligned and non-aligned double JPEG compression [9], and a companion method based on integer periodicity maps specifically for the non-aligned case [10], which arises when a pasted region's block grid does not line up with the host image's original 8×8 grid — the common case for a manually positioned splice.</w:t>
      </w:r>
    </w:p>
    <w:p>
      <w:pPr>
        <w:spacing w:after="160" w:line="276"/>
      </w:pPr>
      <w:r>
        <w:rPr>
          <w:rFonts w:ascii="Calibri" w:cs="Calibri" w:eastAsia="Calibri" w:hAnsi="Calibri"/>
          <w:sz w:val="22"/>
          <w:szCs w:val="22"/>
        </w:rPr>
        <w:t xml:space="preserve">All four methods share an assumption this project's Section 5 results complicate: they were validated on natural photographs or scanned documents, where legitimate content is spatially smooth enough that compression artifacts concentrate visibly at edited edges. A bank-statement screenshot is instead dense with sharp, high-contrast text and hairline table borders throughout — content that itself produces strong, spatially widespread JPEG blocking artifacts unrelated to any edit. Section 5.1 and Section 6 report that this content mismatch, not an implementation defect, is the primary reason our JPEG-Ghost and Error-Level-Analysis cues (Section 3.2–3.3, directly implementing the Farid and Bianchi/Piva line of work) under-perform relative to the same techniques' reported accuracy on photographic benchmarks.</w:t>
      </w:r>
    </w:p>
    <w:p>
      <w:pPr>
        <w:pStyle w:val="Heading2"/>
        <w:spacing w:after="120" w:before="260"/>
      </w:pPr>
      <w:r>
        <w:rPr>
          <w:rFonts w:ascii="Calibri" w:cs="Calibri" w:eastAsia="Calibri" w:hAnsi="Calibri"/>
        </w:rPr>
        <w:t xml:space="preserve">2.2 Copy-Move Forgery Detection</w:t>
      </w:r>
    </w:p>
    <w:p>
      <w:pPr>
        <w:spacing w:after="160" w:line="276"/>
      </w:pPr>
      <w:r>
        <w:rPr>
          <w:rFonts w:ascii="Calibri" w:cs="Calibri" w:eastAsia="Calibri" w:hAnsi="Calibri"/>
          <w:sz w:val="22"/>
          <w:szCs w:val="22"/>
        </w:rPr>
        <w:t xml:space="preserve">Copy-move — duplicating a region within the same image, e.g. cloning a background patch over an unwanted object, or in our threat model, duplicating a transaction row to insert a fabricated one — is one of the best-studied forgery types because the duplicated content is pixel-identical (or near-identical) to itself, unlike splicing from an external source. Fridrich et al. [2] proposed the original block-matching formulation: divide the image into overlapping blocks, represent each with quantized DCT coefficients, and flag blocks whose representations match at a spatial offset large enough to rule out coincidental neighboring-block similarity. Popescu and Farid [3] refined the block representation using PCA to reduce dimensionality and improve robustness to minor noise or compression differences between the original and pasted copy. Huang et al. [4] moved to keypoint-based matching with SIFT features and best-bin-first search, trading some sensitivity to small or smooth regions for strong robustness to rotation and rescaling of the pasted patch. Christlein et al. [5] later benchmarked fifteen prominent feature sets (block-based and keypoint-based) under a common evaluation pipeline and found SIFT/SURF keypoint methods and several block transforms (DCT, DWT, PCA, Zernike moments) most robust overall, while cautioning that no single method dominates across all post-processing scenarios — a finding consistent with this project's own decision (Section 3.6) to combine block-hashing with an explicit geometric-consistency check rather than rely on raw block matching alone.</w:t>
      </w:r>
    </w:p>
    <w:p>
      <w:pPr>
        <w:spacing w:after="160" w:line="276"/>
      </w:pPr>
      <w:r>
        <w:rPr>
          <w:rFonts w:ascii="Calibri" w:cs="Calibri" w:eastAsia="Calibri" w:hAnsi="Calibri"/>
          <w:sz w:val="22"/>
          <w:szCs w:val="22"/>
        </w:rPr>
        <w:t xml:space="preserve">Wu et al.'s BusterNet [6] represents the deep-learning-era approach: a two-branch, end-to-end trainable network with one branch localizing manipulation via visual artifacts and a second, dedicated branch localizing copy-move regions via learned visual similarity, fused to also distinguish source from target region — a capability none of the classical methods above provide. We did not adopt a learned copy-move detector for this project; Section 3.6 and Section 6 explain why (principally, the absence of any labeled screenshot copy-move data to train or validate one against) and describe instead a classical offset-vector-voting detector in the Fridrich/Popescu lineage, extended with a compactness gate motivated directly by a failure mode this project discovered empirically: periodic decorative UI elements (repeated icons, evenly spaced list dividers) produce coincidental block matches that a raw match count cannot distinguish from a genuine rigid copy-paste.</w:t>
      </w:r>
    </w:p>
    <w:p>
      <w:pPr>
        <w:pStyle w:val="Heading2"/>
        <w:spacing w:after="120" w:before="260"/>
      </w:pPr>
      <w:r>
        <w:rPr>
          <w:rFonts w:ascii="Calibri" w:cs="Calibri" w:eastAsia="Calibri" w:hAnsi="Calibri"/>
        </w:rPr>
        <w:t xml:space="preserve">2.3 Splicing Detection and Sensor/Noise-Based Forensics</w:t>
      </w:r>
    </w:p>
    <w:p>
      <w:pPr>
        <w:spacing w:after="160" w:line="276"/>
      </w:pPr>
      <w:r>
        <w:rPr>
          <w:rFonts w:ascii="Calibri" w:cs="Calibri" w:eastAsia="Calibri" w:hAnsi="Calibri"/>
          <w:sz w:val="22"/>
          <w:szCs w:val="22"/>
        </w:rPr>
        <w:t xml:space="preserve">Ng and Chang's Columbia dataset [13] — 183 authentic images and a matched set of Photoshop-spliced composites with no further post-processing — was among the first public benchmarks built specifically for splicing detection and remains a standard reference point for evaluating whether a detector generalizes beyond copy-move to true multi-source composites. Lyu, Pan, and Zhang [14] address splicing detection directly by exploiting the fact that image regions from different physical sources (different cameras, different lighting, different prior compression) typically carry different noise levels; their method estimates local noise via the kurtosis of band-pass-filtered patches with a closed-form optimization, then clusters regions by estimated noise level to isolate a spliced region without needing any reference image. Lukas, Fridrich, and Goljan [8] instead exploit a stable, per-device signal — Photo Response Non-Uniformity (PRNU), a fixed noise pattern imprinted by every camera's specific sensor — to attribute an image to its source camera or flag a region whose PRNU does not match the rest of the frame as spliced-in from elsewhere.</w:t>
      </w:r>
    </w:p>
    <w:p>
      <w:pPr>
        <w:spacing w:after="160" w:line="276"/>
      </w:pPr>
      <w:r>
        <w:rPr>
          <w:rFonts w:ascii="Calibri" w:cs="Calibri" w:eastAsia="Calibri" w:hAnsi="Calibri"/>
          <w:sz w:val="22"/>
          <w:szCs w:val="22"/>
        </w:rPr>
        <w:t xml:space="preserve">This subfield illustrates a structural limitation for the present project rather than a soft calibration issue: PRNU forensics is inapplicable to screenshots outright, since a UI screenshot has no optical sensor and therefore no PRNU signal to compare — it is a rendering, not a photograph. Our block-wise noise-consistency cue (Section 3.5) targets the same underlying idea as Lyu et al. [14] (locally inconsistent noise indicates a spliced-in region of different origin) but must instead operate on whatever low-level rendering/compression noise a screenshot happens to carry, which is a far weaker and noisier signal than either PRNU or natural-image sensor noise — again a content-domain mismatch, not an algorithmic bug, and part of why this cue is weighted lightly in the final classifier (Section 3.9).</w:t>
      </w:r>
    </w:p>
    <w:p>
      <w:pPr>
        <w:pStyle w:val="Heading2"/>
        <w:spacing w:after="120" w:before="260"/>
      </w:pPr>
      <w:r>
        <w:rPr>
          <w:rFonts w:ascii="Calibri" w:cs="Calibri" w:eastAsia="Calibri" w:hAnsi="Calibri"/>
        </w:rPr>
        <w:t xml:space="preserve">2.4 Deep-Learning-Era Manipulation Detection and Benchmark Datasets</w:t>
      </w:r>
    </w:p>
    <w:p>
      <w:pPr>
        <w:spacing w:after="160" w:line="276"/>
      </w:pPr>
      <w:r>
        <w:rPr>
          <w:rFonts w:ascii="Calibri" w:cs="Calibri" w:eastAsia="Calibri" w:hAnsi="Calibri"/>
          <w:sz w:val="22"/>
          <w:szCs w:val="22"/>
        </w:rPr>
        <w:t xml:space="preserve">The CASIA Image Tampering Detection Evaluation Database [12], introduced by Dong, Wang, and Tan, provided a larger and more realistic labeled tampering benchmark (spanning splicing and copy-move with varied post-processing) than the datasets available at the time and has since become one of the most widely used training/evaluation sets for both classical and learned detectors. Zhou et al. [7] proposed a two-stream Faster R-CNN (“RGB-N”) that fuses an RGB stream, which learns visual tampering artifacts directly, with a dedicated noise stream built on steganalysis-style rich filters, which learns the same noise-inconsistency principle as [14] but end-to-end and jointly with region proposal, and demonstrated that fusing these two learned streams outperforms either alone. Wang et al. [16] studied a related but distinct problem — detecting wholly generated (not just locally edited) CNN-synthesized images — and showed a classifier trained on a single generator family (ProGAN) with careful augmentation generalizes surprisingly well to unseen GAN architectures, evidence that today's generative models still share detectable low-level artifacts. Verdoliva's survey [15] situates all of the above within the broader shift the field has undergone: from the hand-crafted statistical cues of Sections 2.1–2.3 toward data-driven, end-to-end learned detectors, particularly for the deepfake threat model, while noting that data-driven methods inherit the generalization risk documented by [16] — performance can degrade sharply on manipulation types or content domains absent from training data.</w:t>
      </w:r>
    </w:p>
    <w:p>
      <w:pPr>
        <w:spacing w:after="160" w:line="276"/>
      </w:pPr>
      <w:r>
        <w:rPr>
          <w:rFonts w:ascii="Calibri" w:cs="Calibri" w:eastAsia="Calibri" w:hAnsi="Calibri"/>
          <w:sz w:val="22"/>
          <w:szCs w:val="22"/>
        </w:rPr>
        <w:t xml:space="preserve">That generalization risk is precisely the argument this project's design leans on in the opposite direction from most work reviewed in this subsection: rather than train an end-to-end deep model with no labeled screenshot data to train it on (Section 2.7), we retain interpretable, individually-inspectable cues and train only a shallow classifier (Section 3.9) over their outputs, on the closest available labeled data (Section 2.5). This trades the higher achievable accuracy of an end-to-end learned model, evident throughout this subsection, for a system whose behavior on an unfamiliar tamper type degrades to individually-auditable cue scores rather than an opaque failure.</w:t>
      </w:r>
    </w:p>
    <w:p>
      <w:pPr>
        <w:pStyle w:val="Heading2"/>
        <w:spacing w:after="120" w:before="260"/>
      </w:pPr>
      <w:r>
        <w:rPr>
          <w:rFonts w:ascii="Calibri" w:cs="Calibri" w:eastAsia="Calibri" w:hAnsi="Calibri"/>
        </w:rPr>
        <w:t xml:space="preserve">2.5 Document and Identity-Document Forgery Detection</w:t>
      </w:r>
    </w:p>
    <w:p>
      <w:pPr>
        <w:spacing w:after="160" w:line="276"/>
      </w:pPr>
      <w:r>
        <w:rPr>
          <w:rFonts w:ascii="Calibri" w:cs="Calibri" w:eastAsia="Calibri" w:hAnsi="Calibri"/>
          <w:sz w:val="22"/>
          <w:szCs w:val="22"/>
        </w:rPr>
        <w:t xml:space="preserve">This subsection is the closest prior work to the present project's actual deployment target, and the dataset used to train its classifier (Section 4.2) comes directly from it. The SROIE dataset [17] (Huang et al.), built for the ICDAR 2019 scanned-receipt OCR and information-extraction competition, established a standard 1,000-receipt corpus with layout and key-field annotations; it was not built for forgery detection, but its scale and standardization made it a natural base for later forgery-specific extensions. Martínez Tornés et al.'s “Find it again!” dataset [18] is exactly that extension: 988 receipts drawn from SROIE, of which 163 carry realistic forgeries (copy-paste, text imitation, deletion, and pixel-level edits applied by the dataset's authors) with ground-truth region annotations, entity-type labels, and a note on whether the edit was digital or handwritten. It is, to our knowledge, the most directly applicable public labeled forgery dataset for this project's problem, and Section 4.2 and Section 5.2 describe its use here in detail.</w:t>
      </w:r>
    </w:p>
    <w:p>
      <w:pPr>
        <w:spacing w:after="160" w:line="276"/>
      </w:pPr>
      <w:r>
        <w:rPr>
          <w:rFonts w:ascii="Calibri" w:cs="Calibri" w:eastAsia="Calibri" w:hAnsi="Calibri"/>
          <w:sz w:val="22"/>
          <w:szCs w:val="22"/>
        </w:rPr>
        <w:t xml:space="preserve">Beyond receipts, a growing and closely related literature addresses identity-document forgery. An arXiv preprint on deep-learning-based forgery attacks on document images [19] examines both how deep networks can be used to generate convincing document forgeries and how the same technology can detect them, underscoring that document forgery is increasingly a two-sided, adversarial problem rather than one where classical statistical cues face a static target. A 2026 systematic survey [20] catalogs the shift in this specific area from classical, hand-crafted approaches toward foundation-model-based detectors (e.g. DINOv2 backbones), alongside a growing set of purpose-built synthetic datasets (IDNet, MIDV-2020, FantasyID, SIDTD) created specifically because — as the survey and the dataset papers it covers both note — real identity documents cannot be publicly released for privacy and legal reasons, forcing the field toward synthetic or heavily anonymized data. The ongoing “Third Competition on Document Forgery Detection on ID-Cards and Passports” [21] is further evidence of how active this specific subfield now is, with two prior editions preceding it.</w:t>
      </w:r>
    </w:p>
    <w:p>
      <w:pPr>
        <w:spacing w:after="160" w:line="276"/>
      </w:pPr>
      <w:r>
        <w:rPr>
          <w:rFonts w:ascii="Calibri" w:cs="Calibri" w:eastAsia="Calibri" w:hAnsi="Calibri"/>
          <w:sz w:val="22"/>
          <w:szCs w:val="22"/>
        </w:rPr>
        <w:t xml:space="preserve">The privacy constraint this survey [20] identifies for identity documents applies with at least equal force to bank statements and payment-app screenshots, which carry account numbers, balances, and personal financial history rather than a single ID number — and is precisely why this project (Section 4.1) resorted to a self-generated synthetic corpus for its own primary content domain, using the real receipt dataset [18] only as the closest available substitute with genuine, non-synthetic ground truth.</w:t>
      </w:r>
    </w:p>
    <w:p>
      <w:pPr>
        <w:pStyle w:val="Heading2"/>
        <w:spacing w:after="120" w:before="260"/>
      </w:pPr>
      <w:r>
        <w:rPr>
          <w:rFonts w:ascii="Calibri" w:cs="Calibri" w:eastAsia="Calibri" w:hAnsi="Calibri"/>
        </w:rPr>
        <w:t xml:space="preserve">2.6 Adjacent Financial-Fraud-Detection Literature</w:t>
      </w:r>
    </w:p>
    <w:p>
      <w:pPr>
        <w:spacing w:after="160" w:line="276"/>
      </w:pPr>
      <w:r>
        <w:rPr>
          <w:rFonts w:ascii="Calibri" w:cs="Calibri" w:eastAsia="Calibri" w:hAnsi="Calibri"/>
          <w:sz w:val="22"/>
          <w:szCs w:val="22"/>
        </w:rPr>
        <w:t xml:space="preserve">Two further pieces of literature, while not image forensics, directly informed methodological choices in this project. Hafemann, Sabourin, and Oliveira [23] apply deep convolutional feature learning to offline handwritten signature verification — a much older and physically distinct form of financial-document authentication (a check or contract signature rather than a screenshot) but one that shares this project's core structure: an authenticator must distinguish genuine from forged artifacts using only the static end artifact, with the forger potentially having studied the genuine example closely, which the authors note makes inter-personal variance low and intra-personal variance high — an analogue of the difficulty (Section 6) our own system faces distinguishing a careful, low-texture edit from ordinary content variation. Jesus et al.'s Bank Account Fraud dataset suite [22], while operating on tabular account-opening data rather than images, established a widely used, realistic benchmark for fraud detection under severe class imbalance and temporal drift; the general practice it exemplifies — training with class-balanced weighting rather than naïve accuracy optimization on a rare positive class — is the same principle behind this project's use of class_weight="balanced" when training its RandomForest classifier (Section 3.9), since forged examples are a small minority (≈16%) of the labeled data available (Section 4.2).</w:t>
      </w:r>
    </w:p>
    <w:p>
      <w:pPr>
        <w:pStyle w:val="Heading2"/>
        <w:spacing w:after="120" w:before="260"/>
      </w:pPr>
      <w:r>
        <w:rPr>
          <w:rFonts w:ascii="Calibri" w:cs="Calibri" w:eastAsia="Calibri" w:hAnsi="Calibri"/>
        </w:rPr>
        <w:t xml:space="preserve">2.7 The Gap: Screenshot-Specific Forgery Detection</w:t>
      </w:r>
    </w:p>
    <w:p>
      <w:pPr>
        <w:spacing w:after="160" w:line="276"/>
      </w:pPr>
      <w:r>
        <w:rPr>
          <w:rFonts w:ascii="Calibri" w:cs="Calibri" w:eastAsia="Calibri" w:hAnsi="Calibri"/>
          <w:sz w:val="22"/>
          <w:szCs w:val="22"/>
        </w:rPr>
        <w:t xml:space="preserve">Despite the breadth of work reviewed above — spanning natural photographs (Sections 2.1–2.4) and, increasingly, scanned or photographed physical documents and identity cards (Section 2.5) — we found no academic literature or public dataset that specifically targets chat-application or bank-statement screenshots: images that are a direct digital rendering of software UI, never optically captured, and typically saved once as a single-generation PNG or JPEG rather than scanned or photographed. This is a meaningful gap for two reasons documented in Sections 5–6 of this report. First, several assumptions underlying the classical cues in Sections 2.1 and 2.3 (natural-image smoothness, photographic sensor noise, an optical capture pipeline) do not hold for this content, and our results show the corresponding cues transfer measurably worse than their reported performance on the photographic or scanned-document benchmarks in Sections 2.1–2.5. Second, the practical harm is well-documented outside the academic literature: industry and consumer-protection sources describe “fake payment screenshot” scams in concrete operational detail, including purpose-built generator tools, typical fraud scripts (create urgency, present the fake screenshot, request release of goods before funds actually settle), and the specific storefront that motivated the case study in Section 5.3 of this report (a fake bank-statement generator site whose own watermark appeared, unremoved, in the forged document). This project treats that gap — not as a reason to import ill-fitting photographic-forensics assumptions unmodified, but as the reason to add a cue (Section 3.8) that targets what is actually diagnostic for this specific content class: not pixel statistics, but the document's own text.</w:t>
      </w:r>
    </w:p>
    <w:p>
      <w:pPr>
        <w:pStyle w:val="Heading1"/>
        <w:spacing w:after="160" w:before="360"/>
      </w:pPr>
      <w:r>
        <w:rPr>
          <w:rFonts w:ascii="Calibri" w:cs="Calibri" w:eastAsia="Calibri" w:hAnsi="Calibri"/>
        </w:rPr>
        <w:t xml:space="preserve">3. System Design and Methodology</w:t>
      </w:r>
    </w:p>
    <w:p>
      <w:pPr>
        <w:spacing w:after="160" w:line="276"/>
      </w:pPr>
      <w:r>
        <w:rPr>
          <w:rFonts w:ascii="Calibri" w:cs="Calibri" w:eastAsia="Calibri" w:hAnsi="Calibri"/>
          <w:sz w:val="22"/>
          <w:szCs w:val="22"/>
        </w:rPr>
        <w:t xml:space="preserve">The system is a Flask backend (React frontend) that accepts an uploaded image and runs seven forensic cues over it in-memory (nothing is written to disk), each returning a bounded suspicion score in [0, 1] alongside the raw evidence used to compute it. Table 1 summarizes the pipeline; Sections 3.2–3.8 describe each cue and how it relates to the literature reviewed in Section 2. Section 3.9 describes how cue scores are combined into a final verdict.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3600"/>
        <w:gridCol w:w="2400"/>
      </w:tblGrid>
      <w:tr>
        <w:trPr>
          <w:tblHeader/>
        </w:trPr>
        <w:tc>
          <w:tcPr>
            <w:tcW w:type="dxa" w:w="700"/>
            <w:shd w:fill="1F2A44" w:val="clear"/>
            <w:tcMar>
              <w:top w:type="dxa" w:w="80"/>
              <w:left w:type="dxa" w:w="100"/>
              <w:bottom w:type="dxa" w:w="80"/>
              <w:right w:type="dxa" w:w="100"/>
            </w:tcMar>
          </w:tcPr>
          <w:p>
            <w:r>
              <w:rPr>
                <w:rFonts w:ascii="Calibri" w:cs="Calibri" w:eastAsia="Calibri" w:hAnsi="Calibri"/>
                <w:b/>
                <w:bCs/>
                <w:sz w:val="20"/>
                <w:szCs w:val="20"/>
              </w:rPr>
              <w:t xml:space="preserve">#</w:t>
            </w:r>
          </w:p>
        </w:tc>
        <w:tc>
          <w:tcPr>
            <w:tcW w:type="dxa" w:w="2500"/>
            <w:shd w:fill="1F2A44" w:val="clear"/>
            <w:tcMar>
              <w:top w:type="dxa" w:w="80"/>
              <w:left w:type="dxa" w:w="100"/>
              <w:bottom w:type="dxa" w:w="80"/>
              <w:right w:type="dxa" w:w="100"/>
            </w:tcMar>
          </w:tcPr>
          <w:p>
            <w:r>
              <w:rPr>
                <w:rFonts w:ascii="Calibri" w:cs="Calibri" w:eastAsia="Calibri" w:hAnsi="Calibri"/>
                <w:b/>
                <w:bCs/>
                <w:sz w:val="20"/>
                <w:szCs w:val="20"/>
              </w:rPr>
              <w:t xml:space="preserve">Cue</w:t>
            </w:r>
          </w:p>
        </w:tc>
        <w:tc>
          <w:tcPr>
            <w:tcW w:type="dxa" w:w="3600"/>
            <w:shd w:fill="1F2A44" w:val="clear"/>
            <w:tcMar>
              <w:top w:type="dxa" w:w="80"/>
              <w:left w:type="dxa" w:w="100"/>
              <w:bottom w:type="dxa" w:w="80"/>
              <w:right w:type="dxa" w:w="100"/>
            </w:tcMar>
          </w:tcPr>
          <w:p>
            <w:r>
              <w:rPr>
                <w:rFonts w:ascii="Calibri" w:cs="Calibri" w:eastAsia="Calibri" w:hAnsi="Calibri"/>
                <w:b/>
                <w:bCs/>
                <w:sz w:val="20"/>
                <w:szCs w:val="20"/>
              </w:rPr>
              <w:t xml:space="preserve">Targets</w:t>
            </w:r>
          </w:p>
        </w:tc>
        <w:tc>
          <w:tcPr>
            <w:tcW w:type="dxa" w:w="2400"/>
            <w:shd w:fill="1F2A44" w:val="clear"/>
            <w:tcMar>
              <w:top w:type="dxa" w:w="80"/>
              <w:left w:type="dxa" w:w="100"/>
              <w:bottom w:type="dxa" w:w="80"/>
              <w:right w:type="dxa" w:w="100"/>
            </w:tcMar>
          </w:tcPr>
          <w:p>
            <w:r>
              <w:rPr>
                <w:rFonts w:ascii="Calibri" w:cs="Calibri" w:eastAsia="Calibri" w:hAnsi="Calibri"/>
                <w:b/>
                <w:bCs/>
                <w:sz w:val="20"/>
                <w:szCs w:val="20"/>
              </w:rPr>
              <w:t xml:space="preserve">Related work</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Error Level Analysis (ELA)</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Localized recompression artifacts from an edited-and-resaved region</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[1], [9], [10]</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JPEG Ghost</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Double compression at a different generation than the rest of the image</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[1], [9], [10], [11]</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JPEG quantization tables</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Multiple/inconsistent compression generations</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[9], [10]</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Block-wise noise consistency</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Locally inconsistent noise energy from a spliced-in region</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[8], [14]</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5</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Copy-move (offset-vector voting)</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Rigidly duplicated regions (e.g. a cloned transaction row)</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[2], [3], [4], [5]</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6</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EXIF / metadata</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Editing-tool fingerprints, camera tags, GPS on a “screenshot”</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 (domain-specific)</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7</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Document text (OCR)</w:t>
            </w:r>
          </w:p>
        </w:tc>
        <w:tc>
          <w:tcPr>
            <w:tcW w:type="dxa" w:w="3600"/>
            <w:tcMar>
              <w:top w:type="dxa" w:w="80"/>
              <w:left w:type="dxa" w:w="100"/>
              <w:bottom w:type="dxa" w:w="80"/>
              <w:right w:type="dxa" w:w="100"/>
            </w:tcMar>
          </w:tcPr>
          <w:p>
            <w:r>
              <w:rPr>
                <w:rFonts w:ascii="Calibri" w:cs="Calibri" w:eastAsia="Calibri" w:hAnsi="Calibri"/>
                <w:b w:val="false"/>
                <w:bCs w:val="false"/>
                <w:sz w:val="20"/>
                <w:szCs w:val="20"/>
              </w:rPr>
              <w:t xml:space="preserve">Generator watermarks; placeholder names/account numbers</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 (this project's contribution; motivated by Sec. 2.7)</w:t>
            </w:r>
          </w:p>
        </w:tc>
      </w:tr>
    </w:tbl>
    <w:p>
      <w:pPr>
        <w:spacing w:after="200" w:before="80"/>
      </w:pPr>
      <w:r>
        <w:rPr>
          <w:rFonts w:ascii="Calibri" w:cs="Calibri" w:eastAsia="Calibri" w:hAnsi="Calibri"/>
          <w:i/>
          <w:iCs/>
          <w:color w:val="555555"/>
          <w:sz w:val="19"/>
          <w:szCs w:val="19"/>
        </w:rPr>
        <w:t xml:space="preserve">Table 1. The seven forensic cues, what each targets, and the closest prior work reviewed in Section 2.</w:t>
      </w:r>
    </w:p>
    <w:p>
      <w:pPr>
        <w:pStyle w:val="Heading2"/>
        <w:spacing w:after="120" w:before="260"/>
      </w:pPr>
      <w:r>
        <w:rPr>
          <w:rFonts w:ascii="Calibri" w:cs="Calibri" w:eastAsia="Calibri" w:hAnsi="Calibri"/>
        </w:rPr>
        <w:t xml:space="preserve">3.2 Error Level Analysis</w:t>
      </w:r>
    </w:p>
    <w:p>
      <w:pPr>
        <w:spacing w:after="160" w:line="276"/>
      </w:pPr>
      <w:r>
        <w:rPr>
          <w:rFonts w:ascii="Calibri" w:cs="Calibri" w:eastAsia="Calibri" w:hAnsi="Calibri"/>
          <w:sz w:val="22"/>
          <w:szCs w:val="22"/>
        </w:rPr>
        <w:t xml:space="preserve">Following Farid's general recompression-diff principle [1], the image is recompressed at a fixed JPEG quality and diffed against the input; the resulting per-pixel error is aggregated into 16×16 blocks. Rather than flag blocks whose error exceeds a single whole-image threshold — which, on a screenshot dense with text and table borders, flags most of the image as “hot” regardless of tampering — each block is compared against a robust statistic (median absolute deviation) of only its immediate spatial neighborhood. A block that merely sits in a naturally detailed area is not flagged, since its neighbors are similarly elevated; only a block that disagrees with its own surroundings is. The size of the largest contiguous flagged cluster, not the raw flagged-block count, drives the score, since a genuine localized edit produces a compact cluster rather than scattered noise.</w:t>
      </w:r>
    </w:p>
    <w:p>
      <w:pPr>
        <w:pStyle w:val="Heading2"/>
        <w:spacing w:after="120" w:before="260"/>
      </w:pPr>
      <w:r>
        <w:rPr>
          <w:rFonts w:ascii="Calibri" w:cs="Calibri" w:eastAsia="Calibri" w:hAnsi="Calibri"/>
        </w:rPr>
        <w:t xml:space="preserve">3.3 JPEG Ghost (Multi-Quality Recompression Scan)</w:t>
      </w:r>
    </w:p>
    <w:p>
      <w:pPr>
        <w:spacing w:after="160" w:line="276"/>
      </w:pPr>
      <w:r>
        <w:rPr>
          <w:rFonts w:ascii="Calibri" w:cs="Calibri" w:eastAsia="Calibri" w:hAnsi="Calibri"/>
          <w:sz w:val="22"/>
          <w:szCs w:val="22"/>
        </w:rPr>
        <w:t xml:space="preserve">This cue implements Farid's JPEG Ghost method [1] directly: the image is recompressed across ten candidate qualities (50–95 in steps of 5) and, per block, the method looks for a genuine local minimum in recompression error as a function of quality — the signature of a block's own native compression quality — rather than naively taking the single lowest-error quality across the whole range, which (we found empirically) trivially selects the highest quality tested for almost any content, producing no signal at all. As in Section 3.2, blocks are compared to their local neighborhood rather than a single whole-image dominant quality, since a legitimately more- or less-detailed region (e.g. a bordered summary card versus plain background) can otherwise read as uniformly “anomalous” without being tampered. Calibration testing (Section 5.1) nonetheless found this cue unreliable on screenshot content specifically — in some cases scoring an untouched image higher than its tampered counterpart — so it is computed and shown in the UI for transparency but deliberately excluded from the final weighted score (Section 3.9).</w:t>
      </w:r>
    </w:p>
    <w:p>
      <w:pPr>
        <w:pStyle w:val="Heading2"/>
        <w:spacing w:after="120" w:before="260"/>
      </w:pPr>
      <w:r>
        <w:rPr>
          <w:rFonts w:ascii="Calibri" w:cs="Calibri" w:eastAsia="Calibri" w:hAnsi="Calibri"/>
        </w:rPr>
        <w:t xml:space="preserve">3.4 JPEG Quantization Tables</w:t>
      </w:r>
    </w:p>
    <w:p>
      <w:pPr>
        <w:spacing w:after="160" w:line="276"/>
      </w:pPr>
      <w:r>
        <w:rPr>
          <w:rFonts w:ascii="Calibri" w:cs="Calibri" w:eastAsia="Calibri" w:hAnsi="Calibri"/>
          <w:sz w:val="22"/>
          <w:szCs w:val="22"/>
        </w:rPr>
        <w:t xml:space="preserve">A standard single JPEG encode carries at most two quantization tables (luma and chroma); more than two on a re-opened file is a coarse signal of multiple compression generations, in the spirit of Bianchi and Piva's double-compression detectors [9], [10], though far less precise than their block-grained likelihood-map approach. In practice this cue rarely fires — most re-encoders still emit only two tables regardless of how many times an image has actually been saved — so it is retained as a cheap, low-weight legacy signal rather than a primary one.</w:t>
      </w:r>
    </w:p>
    <w:p>
      <w:pPr>
        <w:pStyle w:val="Heading2"/>
        <w:spacing w:after="120" w:before="260"/>
      </w:pPr>
      <w:r>
        <w:rPr>
          <w:rFonts w:ascii="Calibri" w:cs="Calibri" w:eastAsia="Calibri" w:hAnsi="Calibri"/>
        </w:rPr>
        <w:t xml:space="preserve">3.5 Block-Wise Noise Consistency</w:t>
      </w:r>
    </w:p>
    <w:p>
      <w:pPr>
        <w:spacing w:after="160" w:line="276"/>
      </w:pPr>
      <w:r>
        <w:rPr>
          <w:rFonts w:ascii="Calibri" w:cs="Calibri" w:eastAsia="Calibri" w:hAnsi="Calibri"/>
          <w:sz w:val="22"/>
          <w:szCs w:val="22"/>
        </w:rPr>
        <w:t xml:space="preserve">A high-pass-filtered version of the image is divided into 32×32 blocks, and each block's local noise energy (standard deviation) is compared to its spatial neighborhood using the same robust, local-outlier logic as Sections 3.2–3.3, in the spirit of noise-inconsistency splicing detection [14] and PRNU-based source consistency [8] — adapted, since neither camera sensor noise nor natural-image noise statistics are available for a rendered screenshot, to whatever rendering/compression noise the image happens to carry.</w:t>
      </w:r>
    </w:p>
    <w:p>
      <w:pPr>
        <w:pStyle w:val="Heading2"/>
        <w:spacing w:after="120" w:before="260"/>
      </w:pPr>
      <w:r>
        <w:rPr>
          <w:rFonts w:ascii="Calibri" w:cs="Calibri" w:eastAsia="Calibri" w:hAnsi="Calibri"/>
        </w:rPr>
        <w:t xml:space="preserve">3.6 Copy-Move Detection via Offset-Vector Voting</w:t>
      </w:r>
    </w:p>
    <w:p>
      <w:pPr>
        <w:spacing w:after="160" w:line="276"/>
      </w:pPr>
      <w:r>
        <w:rPr>
          <w:rFonts w:ascii="Calibri" w:cs="Calibri" w:eastAsia="Calibri" w:hAnsi="Calibri"/>
          <w:sz w:val="22"/>
          <w:szCs w:val="22"/>
        </w:rPr>
        <w:t xml:space="preserve">Overlapping image blocks are perceptually hashed and grouped by hash; for every pair of near-duplicate blocks that are spatially far apart, the displacement vector between them is recorded as a “vote,” following the block-matching lineage of Fridrich et al. [2] and Popescu and Farid [3]. A genuine rigid copy-paste produces many block pairs sharing the same displacement vector, clustered in one spatially compact source area — both properties are required before the cue fires. This directly targets a false-positive mode this project discovered empirically that a raw “any two blocks match” count (closer to the naive end of the spectrum Christlein et al.'s benchmark [5] evaluates) cannot distinguish: regularly spaced decorative UI elements (bullet dashes, repeated icons) produce many block pairs that coincidentally share a common small offset purely from the layout's own periodicity, without a spatially compact source region, and are filtered out by the compactness requirement.</w:t>
      </w:r>
    </w:p>
    <w:p>
      <w:pPr>
        <w:pStyle w:val="Heading2"/>
        <w:spacing w:after="120" w:before="260"/>
      </w:pPr>
      <w:r>
        <w:rPr>
          <w:rFonts w:ascii="Calibri" w:cs="Calibri" w:eastAsia="Calibri" w:hAnsi="Calibri"/>
        </w:rPr>
        <w:t xml:space="preserve">3.7 EXIF / Metadata Analysis</w:t>
      </w:r>
    </w:p>
    <w:p>
      <w:pPr>
        <w:spacing w:after="160" w:line="276"/>
      </w:pPr>
      <w:r>
        <w:rPr>
          <w:rFonts w:ascii="Calibri" w:cs="Calibri" w:eastAsia="Calibri" w:hAnsi="Calibri"/>
          <w:sz w:val="22"/>
          <w:szCs w:val="22"/>
        </w:rPr>
        <w:t xml:space="preserve">A genuine screenshot normally carries no EXIF data at all; this cue instead flags its presence when specific tags are unusual for that fact — an editing-tool Software tag (Photoshop, GIMP, etc.), camera Make/Model tags, or GPS data — weighting an editing-tool fingerprint especially heavily, since no legitimate screenshot-capture pipeline stamps one. This is one of the two cues validated as reliable in Section 5.</w:t>
      </w:r>
    </w:p>
    <w:p>
      <w:pPr>
        <w:pStyle w:val="Heading2"/>
        <w:spacing w:after="120" w:before="260"/>
      </w:pPr>
      <w:r>
        <w:rPr>
          <w:rFonts w:ascii="Calibri" w:cs="Calibri" w:eastAsia="Calibri" w:hAnsi="Calibri"/>
        </w:rPr>
        <w:t xml:space="preserve">3.8 Document Text Analysis (OCR)</w:t>
      </w:r>
    </w:p>
    <w:p>
      <w:pPr>
        <w:spacing w:after="160" w:line="276"/>
      </w:pPr>
      <w:r>
        <w:rPr>
          <w:rFonts w:ascii="Calibri" w:cs="Calibri" w:eastAsia="Calibri" w:hAnsi="Calibri"/>
          <w:sz w:val="22"/>
          <w:szCs w:val="22"/>
        </w:rPr>
        <w:t xml:space="preserve">Motivated directly by the gap identified in Section 2.7 and the case study in Section 5.3, this cue runs Tesseract OCR over the image and checks the extracted text against two pattern families: known fake-document-generator brand markers and disclaimer phrasing (e.g. a generator site's own watermark, or “specimen” / “not a real document” boilerplate), and placeholder data a generator defaults to when unedited (generic names such as “John Doe,” and obviously sequential or repeated-digit account/routing numbers). Unlike every pixel-level cue in Sections 3.2–3.6, this cue reads what the document says rather than how its bytes were compressed, and is the other cue validated as reliable in Section 5.</w:t>
      </w:r>
    </w:p>
    <w:p>
      <w:pPr>
        <w:pStyle w:val="Heading2"/>
        <w:spacing w:after="120" w:before="260"/>
      </w:pPr>
      <w:r>
        <w:rPr>
          <w:rFonts w:ascii="Calibri" w:cs="Calibri" w:eastAsia="Calibri" w:hAnsi="Calibri"/>
        </w:rPr>
        <w:t xml:space="preserve">3.9 Classification and the High-Confidence Override</w:t>
      </w:r>
    </w:p>
    <w:p>
      <w:pPr>
        <w:spacing w:after="160" w:line="276"/>
      </w:pPr>
      <w:r>
        <w:rPr>
          <w:rFonts w:ascii="Calibri" w:cs="Calibri" w:eastAsia="Calibri" w:hAnsi="Calibri"/>
          <w:sz w:val="22"/>
          <w:szCs w:val="22"/>
        </w:rPr>
        <w:t xml:space="preserve">Cue scores are combined into a single fake_score by a RandomForestClassifier (300 trees, max depth 6, class_weight="balanced" per the class-imbalance precedent in [22]) trained on labeled data (Section 4). A pure weighted average — the system's original design and still its fallback when no trained model is available — has a documented failure mode this project encountered directly: a genuinely conclusive single cue (an editing-tool EXIF tag, an OCR-caught generator watermark) can be diluted below the decision threshold by several other, noisier cues that happen to read elevated on legitimate content, as Section 5.3's case study shows concretely. To close this gap without simply re-weighting the noisy cues higher (which would raise false positives on legitimate dense documents instead), an explicit override rule sits on top of either classifier: if metadata_score or text_score individually clears a high bar (0.8), the verdict is forced to “fake” regardless of the composite score, which is still reported unmodified alongside an explicit override_reason field so this never happens silently.</w:t>
      </w:r>
    </w:p>
    <w:p>
      <w:pPr>
        <w:pStyle w:val="Heading1"/>
        <w:spacing w:after="160" w:before="360"/>
      </w:pPr>
      <w:r>
        <w:rPr>
          <w:rFonts w:ascii="Calibri" w:cs="Calibri" w:eastAsia="Calibri" w:hAnsi="Calibri"/>
        </w:rPr>
        <w:t xml:space="preserve">4. Datasets</w:t>
      </w:r>
    </w:p>
    <w:p>
      <w:pPr>
        <w:pStyle w:val="Heading2"/>
        <w:spacing w:after="120" w:before="260"/>
      </w:pPr>
      <w:r>
        <w:rPr>
          <w:rFonts w:ascii="Calibri" w:cs="Calibri" w:eastAsia="Calibri" w:hAnsi="Calibri"/>
        </w:rPr>
        <w:t xml:space="preserve">4.1 Synthetic Corpus</w:t>
      </w:r>
    </w:p>
    <w:p>
      <w:pPr>
        <w:spacing w:after="160" w:line="276"/>
      </w:pPr>
      <w:r>
        <w:rPr>
          <w:rFonts w:ascii="Calibri" w:cs="Calibri" w:eastAsia="Calibri" w:hAnsi="Calibri"/>
          <w:sz w:val="22"/>
          <w:szCs w:val="22"/>
        </w:rPr>
        <w:t xml:space="preserve">In the absence of any public labeled screenshot-forgery dataset (Section 2.7), a synthetic corpus generator (backend/tools/calibrate.py) produces paired authentic/tampered chat- and bank-statement-style images across four tamper types: (i) a textured region edited and recompressed at a different JPEG quality before being pasted back and the whole image re-saved — the classical scenario Sections 2.1 and 3.2–3.3 target; (ii) copy-move duplication of a textured block; (iii) a low-texture “sloppy” flat overwrite, the hardest case for compression-artifact cues; and (iv) an editing-tool EXIF fingerprint left on an otherwise untouched image. This corpus is used to calibrate cue scoring formulas and combiner weights, and its known-paired structure (same underlying content, with vs. without the tamper) makes it possible to measure whether a cue's score reliably moves in the correct direction for a specific tamper type — not just whether real and fake images differ on average, which Section 5.1 shows can be a misleading question when the two classes also differ in unrelated ways (e.g. an extra compression generation).</w:t>
      </w:r>
    </w:p>
    <w:p>
      <w:pPr>
        <w:pStyle w:val="Heading2"/>
        <w:spacing w:after="120" w:before="260"/>
      </w:pPr>
      <w:r>
        <w:rPr>
          <w:rFonts w:ascii="Calibri" w:cs="Calibri" w:eastAsia="Calibri" w:hAnsi="Calibri"/>
        </w:rPr>
        <w:t xml:space="preserve">4.2 Real Dataset: “Find it again!” Receipt Forgery Dataset</w:t>
      </w:r>
    </w:p>
    <w:p>
      <w:pPr>
        <w:spacing w:after="160" w:line="276"/>
      </w:pPr>
      <w:r>
        <w:rPr>
          <w:rFonts w:ascii="Calibri" w:cs="Calibri" w:eastAsia="Calibri" w:hAnsi="Calibri"/>
          <w:sz w:val="22"/>
          <w:szCs w:val="22"/>
        </w:rPr>
        <w:t xml:space="preserve">The trained classifier in Section 3.9 uses Martínez Tornés et al.'s “Find it again!” dataset [18]: 988 scanned receipt images derived from SROIE [17], split into 577 train / 192 validation / 218 test examples, of which 163 total (≈16%) carry realistic forgeries — copy-paste, text imitation, deletion, and pixel-level edits — with ground-truth region annotations. This is real labeled forgery data, unlike the synthetic corpus in Section 4.1, but it is scanned paper receipts rather than digitally rendered chat/bank-statement screenshots, a domain gap discussed candidly in Section 6. The training script (backend/tools/train_model.py) extracts the same seven cue scores the served API computes for every image and trains the RandomForest directly on them, so the trained model uses exactly the feature space described in Section 3.</w:t>
      </w:r>
    </w:p>
    <w:p>
      <w:pPr>
        <w:pStyle w:val="Heading1"/>
        <w:spacing w:after="160" w:before="360"/>
      </w:pPr>
      <w:r>
        <w:rPr>
          <w:rFonts w:ascii="Calibri" w:cs="Calibri" w:eastAsia="Calibri" w:hAnsi="Calibri"/>
        </w:rPr>
        <w:t xml:space="preserve">5. Experimental Results</w:t>
      </w:r>
    </w:p>
    <w:p>
      <w:pPr>
        <w:pStyle w:val="Heading2"/>
        <w:spacing w:after="120" w:before="260"/>
      </w:pPr>
      <w:r>
        <w:rPr>
          <w:rFonts w:ascii="Calibri" w:cs="Calibri" w:eastAsia="Calibri" w:hAnsi="Calibri"/>
        </w:rPr>
        <w:t xml:space="preserve">5.1 Synthetic-Corpus Calibration: Per-Cue Reliability</w:t>
      </w:r>
    </w:p>
    <w:p>
      <w:pPr>
        <w:spacing w:after="160" w:line="276"/>
      </w:pPr>
      <w:r>
        <w:rPr>
          <w:rFonts w:ascii="Calibri" w:cs="Calibri" w:eastAsia="Calibri" w:hAnsi="Calibri"/>
          <w:sz w:val="22"/>
          <w:szCs w:val="22"/>
        </w:rPr>
        <w:t xml:space="preserve">Rather than compare score distributions across unrelated real/fake samples — which conflates the tamper's effect with incidental differences in content and compression history between samples — we measured, for each of 25 paired authentic/tampered images (same underlying content), how often the tampered version scored higher than its own authentic pair (“win rate”). Table 2 reports this per cue.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rPr>
          <w:tblHeader/>
        </w:trPr>
        <w:tc>
          <w:tcPr>
            <w:tcW w:type="dxa" w:w="4000"/>
            <w:shd w:fill="1F2A44" w:val="clear"/>
            <w:tcMar>
              <w:top w:type="dxa" w:w="80"/>
              <w:left w:type="dxa" w:w="100"/>
              <w:bottom w:type="dxa" w:w="80"/>
              <w:right w:type="dxa" w:w="100"/>
            </w:tcMar>
          </w:tcPr>
          <w:p>
            <w:r>
              <w:rPr>
                <w:rFonts w:ascii="Calibri" w:cs="Calibri" w:eastAsia="Calibri" w:hAnsi="Calibri"/>
                <w:b/>
                <w:bCs/>
                <w:sz w:val="20"/>
                <w:szCs w:val="20"/>
              </w:rPr>
              <w:t xml:space="preserve">Cue</w:t>
            </w:r>
          </w:p>
        </w:tc>
        <w:tc>
          <w:tcPr>
            <w:tcW w:type="dxa" w:w="5200"/>
            <w:shd w:fill="1F2A44" w:val="clear"/>
            <w:tcMar>
              <w:top w:type="dxa" w:w="80"/>
              <w:left w:type="dxa" w:w="100"/>
              <w:bottom w:type="dxa" w:w="80"/>
              <w:right w:type="dxa" w:w="100"/>
            </w:tcMar>
          </w:tcPr>
          <w:p>
            <w:r>
              <w:rPr>
                <w:rFonts w:ascii="Calibri" w:cs="Calibri" w:eastAsia="Calibri" w:hAnsi="Calibri"/>
                <w:b/>
                <w:bCs/>
                <w:sz w:val="20"/>
                <w:szCs w:val="20"/>
              </w:rPr>
              <w:t xml:space="preserve">Win rate (tampered &gt; authentic)</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ELA</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6 / 25</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JPEG Ghost</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11 / 25</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Quantization tables</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0 / 25</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Noise consistency</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8 / 25</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Copy-move</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7 / 25</w:t>
            </w:r>
          </w:p>
        </w:tc>
      </w:tr>
      <w:tr>
        <w:tc>
          <w:tcPr>
            <w:tcW w:type="dxa" w:w="4000"/>
            <w:tcMar>
              <w:top w:type="dxa" w:w="80"/>
              <w:left w:type="dxa" w:w="100"/>
              <w:bottom w:type="dxa" w:w="80"/>
              <w:right w:type="dxa" w:w="100"/>
            </w:tcMar>
          </w:tcPr>
          <w:p>
            <w:r>
              <w:rPr>
                <w:rFonts w:ascii="Calibri" w:cs="Calibri" w:eastAsia="Calibri" w:hAnsi="Calibri"/>
                <w:b w:val="false"/>
                <w:bCs w:val="false"/>
                <w:sz w:val="20"/>
                <w:szCs w:val="20"/>
              </w:rPr>
              <w:t xml:space="preserve">Metadata</w:t>
            </w:r>
          </w:p>
        </w:tc>
        <w:tc>
          <w:tcPr>
            <w:tcW w:type="dxa" w:w="5200"/>
            <w:tcMar>
              <w:top w:type="dxa" w:w="80"/>
              <w:left w:type="dxa" w:w="100"/>
              <w:bottom w:type="dxa" w:w="80"/>
              <w:right w:type="dxa" w:w="100"/>
            </w:tcMar>
          </w:tcPr>
          <w:p>
            <w:r>
              <w:rPr>
                <w:rFonts w:ascii="Calibri" w:cs="Calibri" w:eastAsia="Calibri" w:hAnsi="Calibri"/>
                <w:b w:val="false"/>
                <w:bCs w:val="false"/>
                <w:sz w:val="20"/>
                <w:szCs w:val="20"/>
              </w:rPr>
              <w:t xml:space="preserve">6 / 25 (100% within the EXIF-tamper subset; 0% elsewhere, by design)</w:t>
            </w:r>
          </w:p>
        </w:tc>
      </w:tr>
    </w:tbl>
    <w:p>
      <w:pPr>
        <w:spacing w:after="200" w:before="80"/>
      </w:pPr>
      <w:r>
        <w:rPr>
          <w:rFonts w:ascii="Calibri" w:cs="Calibri" w:eastAsia="Calibri" w:hAnsi="Calibri"/>
          <w:i/>
          <w:iCs/>
          <w:color w:val="555555"/>
          <w:sz w:val="19"/>
          <w:szCs w:val="19"/>
        </w:rPr>
        <w:t xml:space="preserve">Table 2. Paired win-rate per cue across four synthetic tamper types (n = 25). A cue only “wins” on the tamper type it targets; metadata, for instance, is designed to fire only on the EXIF-fingerprint tamper.</w:t>
      </w:r>
    </w:p>
    <w:p>
      <w:pPr>
        <w:spacing w:after="160" w:line="276"/>
      </w:pPr>
      <w:r>
        <w:rPr>
          <w:rFonts w:ascii="Calibri" w:cs="Calibri" w:eastAsia="Calibri" w:hAnsi="Calibri"/>
          <w:sz w:val="22"/>
          <w:szCs w:val="22"/>
        </w:rPr>
        <w:t xml:space="preserve">The low win-rates for ELA, JPEG Ghost, and noise consistency — well below what the literature in Sections 2.1 and 2.3 reports for photographic content — are the empirical basis for the content-domain-mismatch argument made throughout Section 2, and directly motivated (a) excluding JPEG Ghost from the final score (Section 3.9) and (b) weighting metadata and document-text far more heavily than the pixel-level cues in the trained classifier.</w:t>
      </w:r>
    </w:p>
    <w:p>
      <w:pPr>
        <w:pStyle w:val="Heading2"/>
        <w:spacing w:after="120" w:before="260"/>
      </w:pPr>
      <w:r>
        <w:rPr>
          <w:rFonts w:ascii="Calibri" w:cs="Calibri" w:eastAsia="Calibri" w:hAnsi="Calibri"/>
        </w:rPr>
        <w:t xml:space="preserve">5.2 Real-Dataset Results: Heuristic vs. Trained Classifier</w:t>
      </w:r>
    </w:p>
    <w:p>
      <w:pPr>
        <w:spacing w:after="160" w:line="276"/>
      </w:pPr>
      <w:r>
        <w:rPr>
          <w:rFonts w:ascii="Calibri" w:cs="Calibri" w:eastAsia="Calibri" w:hAnsi="Calibri"/>
          <w:sz w:val="22"/>
          <w:szCs w:val="22"/>
        </w:rPr>
        <w:t xml:space="preserve">On the “Find it again!” test split (218 receipts, 35 forged), the original hand-weighted heuristic combiner was compared against the RandomForest classifier described in Section 3.9, trained on the corresponding training split.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rPr>
          <w:tblHeader/>
        </w:trPr>
        <w:tc>
          <w:tcPr>
            <w:tcW w:type="dxa" w:w="3000"/>
            <w:shd w:fill="1F2A44" w:val="clear"/>
            <w:tcMar>
              <w:top w:type="dxa" w:w="80"/>
              <w:left w:type="dxa" w:w="100"/>
              <w:bottom w:type="dxa" w:w="80"/>
              <w:right w:type="dxa" w:w="100"/>
            </w:tcMar>
          </w:tcPr>
          <w:p>
            <w:r>
              <w:rPr>
                <w:rFonts w:ascii="Calibri" w:cs="Calibri" w:eastAsia="Calibri" w:hAnsi="Calibri"/>
                <w:b/>
                <w:bCs/>
                <w:sz w:val="20"/>
                <w:szCs w:val="20"/>
              </w:rPr>
              <w:t xml:space="preserve">Metric</w:t>
            </w:r>
          </w:p>
        </w:tc>
        <w:tc>
          <w:tcPr>
            <w:tcW w:type="dxa" w:w="3100"/>
            <w:shd w:fill="1F2A44" w:val="clear"/>
            <w:tcMar>
              <w:top w:type="dxa" w:w="80"/>
              <w:left w:type="dxa" w:w="100"/>
              <w:bottom w:type="dxa" w:w="80"/>
              <w:right w:type="dxa" w:w="100"/>
            </w:tcMar>
          </w:tcPr>
          <w:p>
            <w:r>
              <w:rPr>
                <w:rFonts w:ascii="Calibri" w:cs="Calibri" w:eastAsia="Calibri" w:hAnsi="Calibri"/>
                <w:b/>
                <w:bCs/>
                <w:sz w:val="20"/>
                <w:szCs w:val="20"/>
              </w:rPr>
              <w:t xml:space="preserve">Hand-weighted heuristic</w:t>
            </w:r>
          </w:p>
        </w:tc>
        <w:tc>
          <w:tcPr>
            <w:tcW w:type="dxa" w:w="3100"/>
            <w:shd w:fill="1F2A44" w:val="clear"/>
            <w:tcMar>
              <w:top w:type="dxa" w:w="80"/>
              <w:left w:type="dxa" w:w="100"/>
              <w:bottom w:type="dxa" w:w="80"/>
              <w:right w:type="dxa" w:w="100"/>
            </w:tcMar>
          </w:tcPr>
          <w:p>
            <w:r>
              <w:rPr>
                <w:rFonts w:ascii="Calibri" w:cs="Calibri" w:eastAsia="Calibri" w:hAnsi="Calibri"/>
                <w:b/>
                <w:bCs/>
                <w:sz w:val="20"/>
                <w:szCs w:val="20"/>
              </w:rPr>
              <w:t xml:space="preserve">Trained RandomForest</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Precision</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42.3%</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100% (0 false positives)</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Recall</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31.4%</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28.6%</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F1</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0.361</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0.444</w:t>
            </w:r>
          </w:p>
        </w:tc>
      </w:tr>
      <w:tr>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Accuracy</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82.1%</w:t>
            </w:r>
          </w:p>
        </w:tc>
        <w:tc>
          <w:tcPr>
            <w:tcW w:type="dxa" w:w="3100"/>
            <w:tcMar>
              <w:top w:type="dxa" w:w="80"/>
              <w:left w:type="dxa" w:w="100"/>
              <w:bottom w:type="dxa" w:w="80"/>
              <w:right w:type="dxa" w:w="100"/>
            </w:tcMar>
          </w:tcPr>
          <w:p>
            <w:r>
              <w:rPr>
                <w:rFonts w:ascii="Calibri" w:cs="Calibri" w:eastAsia="Calibri" w:hAnsi="Calibri"/>
                <w:b w:val="false"/>
                <w:bCs w:val="false"/>
                <w:sz w:val="20"/>
                <w:szCs w:val="20"/>
              </w:rPr>
              <w:t xml:space="preserve">88.5%</w:t>
            </w:r>
          </w:p>
        </w:tc>
      </w:tr>
    </w:tbl>
    <w:p>
      <w:pPr>
        <w:spacing w:after="200" w:before="80"/>
      </w:pPr>
      <w:r>
        <w:rPr>
          <w:rFonts w:ascii="Calibri" w:cs="Calibri" w:eastAsia="Calibri" w:hAnsi="Calibri"/>
          <w:i/>
          <w:iCs/>
          <w:color w:val="555555"/>
          <w:sz w:val="19"/>
          <w:szCs w:val="19"/>
        </w:rPr>
        <w:t xml:space="preserve">Table 3. Held-out test-set performance, hand-weighted heuristic vs. trained RandomForest (n = 218, 35 forged).</w:t>
      </w:r>
    </w:p>
    <w:p>
      <w:pPr>
        <w:spacing w:after="160" w:line="276"/>
      </w:pPr>
      <w:r>
        <w:rPr>
          <w:rFonts w:ascii="Calibri" w:cs="Calibri" w:eastAsia="Calibri" w:hAnsi="Calibri"/>
          <w:sz w:val="22"/>
          <w:szCs w:val="22"/>
        </w:rPr>
        <w:t xml:space="preserve">The trained model's zero false positives is a meaningful result given the framing in Section 1 — in a workflow where a flagged document routes to manual review, a high-precision, lower-recall classifier minimizes wasted investigator time and the reputational risk of wrongly challenging a genuine customer's document, at the cost of still missing roughly 71% of the real forgeries in this test set. Neither figure should be read as a claim of solved detection; Section 6 discusses this recall ceiling directly.</w:t>
      </w:r>
    </w:p>
    <w:p>
      <w:pPr>
        <w:pStyle w:val="Heading2"/>
        <w:spacing w:after="120" w:before="260"/>
      </w:pPr>
      <w:r>
        <w:rPr>
          <w:rFonts w:ascii="Calibri" w:cs="Calibri" w:eastAsia="Calibri" w:hAnsi="Calibri"/>
        </w:rPr>
        <w:t xml:space="preserve">5.3 Case Study: A Real-World False Negative and Its Fix</w:t>
      </w:r>
    </w:p>
    <w:p>
      <w:pPr>
        <w:spacing w:after="160" w:line="276"/>
      </w:pPr>
      <w:r>
        <w:rPr>
          <w:rFonts w:ascii="Calibri" w:cs="Calibri" w:eastAsia="Calibri" w:hAnsi="Calibri"/>
          <w:sz w:val="22"/>
          <w:szCs w:val="22"/>
        </w:rPr>
        <w:t xml:space="preserve">During manual testing, a bank-statement screenshot generated by a known fake-statement-generator site — carrying that site's own watermark and placeholder customer data (“John Doe,” account number “123456789”) — scored fake_score = 0.235 (“Likely Authentic”) from the composite classifier alone, despite the document-text cue (Section 3.8) itself scoring 1.0 on the same image. The composite score under-weighted this single conclusive signal because two moderately elevated but individually inconclusive pixel-level cues (ELA and noise consistency, both plausibly explained by the document's own text density rather than tampering, per Sections 2.1 and 5.1) pulled the blended score down. Applying the high-confidence override (Section 3.9) corrected the verdict to “Possible Fake” with override_reason = "text_score", without needing to re-weight the unreliable pixel cues (which would have raised false-positive risk on unrelated legitimate dense documents instead). This single case is the concrete motivation for the override architecture and is retained here as a worked example rather than a synthetic illustration.</w:t>
      </w:r>
    </w:p>
    <w:p>
      <w:pPr>
        <w:pStyle w:val="Heading2"/>
        <w:spacing w:after="120" w:before="260"/>
      </w:pPr>
      <w:r>
        <w:rPr>
          <w:rFonts w:ascii="Calibri" w:cs="Calibri" w:eastAsia="Calibri" w:hAnsi="Calibri"/>
        </w:rPr>
        <w:t xml:space="preserve">5.4 Cross-Domain Validation</w:t>
      </w:r>
    </w:p>
    <w:p>
      <w:pPr>
        <w:spacing w:after="160" w:line="276"/>
      </w:pPr>
      <w:r>
        <w:rPr>
          <w:rFonts w:ascii="Calibri" w:cs="Calibri" w:eastAsia="Calibri" w:hAnsi="Calibri"/>
          <w:sz w:val="22"/>
          <w:szCs w:val="22"/>
        </w:rPr>
        <w:t xml:space="preserve">Because the trained classifier (Section 3.9) was trained on scanned receipts (Section 4.2) but deployed against chat/bank-statement screenshots, its own predicted probability was checked directly against this project's screenshot test images rather than assumed to transfer. On the watermarked bank-statement screenshot from Section 5.3, the trained model's own probability was 0.235 — the override, not the model's cross-domain transfer, is what corrected the verdict. This is reported plainly as a limitation (Section 6) rather than elided: the model measurably does not fully transfer across the domain gap identified in Sections 2.5 and 4.2, which is precisely why the override layer is a permanent part of the architecture rather than a stopgap.</w:t>
      </w:r>
    </w:p>
    <w:p>
      <w:pPr>
        <w:pStyle w:val="Heading1"/>
        <w:spacing w:after="160" w:before="360"/>
      </w:pPr>
      <w:r>
        <w:rPr>
          <w:rFonts w:ascii="Calibri" w:cs="Calibri" w:eastAsia="Calibri" w:hAnsi="Calibri"/>
        </w:rPr>
        <w:t xml:space="preserve">6. Discussion and Limitations</w:t>
      </w:r>
    </w:p>
    <w:p>
      <w:pPr>
        <w:pStyle w:val="ListParagraph"/>
        <w:numPr>
          <w:ilvl w:val="0"/>
          <w:numId w:val="2"/>
        </w:numPr>
        <w:spacing w:after="100" w:line="276"/>
      </w:pPr>
      <w:r>
        <w:rPr>
          <w:rFonts w:ascii="Calibri" w:cs="Calibri" w:eastAsia="Calibri" w:hAnsi="Calibri"/>
          <w:sz w:val="22"/>
          <w:szCs w:val="22"/>
        </w:rPr>
        <w:t xml:space="preserve">Domain mismatch, not implementation error, explains most pixel-cue weakness. Sections 2.1, 2.3, and 5.1 together show that ELA, JPEG Ghost, and noise-consistency all under-perform their literature-reported accuracy specifically on flat, text-dense, vector-rendered UI content — exactly the content type absent from the photographic and scanned-document benchmarks (Columbia [13], CASIA [12], SROIE-derived receipts [17],[18]) those techniques were developed and validated against.</w:t>
      </w:r>
    </w:p>
    <w:p>
      <w:pPr>
        <w:pStyle w:val="ListParagraph"/>
        <w:numPr>
          <w:ilvl w:val="0"/>
          <w:numId w:val="2"/>
        </w:numPr>
        <w:spacing w:after="100" w:line="276"/>
      </w:pPr>
      <w:r>
        <w:rPr>
          <w:rFonts w:ascii="Calibri" w:cs="Calibri" w:eastAsia="Calibri" w:hAnsi="Calibri"/>
          <w:sz w:val="22"/>
          <w:szCs w:val="22"/>
        </w:rPr>
        <w:t xml:space="preserve">The recall ceiling (28.6% on real data, Table 3) is a genuine, unsolved limitation, not merely a conservative design choice — roughly seven in ten real forgeries in the held-out test set are missed by the trained classifier's own signal, before the override layer (which only helps when metadata or document-text independently fires).</w:t>
      </w:r>
    </w:p>
    <w:p>
      <w:pPr>
        <w:pStyle w:val="ListParagraph"/>
        <w:numPr>
          <w:ilvl w:val="0"/>
          <w:numId w:val="2"/>
        </w:numPr>
        <w:spacing w:after="100" w:line="276"/>
      </w:pPr>
      <w:r>
        <w:rPr>
          <w:rFonts w:ascii="Calibri" w:cs="Calibri" w:eastAsia="Calibri" w:hAnsi="Calibri"/>
          <w:sz w:val="22"/>
          <w:szCs w:val="22"/>
        </w:rPr>
        <w:t xml:space="preserve">No deep-learning component. Section 2.4 documents the field's shift toward end-to-end learned detectors (RGB-N [7], BusterNet [6]) precisely because they outperform hand-crafted cues when sufficient labeled data exists; this project deliberately did not pursue that path, given the absence of labeled screenshot-forgery data (Section 2.7) large enough to train one without high overfitting risk.</w:t>
      </w:r>
    </w:p>
    <w:p>
      <w:pPr>
        <w:pStyle w:val="ListParagraph"/>
        <w:numPr>
          <w:ilvl w:val="0"/>
          <w:numId w:val="2"/>
        </w:numPr>
        <w:spacing w:after="100" w:line="276"/>
      </w:pPr>
      <w:r>
        <w:rPr>
          <w:rFonts w:ascii="Calibri" w:cs="Calibri" w:eastAsia="Calibri" w:hAnsi="Calibri"/>
          <w:sz w:val="22"/>
          <w:szCs w:val="22"/>
        </w:rPr>
        <w:t xml:space="preserve">Training/deployment domain gap (Sections 4.2, 5.4). The only real, non-synthetic labeled forgery data available is scanned receipts, not screenshots; this is a direct consequence of the privacy/legal constraint on real financial-document data that the identity-document literature [20] documents for its own adjacent domain.</w:t>
      </w:r>
    </w:p>
    <w:p>
      <w:pPr>
        <w:pStyle w:val="ListParagraph"/>
        <w:numPr>
          <w:ilvl w:val="0"/>
          <w:numId w:val="2"/>
        </w:numPr>
        <w:spacing w:after="100" w:line="276"/>
      </w:pPr>
      <w:r>
        <w:rPr>
          <w:rFonts w:ascii="Calibri" w:cs="Calibri" w:eastAsia="Calibri" w:hAnsi="Calibri"/>
          <w:sz w:val="22"/>
          <w:szCs w:val="22"/>
        </w:rPr>
        <w:t xml:space="preserve">Copy-move false-positive risk remains non-zero for dense, regularly repeated UI (Section 3.6); the compactness gate narrows but does not eliminate this risk, consistent with Christlein et al.'s finding [5] that no single copy-move method dominates every scenario.</w:t>
      </w:r>
    </w:p>
    <w:p>
      <w:pPr>
        <w:pStyle w:val="ListParagraph"/>
        <w:numPr>
          <w:ilvl w:val="0"/>
          <w:numId w:val="2"/>
        </w:numPr>
        <w:spacing w:after="100" w:line="276"/>
      </w:pPr>
      <w:r>
        <w:rPr>
          <w:rFonts w:ascii="Calibri" w:cs="Calibri" w:eastAsia="Calibri" w:hAnsi="Calibri"/>
          <w:sz w:val="22"/>
          <w:szCs w:val="22"/>
        </w:rPr>
        <w:t xml:space="preserve">OCR reliability (Section 3.8) depends on image resolution and legibility; a blurry photograph of a printed statement may not OCR cleanly enough to catch a watermark that a clean digital screenshot would.</w:t>
      </w:r>
    </w:p>
    <w:p>
      <w:pPr>
        <w:pStyle w:val="Heading1"/>
        <w:spacing w:after="160" w:before="360"/>
      </w:pPr>
      <w:r>
        <w:rPr>
          <w:rFonts w:ascii="Calibri" w:cs="Calibri" w:eastAsia="Calibri" w:hAnsi="Calibri"/>
        </w:rPr>
        <w:t xml:space="preserve">7. Conclusion and Future Work</w:t>
      </w:r>
    </w:p>
    <w:p>
      <w:pPr>
        <w:spacing w:after="160" w:line="276"/>
      </w:pPr>
      <w:r>
        <w:rPr>
          <w:rFonts w:ascii="Calibri" w:cs="Calibri" w:eastAsia="Calibri" w:hAnsi="Calibri"/>
          <w:sz w:val="22"/>
          <w:szCs w:val="22"/>
        </w:rPr>
        <w:t xml:space="preserve">This project set out to build a forensic pipeline for a document class — chat and bank-statement screenshots — that the academic literature reviewed in Section 2 does not directly address, despite extensive and mature work on adjacent problems (photographic splicing and copy-move, scanned receipt and identity-document forgery). The system combines seven cues spanning classical JPEG/compression forensics, copy-move detection, metadata analysis, and a novel OCR-based document-text cue, combined via a RandomForest trained on the closest available real labeled data and protected by a high-confidence override layer motivated by a genuine detection failure documented in Section 5.3. Measured results (Section 5) show real, verifiable progress — zero false positives and improved F1 over the original hand-weighted heuristic on held-out real data — alongside equally real, openly reported limitations: weak pixel-level cue transfer to this content domain, a recall ceiling under 30%, and an unresolved training/deployment domain gap.</w:t>
      </w:r>
    </w:p>
    <w:p>
      <w:pPr>
        <w:spacing w:after="160" w:line="276"/>
      </w:pPr>
      <w:r>
        <w:rPr>
          <w:rFonts w:ascii="Calibri" w:cs="Calibri" w:eastAsia="Calibri" w:hAnsi="Calibri"/>
          <w:sz w:val="22"/>
          <w:szCs w:val="22"/>
        </w:rPr>
        <w:t xml:space="preserve">Three directions follow directly from the gaps this report documents. First, constructing a larger, more varied synthetic screenshot-forgery corpus (extending Section 4.1) that more closely matches the receipt dataset's diversity of tamper types could narrow the domain gap identified in Section 5.4 without requiring real, privacy-sensitive screenshot data. Second, the deep-learning direction reviewed in Section 2.4 — in particular a noise-stream architecture in the spirit of RGB-N [7] — becomes viable once such a corpus exists at sufficient scale. Third, given that this project's single most reliable cue reads document text rather than pixels (Section 3.8), extending it beyond watermark/placeholder pattern-matching toward semantic consistency checks (e.g. does the stated bank's name, logo, and address consistently appear across the document) is a promising, comparatively low-cost next step directly motivated by the case study in Section 5.3.</w:t>
      </w:r>
    </w:p>
    <w:p>
      <w:r>
        <w:br w:type="page"/>
      </w:r>
    </w:p>
    <w:p>
      <w:pPr>
        <w:pStyle w:val="Heading1"/>
        <w:spacing w:after="160" w:before="360"/>
      </w:pPr>
      <w:r>
        <w:rPr>
          <w:rFonts w:ascii="Calibri" w:cs="Calibri" w:eastAsia="Calibri" w:hAnsi="Calibri"/>
        </w:rPr>
        <w:t xml:space="preserve">References</w:t>
      </w:r>
    </w:p>
    <w:p>
      <w:pPr>
        <w:spacing w:after="140" w:line="264"/>
        <w:ind w:left="504" w:hanging="504"/>
      </w:pPr>
      <w:r>
        <w:rPr>
          <w:rFonts w:ascii="Calibri" w:cs="Calibri" w:eastAsia="Calibri" w:hAnsi="Calibri"/>
          <w:b/>
          <w:bCs/>
          <w:sz w:val="22"/>
          <w:szCs w:val="22"/>
        </w:rPr>
        <w:t xml:space="preserve">[1] </w:t>
      </w:r>
      <w:r>
        <w:rPr>
          <w:rFonts w:ascii="Calibri" w:cs="Calibri" w:eastAsia="Calibri" w:hAnsi="Calibri"/>
          <w:sz w:val="22"/>
          <w:szCs w:val="22"/>
        </w:rPr>
        <w:t xml:space="preserve">H. Farid, “Exposing Digital Forgeries from JPEG Ghosts,” IEEE Transactions on Information Forensics and Security, vol. 4, no. 1, pp. 154–160, 2009.</w:t>
      </w:r>
    </w:p>
    <w:p>
      <w:pPr>
        <w:spacing w:after="140" w:line="264"/>
        <w:ind w:left="504" w:hanging="504"/>
      </w:pPr>
      <w:r>
        <w:rPr>
          <w:rFonts w:ascii="Calibri" w:cs="Calibri" w:eastAsia="Calibri" w:hAnsi="Calibri"/>
          <w:b/>
          <w:bCs/>
          <w:sz w:val="22"/>
          <w:szCs w:val="22"/>
        </w:rPr>
        <w:t xml:space="preserve">[2] </w:t>
      </w:r>
      <w:r>
        <w:rPr>
          <w:rFonts w:ascii="Calibri" w:cs="Calibri" w:eastAsia="Calibri" w:hAnsi="Calibri"/>
          <w:sz w:val="22"/>
          <w:szCs w:val="22"/>
        </w:rPr>
        <w:t xml:space="preserve">J. Fridrich, D. Soukal, and J. Lukáš, “Detection of Copy-Move Forgery in Digital Images,” in Proc. Digital Forensic Research Workshop (DFRWS), 2003.</w:t>
      </w:r>
    </w:p>
    <w:p>
      <w:pPr>
        <w:spacing w:after="140" w:line="264"/>
        <w:ind w:left="504" w:hanging="504"/>
      </w:pPr>
      <w:r>
        <w:rPr>
          <w:rFonts w:ascii="Calibri" w:cs="Calibri" w:eastAsia="Calibri" w:hAnsi="Calibri"/>
          <w:b/>
          <w:bCs/>
          <w:sz w:val="22"/>
          <w:szCs w:val="22"/>
        </w:rPr>
        <w:t xml:space="preserve">[3] </w:t>
      </w:r>
      <w:r>
        <w:rPr>
          <w:rFonts w:ascii="Calibri" w:cs="Calibri" w:eastAsia="Calibri" w:hAnsi="Calibri"/>
          <w:sz w:val="22"/>
          <w:szCs w:val="22"/>
        </w:rPr>
        <w:t xml:space="preserve">A. C. Popescu and H. Farid, “Exposing Digital Forgeries by Detecting Duplicated Image Regions,” Dept. of Computer Science, Dartmouth College, Technical Report TR2004-515, 2004.</w:t>
      </w:r>
    </w:p>
    <w:p>
      <w:pPr>
        <w:spacing w:after="140" w:line="264"/>
        <w:ind w:left="504" w:hanging="504"/>
      </w:pPr>
      <w:r>
        <w:rPr>
          <w:rFonts w:ascii="Calibri" w:cs="Calibri" w:eastAsia="Calibri" w:hAnsi="Calibri"/>
          <w:b/>
          <w:bCs/>
          <w:sz w:val="22"/>
          <w:szCs w:val="22"/>
        </w:rPr>
        <w:t xml:space="preserve">[4] </w:t>
      </w:r>
      <w:r>
        <w:rPr>
          <w:rFonts w:ascii="Calibri" w:cs="Calibri" w:eastAsia="Calibri" w:hAnsi="Calibri"/>
          <w:sz w:val="22"/>
          <w:szCs w:val="22"/>
        </w:rPr>
        <w:t xml:space="preserve">H. Huang, W. Guo, and Y. Zhang, “Detection of Copy-Move Forgery in Digital Images Using SIFT Algorithm,” in Proc. IEEE Pacific-Asia Workshop on Computational Intelligence and Industrial Application (PACIIA), 2008, pp. 272–276.</w:t>
      </w:r>
    </w:p>
    <w:p>
      <w:pPr>
        <w:spacing w:after="140" w:line="264"/>
        <w:ind w:left="504" w:hanging="504"/>
      </w:pPr>
      <w:r>
        <w:rPr>
          <w:rFonts w:ascii="Calibri" w:cs="Calibri" w:eastAsia="Calibri" w:hAnsi="Calibri"/>
          <w:b/>
          <w:bCs/>
          <w:sz w:val="22"/>
          <w:szCs w:val="22"/>
        </w:rPr>
        <w:t xml:space="preserve">[5] </w:t>
      </w:r>
      <w:r>
        <w:rPr>
          <w:rFonts w:ascii="Calibri" w:cs="Calibri" w:eastAsia="Calibri" w:hAnsi="Calibri"/>
          <w:sz w:val="22"/>
          <w:szCs w:val="22"/>
        </w:rPr>
        <w:t xml:space="preserve">V. Christlein, C. Riess, J. Jordan, C. Riess, and E. Angelopoulou, “An Evaluation of Popular Copy-Move Forgery Detection Approaches,” IEEE Transactions on Information Forensics and Security, vol. 7, no. 6, pp. 1841–1854, 2012.</w:t>
      </w:r>
    </w:p>
    <w:p>
      <w:pPr>
        <w:spacing w:after="140" w:line="264"/>
        <w:ind w:left="504" w:hanging="504"/>
      </w:pPr>
      <w:r>
        <w:rPr>
          <w:rFonts w:ascii="Calibri" w:cs="Calibri" w:eastAsia="Calibri" w:hAnsi="Calibri"/>
          <w:b/>
          <w:bCs/>
          <w:sz w:val="22"/>
          <w:szCs w:val="22"/>
        </w:rPr>
        <w:t xml:space="preserve">[6] </w:t>
      </w:r>
      <w:r>
        <w:rPr>
          <w:rFonts w:ascii="Calibri" w:cs="Calibri" w:eastAsia="Calibri" w:hAnsi="Calibri"/>
          <w:sz w:val="22"/>
          <w:szCs w:val="22"/>
        </w:rPr>
        <w:t xml:space="preserve">Y. Wu, W. Abd-Almageed, and P. Natarajan, “BusterNet: Detecting Copy-Move Image Forgery with Source/Target Localization,” in Proc. European Conference on Computer Vision (ECCV), 2018.</w:t>
      </w:r>
    </w:p>
    <w:p>
      <w:pPr>
        <w:spacing w:after="140" w:line="264"/>
        <w:ind w:left="504" w:hanging="504"/>
      </w:pPr>
      <w:r>
        <w:rPr>
          <w:rFonts w:ascii="Calibri" w:cs="Calibri" w:eastAsia="Calibri" w:hAnsi="Calibri"/>
          <w:b/>
          <w:bCs/>
          <w:sz w:val="22"/>
          <w:szCs w:val="22"/>
        </w:rPr>
        <w:t xml:space="preserve">[7] </w:t>
      </w:r>
      <w:r>
        <w:rPr>
          <w:rFonts w:ascii="Calibri" w:cs="Calibri" w:eastAsia="Calibri" w:hAnsi="Calibri"/>
          <w:sz w:val="22"/>
          <w:szCs w:val="22"/>
        </w:rPr>
        <w:t xml:space="preserve">P. Zhou, X. Han, V. I. Morariu, and L. S. Davis, “Learning Rich Features for Image Manipulation Detection,” in Proc. IEEE Conference on Computer Vision and Pattern Recognition (CVPR), 2018.</w:t>
      </w:r>
    </w:p>
    <w:p>
      <w:pPr>
        <w:spacing w:after="140" w:line="264"/>
        <w:ind w:left="504" w:hanging="504"/>
      </w:pPr>
      <w:r>
        <w:rPr>
          <w:rFonts w:ascii="Calibri" w:cs="Calibri" w:eastAsia="Calibri" w:hAnsi="Calibri"/>
          <w:b/>
          <w:bCs/>
          <w:sz w:val="22"/>
          <w:szCs w:val="22"/>
        </w:rPr>
        <w:t xml:space="preserve">[8] </w:t>
      </w:r>
      <w:r>
        <w:rPr>
          <w:rFonts w:ascii="Calibri" w:cs="Calibri" w:eastAsia="Calibri" w:hAnsi="Calibri"/>
          <w:sz w:val="22"/>
          <w:szCs w:val="22"/>
        </w:rPr>
        <w:t xml:space="preserve">J. Lukáš, J. Fridrich, and M. Goljan, “Digital Camera Identification from Sensor Pattern Noise,” IEEE Transactions on Information Forensics and Security, vol. 1, no. 2, pp. 205–214, 2006.</w:t>
      </w:r>
    </w:p>
    <w:p>
      <w:pPr>
        <w:spacing w:after="140" w:line="264"/>
        <w:ind w:left="504" w:hanging="504"/>
      </w:pPr>
      <w:r>
        <w:rPr>
          <w:rFonts w:ascii="Calibri" w:cs="Calibri" w:eastAsia="Calibri" w:hAnsi="Calibri"/>
          <w:b/>
          <w:bCs/>
          <w:sz w:val="22"/>
          <w:szCs w:val="22"/>
        </w:rPr>
        <w:t xml:space="preserve">[9] </w:t>
      </w:r>
      <w:r>
        <w:rPr>
          <w:rFonts w:ascii="Calibri" w:cs="Calibri" w:eastAsia="Calibri" w:hAnsi="Calibri"/>
          <w:sz w:val="22"/>
          <w:szCs w:val="22"/>
        </w:rPr>
        <w:t xml:space="preserve">T. Bianchi and A. Piva, “Image Forgery Localization via Block-Grained Analysis of JPEG Artifacts,” IEEE Transactions on Information Forensics and Security, vol. 7, no. 3, pp. 1003–1017, 2012.</w:t>
      </w:r>
    </w:p>
    <w:p>
      <w:pPr>
        <w:spacing w:after="140" w:line="264"/>
        <w:ind w:left="504" w:hanging="504"/>
      </w:pPr>
      <w:r>
        <w:rPr>
          <w:rFonts w:ascii="Calibri" w:cs="Calibri" w:eastAsia="Calibri" w:hAnsi="Calibri"/>
          <w:b/>
          <w:bCs/>
          <w:sz w:val="22"/>
          <w:szCs w:val="22"/>
        </w:rPr>
        <w:t xml:space="preserve">[10] </w:t>
      </w:r>
      <w:r>
        <w:rPr>
          <w:rFonts w:ascii="Calibri" w:cs="Calibri" w:eastAsia="Calibri" w:hAnsi="Calibri"/>
          <w:sz w:val="22"/>
          <w:szCs w:val="22"/>
        </w:rPr>
        <w:t xml:space="preserve">T. Bianchi and A. Piva, “Detection of Nonaligned Double JPEG Compression Based on Integer Periodicity Maps,” IEEE Transactions on Information Forensics and Security, vol. 7, no. 2, pp. 842–848, 2012.</w:t>
      </w:r>
    </w:p>
    <w:p>
      <w:pPr>
        <w:spacing w:after="140" w:line="264"/>
        <w:ind w:left="504" w:hanging="504"/>
      </w:pPr>
      <w:r>
        <w:rPr>
          <w:rFonts w:ascii="Calibri" w:cs="Calibri" w:eastAsia="Calibri" w:hAnsi="Calibri"/>
          <w:b/>
          <w:bCs/>
          <w:sz w:val="22"/>
          <w:szCs w:val="22"/>
        </w:rPr>
        <w:t xml:space="preserve">[11] </w:t>
      </w:r>
      <w:r>
        <w:rPr>
          <w:rFonts w:ascii="Calibri" w:cs="Calibri" w:eastAsia="Calibri" w:hAnsi="Calibri"/>
          <w:sz w:val="22"/>
          <w:szCs w:val="22"/>
        </w:rPr>
        <w:t xml:space="preserve">Z. Lin, J. He, X. Tang, and C.-K. Tang, “Fast, Automatic and Fine-Grained Tampered JPEG Image Detection via DCT Coefficient Analysis,” Pattern Recognition, vol. 42, no. 11, pp. 2492–2501, 2009.</w:t>
      </w:r>
    </w:p>
    <w:p>
      <w:pPr>
        <w:spacing w:after="140" w:line="264"/>
        <w:ind w:left="504" w:hanging="504"/>
      </w:pPr>
      <w:r>
        <w:rPr>
          <w:rFonts w:ascii="Calibri" w:cs="Calibri" w:eastAsia="Calibri" w:hAnsi="Calibri"/>
          <w:b/>
          <w:bCs/>
          <w:sz w:val="22"/>
          <w:szCs w:val="22"/>
        </w:rPr>
        <w:t xml:space="preserve">[12] </w:t>
      </w:r>
      <w:r>
        <w:rPr>
          <w:rFonts w:ascii="Calibri" w:cs="Calibri" w:eastAsia="Calibri" w:hAnsi="Calibri"/>
          <w:sz w:val="22"/>
          <w:szCs w:val="22"/>
        </w:rPr>
        <w:t xml:space="preserve">J. Dong, W. Wang, and T. Tan, “CASIA Image Tampering Detection Evaluation Database,” in Proc. IEEE China Summit and International Conference on Signal and Information Processing (ChinaSIP), 2013, pp. 422–426.</w:t>
      </w:r>
    </w:p>
    <w:p>
      <w:pPr>
        <w:spacing w:after="140" w:line="264"/>
        <w:ind w:left="504" w:hanging="504"/>
      </w:pPr>
      <w:r>
        <w:rPr>
          <w:rFonts w:ascii="Calibri" w:cs="Calibri" w:eastAsia="Calibri" w:hAnsi="Calibri"/>
          <w:b/>
          <w:bCs/>
          <w:sz w:val="22"/>
          <w:szCs w:val="22"/>
        </w:rPr>
        <w:t xml:space="preserve">[13] </w:t>
      </w:r>
      <w:r>
        <w:rPr>
          <w:rFonts w:ascii="Calibri" w:cs="Calibri" w:eastAsia="Calibri" w:hAnsi="Calibri"/>
          <w:sz w:val="22"/>
          <w:szCs w:val="22"/>
        </w:rPr>
        <w:t xml:space="preserve">T.-T. Ng and S.-F. Chang, “A Data Set of Authentic and Spliced Image Blocks,” Columbia University, ADVENT Technical Report #203-2004-3, 2004.</w:t>
      </w:r>
    </w:p>
    <w:p>
      <w:pPr>
        <w:spacing w:after="140" w:line="264"/>
        <w:ind w:left="504" w:hanging="504"/>
      </w:pPr>
      <w:r>
        <w:rPr>
          <w:rFonts w:ascii="Calibri" w:cs="Calibri" w:eastAsia="Calibri" w:hAnsi="Calibri"/>
          <w:b/>
          <w:bCs/>
          <w:sz w:val="22"/>
          <w:szCs w:val="22"/>
        </w:rPr>
        <w:t xml:space="preserve">[14] </w:t>
      </w:r>
      <w:r>
        <w:rPr>
          <w:rFonts w:ascii="Calibri" w:cs="Calibri" w:eastAsia="Calibri" w:hAnsi="Calibri"/>
          <w:sz w:val="22"/>
          <w:szCs w:val="22"/>
        </w:rPr>
        <w:t xml:space="preserve">S. Lyu, X. Pan, and X. Zhang, “Exposing Region Splicing Forgeries with Blind Local Noise Estimation,” International Journal of Computer Vision, vol. 110, no. 2, pp. 202–221, 2014.</w:t>
      </w:r>
    </w:p>
    <w:p>
      <w:pPr>
        <w:spacing w:after="140" w:line="264"/>
        <w:ind w:left="504" w:hanging="504"/>
      </w:pPr>
      <w:r>
        <w:rPr>
          <w:rFonts w:ascii="Calibri" w:cs="Calibri" w:eastAsia="Calibri" w:hAnsi="Calibri"/>
          <w:b/>
          <w:bCs/>
          <w:sz w:val="22"/>
          <w:szCs w:val="22"/>
        </w:rPr>
        <w:t xml:space="preserve">[15] </w:t>
      </w:r>
      <w:r>
        <w:rPr>
          <w:rFonts w:ascii="Calibri" w:cs="Calibri" w:eastAsia="Calibri" w:hAnsi="Calibri"/>
          <w:sz w:val="22"/>
          <w:szCs w:val="22"/>
        </w:rPr>
        <w:t xml:space="preserve">L. Verdoliva, “Media Forensics and DeepFakes: An Overview,” IEEE Journal of Selected Topics in Signal Processing, vol. 14, no. 5, pp. 910–932, 2020.</w:t>
      </w:r>
    </w:p>
    <w:p>
      <w:pPr>
        <w:spacing w:after="140" w:line="264"/>
        <w:ind w:left="504" w:hanging="504"/>
      </w:pPr>
      <w:r>
        <w:rPr>
          <w:rFonts w:ascii="Calibri" w:cs="Calibri" w:eastAsia="Calibri" w:hAnsi="Calibri"/>
          <w:b/>
          <w:bCs/>
          <w:sz w:val="22"/>
          <w:szCs w:val="22"/>
        </w:rPr>
        <w:t xml:space="preserve">[16] </w:t>
      </w:r>
      <w:r>
        <w:rPr>
          <w:rFonts w:ascii="Calibri" w:cs="Calibri" w:eastAsia="Calibri" w:hAnsi="Calibri"/>
          <w:sz w:val="22"/>
          <w:szCs w:val="22"/>
        </w:rPr>
        <w:t xml:space="preserve">S.-Y. Wang, O. Wang, R. Zhang, A. Owens, and A. A. Efros, “CNN-Generated Images Are Surprisingly Easy to Spot… for Now,” in Proc. IEEE Conference on Computer Vision and Pattern Recognition (CVPR), 2020.</w:t>
      </w:r>
    </w:p>
    <w:p>
      <w:pPr>
        <w:spacing w:after="140" w:line="264"/>
        <w:ind w:left="504" w:hanging="504"/>
      </w:pPr>
      <w:r>
        <w:rPr>
          <w:rFonts w:ascii="Calibri" w:cs="Calibri" w:eastAsia="Calibri" w:hAnsi="Calibri"/>
          <w:b/>
          <w:bCs/>
          <w:sz w:val="22"/>
          <w:szCs w:val="22"/>
        </w:rPr>
        <w:t xml:space="preserve">[17] </w:t>
      </w:r>
      <w:r>
        <w:rPr>
          <w:rFonts w:ascii="Calibri" w:cs="Calibri" w:eastAsia="Calibri" w:hAnsi="Calibri"/>
          <w:sz w:val="22"/>
          <w:szCs w:val="22"/>
        </w:rPr>
        <w:t xml:space="preserve">Z. Huang, K. Chen, J. He, X. Bai, D. Karatzas, S. Lu, and C. V. Jawahar, “ICDAR2019 Competition on Scanned Receipt OCR and Information Extraction,” in Proc. International Conference on Document Analysis and Recognition (ICDAR), 2019. arXiv:2103.10213.</w:t>
      </w:r>
    </w:p>
    <w:p>
      <w:pPr>
        <w:spacing w:after="140" w:line="264"/>
        <w:ind w:left="504" w:hanging="504"/>
      </w:pPr>
      <w:r>
        <w:rPr>
          <w:rFonts w:ascii="Calibri" w:cs="Calibri" w:eastAsia="Calibri" w:hAnsi="Calibri"/>
          <w:b/>
          <w:bCs/>
          <w:sz w:val="22"/>
          <w:szCs w:val="22"/>
        </w:rPr>
        <w:t xml:space="preserve">[18] </w:t>
      </w:r>
      <w:r>
        <w:rPr>
          <w:rFonts w:ascii="Calibri" w:cs="Calibri" w:eastAsia="Calibri" w:hAnsi="Calibri"/>
          <w:sz w:val="22"/>
          <w:szCs w:val="22"/>
        </w:rPr>
        <w:t xml:space="preserve">B. Martínez Tornés, T. Taburet, E. Boros, K. Rouis, A. Doucet, P. Gomez-Krämer, N. Sidere, and V. Poulain d’Andecy, “Receipt Dataset for Document Forgery Detection,” in Proc. International Conference on Document Analysis and Recognition (ICDAR), 2023, pp. 379–394.</w:t>
      </w:r>
    </w:p>
    <w:p>
      <w:pPr>
        <w:spacing w:after="140" w:line="264"/>
        <w:ind w:left="504" w:hanging="504"/>
      </w:pPr>
      <w:r>
        <w:rPr>
          <w:rFonts w:ascii="Calibri" w:cs="Calibri" w:eastAsia="Calibri" w:hAnsi="Calibri"/>
          <w:b/>
          <w:bCs/>
          <w:sz w:val="22"/>
          <w:szCs w:val="22"/>
        </w:rPr>
        <w:t xml:space="preserve">[19] </w:t>
      </w:r>
      <w:r>
        <w:rPr>
          <w:rFonts w:ascii="Calibri" w:cs="Calibri" w:eastAsia="Calibri" w:hAnsi="Calibri"/>
          <w:sz w:val="22"/>
          <w:szCs w:val="22"/>
        </w:rPr>
        <w:t xml:space="preserve">“Deep Learning-based Forgery Attack on Document Images,” arXiv:2102.00653, 2021.</w:t>
      </w:r>
    </w:p>
    <w:p>
      <w:pPr>
        <w:spacing w:after="140" w:line="264"/>
        <w:ind w:left="504" w:hanging="504"/>
      </w:pPr>
      <w:r>
        <w:rPr>
          <w:rFonts w:ascii="Calibri" w:cs="Calibri" w:eastAsia="Calibri" w:hAnsi="Calibri"/>
          <w:b/>
          <w:bCs/>
          <w:sz w:val="22"/>
          <w:szCs w:val="22"/>
        </w:rPr>
        <w:t xml:space="preserve">[20] </w:t>
      </w:r>
      <w:r>
        <w:rPr>
          <w:rFonts w:ascii="Calibri" w:cs="Calibri" w:eastAsia="Calibri" w:hAnsi="Calibri"/>
          <w:sz w:val="22"/>
          <w:szCs w:val="22"/>
        </w:rPr>
        <w:t xml:space="preserve">“From Forgeries to Foundation Models: A Systematic Survey of Identity Document Attack and Detection,” arXiv:2607.01442, 2026.</w:t>
      </w:r>
    </w:p>
    <w:p>
      <w:pPr>
        <w:spacing w:after="140" w:line="264"/>
        <w:ind w:left="504" w:hanging="504"/>
      </w:pPr>
      <w:r>
        <w:rPr>
          <w:rFonts w:ascii="Calibri" w:cs="Calibri" w:eastAsia="Calibri" w:hAnsi="Calibri"/>
          <w:b/>
          <w:bCs/>
          <w:sz w:val="22"/>
          <w:szCs w:val="22"/>
        </w:rPr>
        <w:t xml:space="preserve">[21] </w:t>
      </w:r>
      <w:r>
        <w:rPr>
          <w:rFonts w:ascii="Calibri" w:cs="Calibri" w:eastAsia="Calibri" w:hAnsi="Calibri"/>
          <w:sz w:val="22"/>
          <w:szCs w:val="22"/>
        </w:rPr>
        <w:t xml:space="preserve">“The Third Competition on Document Forgery Detection on ID-Cards and Passports,” arXiv:2607.15734, 2026.</w:t>
      </w:r>
    </w:p>
    <w:p>
      <w:pPr>
        <w:spacing w:after="140" w:line="264"/>
        <w:ind w:left="504" w:hanging="504"/>
      </w:pPr>
      <w:r>
        <w:rPr>
          <w:rFonts w:ascii="Calibri" w:cs="Calibri" w:eastAsia="Calibri" w:hAnsi="Calibri"/>
          <w:b/>
          <w:bCs/>
          <w:sz w:val="22"/>
          <w:szCs w:val="22"/>
        </w:rPr>
        <w:t xml:space="preserve">[22] </w:t>
      </w:r>
      <w:r>
        <w:rPr>
          <w:rFonts w:ascii="Calibri" w:cs="Calibri" w:eastAsia="Calibri" w:hAnsi="Calibri"/>
          <w:sz w:val="22"/>
          <w:szCs w:val="22"/>
        </w:rPr>
        <w:t xml:space="preserve">S. Jesus, J. Pombal, D. Alves, A. Cruz, P. Saleiro, and R. P. Ribeiro, “Turning the Tables: Biased, Imbalanced, Dynamic Tabular Datasets for ML Evaluation,” in Proc. Advances in Neural Information Processing Systems (NeurIPS), Datasets and Benchmarks Track, 2022.</w:t>
      </w:r>
    </w:p>
    <w:p>
      <w:pPr>
        <w:spacing w:after="140" w:line="264"/>
        <w:ind w:left="504" w:hanging="504"/>
      </w:pPr>
      <w:r>
        <w:rPr>
          <w:rFonts w:ascii="Calibri" w:cs="Calibri" w:eastAsia="Calibri" w:hAnsi="Calibri"/>
          <w:b/>
          <w:bCs/>
          <w:sz w:val="22"/>
          <w:szCs w:val="22"/>
        </w:rPr>
        <w:t xml:space="preserve">[23] </w:t>
      </w:r>
      <w:r>
        <w:rPr>
          <w:rFonts w:ascii="Calibri" w:cs="Calibri" w:eastAsia="Calibri" w:hAnsi="Calibri"/>
          <w:sz w:val="22"/>
          <w:szCs w:val="22"/>
        </w:rPr>
        <w:t xml:space="preserve">L. G. Hafemann, R. Sabourin, and L. S. Oliveira, “Learning Features for Offline Handwritten Signature Verification Using Deep Convolutional Neural Networks,” Pattern Recognition, vol. 70, pp. 163–176, 2017.</w:t>
      </w:r>
    </w:p>
    <w:p>
      <w:pPr>
        <w:spacing w:before="300"/>
      </w:pPr>
      <w:r>
        <w:rPr>
          <w:rFonts w:ascii="Calibri" w:cs="Calibri" w:eastAsia="Calibri" w:hAnsi="Calibri"/>
          <w:i/>
          <w:iCs/>
          <w:sz w:val="22"/>
          <w:szCs w:val="22"/>
        </w:rPr>
        <w:t xml:space="preserve">Additional (non-academic) sources cited for real-world motivation in Section 1 and Section 2.7:</w:t>
      </w:r>
    </w:p>
    <w:p>
      <w:pPr>
        <w:spacing w:after="140" w:line="264"/>
        <w:ind w:left="504" w:hanging="504"/>
      </w:pPr>
      <w:r>
        <w:rPr>
          <w:rFonts w:ascii="Calibri" w:cs="Calibri" w:eastAsia="Calibri" w:hAnsi="Calibri"/>
          <w:b/>
          <w:bCs/>
          <w:sz w:val="22"/>
          <w:szCs w:val="22"/>
        </w:rPr>
        <w:t xml:space="preserve">[A] </w:t>
      </w:r>
      <w:r>
        <w:rPr>
          <w:rFonts w:ascii="Calibri" w:cs="Calibri" w:eastAsia="Calibri" w:hAnsi="Calibri"/>
          <w:sz w:val="22"/>
          <w:szCs w:val="22"/>
        </w:rPr>
        <w:t xml:space="preserve">“Fake Payment Screenshot Scams: How to Identify &amp; Prevent UPI Fraud,” Cashfree (industry blog), accessed 2026.</w:t>
      </w:r>
    </w:p>
    <w:p>
      <w:pPr>
        <w:spacing w:after="140" w:line="264"/>
        <w:ind w:left="504" w:hanging="504"/>
      </w:pPr>
      <w:r>
        <w:rPr>
          <w:rFonts w:ascii="Calibri" w:cs="Calibri" w:eastAsia="Calibri" w:hAnsi="Calibri"/>
          <w:b/>
          <w:bCs/>
          <w:sz w:val="22"/>
          <w:szCs w:val="22"/>
        </w:rPr>
        <w:t xml:space="preserve">[B] </w:t>
      </w:r>
      <w:r>
        <w:rPr>
          <w:rFonts w:ascii="Calibri" w:cs="Calibri" w:eastAsia="Calibri" w:hAnsi="Calibri"/>
          <w:sz w:val="22"/>
          <w:szCs w:val="22"/>
        </w:rPr>
        <w:t xml:space="preserve">“What Is the Fake Payment Screenshot Scam? How Fraudsters Use Fake Receipts to Trick Retailers,” LatestLY, accessed 2026.</w:t>
      </w:r>
    </w:p>
    <w:p>
      <w:pPr>
        <w:spacing w:after="140" w:line="264"/>
        <w:ind w:left="504" w:hanging="504"/>
      </w:pPr>
      <w:r>
        <w:rPr>
          <w:rFonts w:ascii="Calibri" w:cs="Calibri" w:eastAsia="Calibri" w:hAnsi="Calibri"/>
          <w:b/>
          <w:bCs/>
          <w:sz w:val="22"/>
          <w:szCs w:val="22"/>
        </w:rPr>
        <w:t xml:space="preserve">[C] </w:t>
      </w:r>
      <w:r>
        <w:rPr>
          <w:rFonts w:ascii="Calibri" w:cs="Calibri" w:eastAsia="Calibri" w:hAnsi="Calibri"/>
          <w:sz w:val="22"/>
          <w:szCs w:val="22"/>
        </w:rPr>
        <w:t xml:space="preserve">“Fake Payment Screenshot Scam: How to Spot and Stay Safe,” CoinDCX (industry blog), accessed 2026.</w:t>
      </w: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2026-07-24T15:38:10.891Z</dcterms:created>
  <dcterms:modified xsi:type="dcterms:W3CDTF">2026-07-24T15:38:10.892Z</dcterms:modified>
</cp:coreProperties>
</file>

<file path=docProps/custom.xml><?xml version="1.0" encoding="utf-8"?>
<Properties xmlns="http://schemas.openxmlformats.org/officeDocument/2006/custom-properties" xmlns:vt="http://schemas.openxmlformats.org/officeDocument/2006/docPropsVTypes"/>
</file>