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1B2A4A"/>
          <w:sz w:val="52"/>
          <w:szCs w:val="52"/>
        </w:rPr>
        <w:t xml:space="preserve">FAKE SCREENSHOT DETECTOR</w:t>
      </w:r>
    </w:p>
    <w:p>
      <w:pPr>
        <w:spacing w:after="400" w:before="200"/>
        <w:jc w:val="center"/>
      </w:pPr>
      <w:r>
        <w:rPr>
          <w:i/>
          <w:iCs/>
          <w:color w:val="8A5A1E"/>
          <w:sz w:val="28"/>
          <w:szCs w:val="28"/>
        </w:rPr>
        <w:t xml:space="preserve">Implementation Walkthrough &amp; Sample Run Documentation</w:t>
      </w:r>
    </w:p>
    <w:p>
      <w:pPr>
        <w:spacing w:after="100"/>
        <w:jc w:val="center"/>
      </w:pPr>
      <w:r>
        <w:rPr>
          <w:color w:val="6B7280"/>
          <w:sz w:val="21"/>
          <w:szCs w:val="21"/>
        </w:rPr>
        <w:t xml:space="preserve">A companion to the Review 2 presentation: how an upload actually becomes a verdict,</w:t>
      </w:r>
    </w:p>
    <w:p>
      <w:pPr>
        <w:spacing w:after="600"/>
        <w:jc w:val="center"/>
      </w:pPr>
      <w:r>
        <w:rPr>
          <w:color w:val="6B7280"/>
          <w:sz w:val="21"/>
          <w:szCs w:val="21"/>
        </w:rPr>
        <w:t xml:space="preserve">demonstrated end to end on a genuine authentic screenshot and a genuine fake one.</w:t>
      </w:r>
    </w:p>
    <w:p>
      <w:pPr>
        <w:jc w:val="center"/>
      </w:pPr>
      <w:r>
        <w:rPr>
          <w:color w:val="6B7280"/>
          <w:sz w:val="19"/>
          <w:szCs w:val="19"/>
        </w:rPr>
        <w:t xml:space="preserve">github.com/albert-matheww/fake-screenshot-detector</w:t>
      </w:r>
    </w:p>
    <w:p>
      <w:r>
        <w:br w:type="page"/>
      </w:r>
    </w:p>
    <w:p>
      <w:pPr>
        <w:pStyle w:val="Heading1"/>
        <w:spacing w:after="200" w:before="400"/>
      </w:pPr>
      <w:r>
        <w:rPr>
          <w:b/>
          <w:bCs/>
          <w:color w:val="1B2A4A"/>
        </w:rPr>
        <w:t xml:space="preserve">1. Purpose of This Document</w:t>
      </w:r>
    </w:p>
    <w:p>
      <w:pPr>
        <w:spacing w:after="160"/>
      </w:pPr>
      <w:r>
        <w:t xml:space="preserve">This document explains what happens, computationally, between a user uploading an image and the tool returning a verdict — and demonstrates it with two real, captured runs of the live system: one on an authentic bank-statement screenshot, and one on the same statement with a fake-document-generator watermark injected into it. Every number, image, and JSON excerpt in Sections 5–7 is copied directly from an actual POST /analyze response; none of it is illustrative or invented.</w:t>
      </w:r>
    </w:p>
    <w:p>
      <w:pPr>
        <w:spacing w:after="160"/>
      </w:pPr>
      <w:r>
        <w:t xml:space="preserve">A note on the sample images: no public dataset of labeled real/fake screenshots exists (see the project README and the accompanying literature review) — this is a documented, honest gap, not an oversight. The two sample images used here are procedurally generated by the project's own tools/synthesize_dataset.py, built specifically to fill that gap with real, on-disk, labeled training and demonstration material. They are clearly identified as such throughout — “real” and “fake” below refer to the authentic/tampered class, not to the images' real-world provenance.</w:t>
      </w:r>
    </w:p>
    <w:p>
      <w:pPr>
        <w:pStyle w:val="Heading1"/>
        <w:spacing w:after="200" w:before="400"/>
      </w:pPr>
      <w:r>
        <w:rPr>
          <w:b/>
          <w:bCs/>
          <w:color w:val="1B2A4A"/>
        </w:rPr>
        <w:t xml:space="preserve">2. System Overview</w:t>
      </w:r>
    </w:p>
    <w:p>
      <w:pPr>
        <w:spacing w:after="160"/>
      </w:pPr>
      <w:r>
        <w:t xml:space="preserve">The system is two independently deployed services joined by one HTTP contract:</w:t>
      </w:r>
    </w:p>
    <w:p>
      <w:pPr>
        <w:pStyle w:val="ListParagraph"/>
        <w:numPr>
          <w:ilvl w:val="0"/>
          <w:numId w:val="1"/>
        </w:numPr>
        <w:spacing w:after="90"/>
      </w:pPr>
      <w:r>
        <w:t xml:space="preserve">A React frontend (drag-and-drop upload, ELA heatmap comparison, per-cue breakdown, JSON report download).</w:t>
      </w:r>
    </w:p>
    <w:p>
      <w:pPr>
        <w:pStyle w:val="ListParagraph"/>
        <w:numPr>
          <w:ilvl w:val="0"/>
          <w:numId w:val="1"/>
        </w:numPr>
        <w:spacing w:after="90"/>
      </w:pPr>
      <w:r>
        <w:t xml:space="preserve">A Flask backend exposing POST /analyze and GET /status, running the forensic pipeline and returning a verdict as JSON.</w:t>
      </w:r>
    </w:p>
    <w:p>
      <w:pPr>
        <w:spacing w:after="160"/>
      </w:pPr>
      <w:r>
        <w:t xml:space="preserve">Images are processed entirely in memory. Nothing is written to disk at any point in the pipeline — only a SHA-256 hash of the upload is logged, for traceability without retaining the image itself. In Docker Compose, nginx serves the frontend and reverse-proxies /api/* to the Flask container; the two services can be built, scaled, and tested independently.</w:t>
      </w:r>
    </w:p>
    <w:p>
      <w:pPr>
        <w:pStyle w:val="Heading1"/>
        <w:spacing w:after="200" w:before="400"/>
      </w:pPr>
      <w:r>
        <w:rPr>
          <w:b/>
          <w:bCs/>
          <w:color w:val="1B2A4A"/>
        </w:rPr>
        <w:t xml:space="preserve">3. The Analysis Workflow, Step by Step</w:t>
      </w:r>
    </w:p>
    <w:p>
      <w:pPr>
        <w:spacing w:after="160"/>
      </w:pPr>
      <w:r>
        <w:t xml:space="preserve">This is the exact sequence executed by forensic.analyze_image_bytes() for every uploaded image, in order:</w:t>
      </w:r>
    </w:p>
    <w:p>
      <w:pPr>
        <w:pStyle w:val="ListParagraph"/>
        <w:numPr>
          <w:ilvl w:val="0"/>
          <w:numId w:val="2"/>
        </w:numPr>
        <w:spacing w:after="120"/>
      </w:pPr>
      <w:r>
        <w:t xml:space="preserve">The client sends the image as multipart/form-data to </w:t>
      </w:r>
      <w:r>
        <w:rPr>
          <w:rFonts w:ascii="Courier New" w:cs="Courier New" w:eastAsia="Courier New" w:hAnsi="Courier New"/>
          <w:sz w:val="20"/>
          <w:szCs w:val="20"/>
        </w:rPr>
        <w:t xml:space="preserve">POST /analyze</w:t>
      </w:r>
      <w:r>
        <w:t xml:space="preserve">.</w:t>
      </w:r>
    </w:p>
    <w:p>
      <w:pPr>
        <w:pStyle w:val="ListParagraph"/>
        <w:numPr>
          <w:ilvl w:val="0"/>
          <w:numId w:val="2"/>
        </w:numPr>
        <w:spacing w:after="120"/>
      </w:pPr>
      <w:r>
        <w:t xml:space="preserve">Flask validates the file extension and size (≤10 MB) and reads the bytes into memory — never to disk.</w:t>
      </w:r>
    </w:p>
    <w:p>
      <w:pPr>
        <w:pStyle w:val="ListParagraph"/>
        <w:numPr>
          <w:ilvl w:val="0"/>
          <w:numId w:val="2"/>
        </w:numPr>
        <w:spacing w:after="120"/>
      </w:pPr>
      <w:r>
        <w:t xml:space="preserve">A SHA-256 hash of the raw bytes is computed and logged for traceability.</w:t>
      </w:r>
    </w:p>
    <w:p>
      <w:pPr>
        <w:pStyle w:val="ListParagraph"/>
        <w:numPr>
          <w:ilvl w:val="0"/>
          <w:numId w:val="2"/>
        </w:numPr>
        <w:spacing w:after="120"/>
      </w:pPr>
      <w:r>
        <w:t xml:space="preserve">Cues that need the </w:t>
      </w:r>
      <w:r>
        <w:rPr>
          <w:b/>
          <w:bCs/>
        </w:rPr>
        <w:t xml:space="preserve">original, unresized</w:t>
      </w:r>
      <w:r>
        <w:t xml:space="preserve"> file run first: quantization-table inspection, EXIF/metadata inspection, and one shared Tesseract OCR pass (the same OCR data feeds document-text, font-consistency, chrome-consistency, and amount-consistency, so Tesseract runs exactly once per request).</w:t>
      </w:r>
    </w:p>
    <w:p>
      <w:pPr>
        <w:pStyle w:val="ListParagraph"/>
        <w:numPr>
          <w:ilvl w:val="0"/>
          <w:numId w:val="2"/>
        </w:numPr>
        <w:spacing w:after="120"/>
      </w:pPr>
      <w:r>
        <w:t xml:space="preserve">The image is resized to a maximum dimension (1600px) for the remaining, more compute-intensive cues.</w:t>
      </w:r>
    </w:p>
    <w:p>
      <w:pPr>
        <w:pStyle w:val="ListParagraph"/>
        <w:numPr>
          <w:ilvl w:val="0"/>
          <w:numId w:val="2"/>
        </w:numPr>
        <w:spacing w:after="120"/>
      </w:pPr>
      <w:r>
        <w:t xml:space="preserve">Block-grid cues run on the resized copy: Error Level Analysis, JPEG Ghost, noise consistency, copy-move detection, and edge-sharpness consistency.</w:t>
      </w:r>
    </w:p>
    <w:p>
      <w:pPr>
        <w:pStyle w:val="ListParagraph"/>
        <w:numPr>
          <w:ilvl w:val="0"/>
          <w:numId w:val="2"/>
        </w:numPr>
        <w:spacing w:after="120"/>
      </w:pPr>
      <w:r>
        <w:t xml:space="preserve">All eleven cue scores are assembled into one feature vector.</w:t>
      </w:r>
    </w:p>
    <w:p>
      <w:pPr>
        <w:pStyle w:val="ListParagraph"/>
        <w:numPr>
          <w:ilvl w:val="0"/>
          <w:numId w:val="2"/>
        </w:numPr>
        <w:spacing w:after="120"/>
      </w:pPr>
      <w:r>
        <w:rPr>
          <w:rFonts w:ascii="Courier New" w:cs="Courier New" w:eastAsia="Courier New" w:hAnsi="Courier New"/>
          <w:sz w:val="20"/>
          <w:szCs w:val="20"/>
        </w:rPr>
        <w:t xml:space="preserve">classify_content_type()</w:t>
      </w:r>
      <w:r>
        <w:t xml:space="preserve"> buckets the image (financial_document / social_or_chat / photo / unknown) from its OCR text and shape, and resolves the threshold to use for this specific request.</w:t>
      </w:r>
    </w:p>
    <w:p>
      <w:pPr>
        <w:pStyle w:val="ListParagraph"/>
        <w:numPr>
          <w:ilvl w:val="0"/>
          <w:numId w:val="2"/>
        </w:numPr>
        <w:spacing w:after="120"/>
      </w:pPr>
      <w:r>
        <w:rPr>
          <w:rFonts w:ascii="Courier New" w:cs="Courier New" w:eastAsia="Courier New" w:hAnsi="Courier New"/>
          <w:sz w:val="20"/>
          <w:szCs w:val="20"/>
        </w:rPr>
        <w:t xml:space="preserve">model_loader.predict_fake()</w:t>
      </w:r>
      <w:r>
        <w:t xml:space="preserve"> computes the composite </w:t>
      </w:r>
      <w:r>
        <w:rPr>
          <w:rFonts w:ascii="Courier New" w:cs="Courier New" w:eastAsia="Courier New" w:hAnsi="Courier New"/>
          <w:sz w:val="20"/>
          <w:szCs w:val="20"/>
        </w:rPr>
        <w:t xml:space="preserve">fake_score</w:t>
      </w:r>
      <w:r>
        <w:t xml:space="preserve"> — the bundled RandomForest if it loaded successfully, otherwise a transparent weighted-average heuristic.</w:t>
      </w:r>
    </w:p>
    <w:p>
      <w:pPr>
        <w:pStyle w:val="ListParagraph"/>
        <w:numPr>
          <w:ilvl w:val="0"/>
          <w:numId w:val="2"/>
        </w:numPr>
        <w:spacing w:after="120"/>
      </w:pPr>
      <w:r>
        <w:t xml:space="preserve">A high-confidence override check runs on top of that score: if </w:t>
      </w:r>
      <w:r>
        <w:rPr>
          <w:rFonts w:ascii="Courier New" w:cs="Courier New" w:eastAsia="Courier New" w:hAnsi="Courier New"/>
          <w:sz w:val="20"/>
          <w:szCs w:val="20"/>
        </w:rPr>
        <w:t xml:space="preserve">metadata_score</w:t>
      </w:r>
      <w:r>
        <w:t xml:space="preserve">, </w:t>
      </w:r>
      <w:r>
        <w:rPr>
          <w:rFonts w:ascii="Courier New" w:cs="Courier New" w:eastAsia="Courier New" w:hAnsi="Courier New"/>
          <w:sz w:val="20"/>
          <w:szCs w:val="20"/>
        </w:rPr>
        <w:t xml:space="preserve">text_score</w:t>
      </w:r>
      <w:r>
        <w:t xml:space="preserve">, or </w:t>
      </w:r>
      <w:r>
        <w:rPr>
          <w:rFonts w:ascii="Courier New" w:cs="Courier New" w:eastAsia="Courier New" w:hAnsi="Courier New"/>
          <w:sz w:val="20"/>
          <w:szCs w:val="20"/>
        </w:rPr>
        <w:t xml:space="preserve">arithmetic_score</w:t>
      </w:r>
      <w:r>
        <w:t xml:space="preserve"> individually reaches 0.8, the verdict is forced to “fake” regardless of the composite score.</w:t>
      </w:r>
    </w:p>
    <w:p>
      <w:pPr>
        <w:pStyle w:val="ListParagraph"/>
        <w:numPr>
          <w:ilvl w:val="0"/>
          <w:numId w:val="2"/>
        </w:numPr>
        <w:spacing w:after="120"/>
      </w:pPr>
      <w:r>
        <w:t xml:space="preserve">The final verdict, override reason (if any), ELA heatmap (base64 PNG), full per-cue breakdown, and metadata are assembled into one JSON response and returned.</w:t>
      </w:r>
    </w:p>
    <w:p>
      <w:pPr>
        <w:pStyle w:val="ListParagraph"/>
        <w:numPr>
          <w:ilvl w:val="0"/>
          <w:numId w:val="2"/>
        </w:numPr>
        <w:spacing w:after="260"/>
      </w:pPr>
      <w:r>
        <w:t xml:space="preserve">The React frontend renders the verdict card, the original image next to its ELA heatmap, the per-cue meters, and offers the JSON report as a download.</w:t>
      </w:r>
    </w:p>
    <w:p>
      <w:pPr>
        <w:pStyle w:val="Heading1"/>
        <w:spacing w:after="200" w:before="400"/>
      </w:pPr>
      <w:r>
        <w:rPr>
          <w:b/>
          <w:bCs/>
          <w:color w:val="1B2A4A"/>
        </w:rPr>
        <w:t xml:space="preserve">4. The Eleven Forensic Cues</w:t>
      </w:r>
    </w:p>
    <w:p>
      <w:pPr>
        <w:spacing w:after="160"/>
      </w:pPr>
      <w:r>
        <w:t xml:space="preserve">Seven cues come from classical photograph forensics; four are specific to rendered UI and were added and empirically calibrated this phase — two validated and scored, two implemented, tested, and found not yet reliable (and excluded from scoring for that reason, shown only for transparency).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shd w:fill="1B2A4A" w:color="auto" w:val="clear"/>
            <w:tcMar>
              <w:top w:type="dxa" w:w="100"/>
              <w:left w:type="dxa" w:w="120"/>
              <w:bottom w:type="dxa" w:w="100"/>
              <w:right w:type="dxa" w:w="120"/>
            </w:tcMar>
            <w:vAlign w:val="top"/>
          </w:tcPr>
          <w:p>
            <w:r>
              <w:rPr>
                <w:b/>
                <w:bCs/>
                <w:color w:val="FFFFFF"/>
                <w:sz w:val="19"/>
                <w:szCs w:val="19"/>
              </w:rPr>
              <w:t xml:space="preserve">Cue</w:t>
            </w:r>
          </w:p>
        </w:tc>
        <w:tc>
          <w:tcPr>
            <w:tcW w:type="dxa" w:w="5160"/>
            <w:shd w:fill="1B2A4A" w:color="auto" w:val="clear"/>
            <w:tcMar>
              <w:top w:type="dxa" w:w="100"/>
              <w:left w:type="dxa" w:w="120"/>
              <w:bottom w:type="dxa" w:w="100"/>
              <w:right w:type="dxa" w:w="120"/>
            </w:tcMar>
            <w:vAlign w:val="top"/>
          </w:tcPr>
          <w:p>
            <w:r>
              <w:rPr>
                <w:b/>
                <w:bCs/>
                <w:color w:val="FFFFFF"/>
                <w:sz w:val="19"/>
                <w:szCs w:val="19"/>
              </w:rPr>
              <w:t xml:space="preserve">What it measures</w:t>
            </w:r>
          </w:p>
        </w:tc>
        <w:tc>
          <w:tcPr>
            <w:tcW w:type="dxa" w:w="2000"/>
            <w:shd w:fill="1B2A4A" w:color="auto" w:val="clear"/>
            <w:tcMar>
              <w:top w:type="dxa" w:w="100"/>
              <w:left w:type="dxa" w:w="120"/>
              <w:bottom w:type="dxa" w:w="100"/>
              <w:right w:type="dxa" w:w="120"/>
            </w:tcMar>
            <w:vAlign w:val="top"/>
          </w:tcPr>
          <w:p>
            <w:r>
              <w:rPr>
                <w:b/>
                <w:bCs/>
                <w:color w:val="FFFFFF"/>
                <w:sz w:val="19"/>
                <w:szCs w:val="19"/>
              </w:rPr>
              <w:t xml:space="preserve">Status</w:t>
            </w:r>
          </w:p>
        </w:tc>
      </w:tr>
      <w:tr>
        <w:tc>
          <w:tcPr>
            <w:tcW w:type="dxa" w:w="2200"/>
            <w:tcMar>
              <w:top w:type="dxa" w:w="100"/>
              <w:left w:type="dxa" w:w="120"/>
              <w:bottom w:type="dxa" w:w="100"/>
              <w:right w:type="dxa" w:w="120"/>
            </w:tcMar>
            <w:vAlign w:val="top"/>
          </w:tcPr>
          <w:p>
            <w:r>
              <w:rPr>
                <w:b w:val="false"/>
                <w:bCs w:val="false"/>
                <w:sz w:val="19"/>
                <w:szCs w:val="19"/>
              </w:rPr>
              <w:t xml:space="preserve">Error Level Analysis</w:t>
            </w:r>
          </w:p>
        </w:tc>
        <w:tc>
          <w:tcPr>
            <w:tcW w:type="dxa" w:w="5160"/>
            <w:tcMar>
              <w:top w:type="dxa" w:w="100"/>
              <w:left w:type="dxa" w:w="120"/>
              <w:bottom w:type="dxa" w:w="100"/>
              <w:right w:type="dxa" w:w="120"/>
            </w:tcMar>
            <w:vAlign w:val="top"/>
          </w:tcPr>
          <w:p>
            <w:r>
              <w:rPr>
                <w:b w:val="false"/>
                <w:bCs w:val="false"/>
                <w:sz w:val="19"/>
                <w:szCs w:val="19"/>
              </w:rPr>
              <w:t xml:space="preserve">Recompression-error hotspots vs. local neighborhood</w:t>
            </w:r>
          </w:p>
        </w:tc>
        <w:tc>
          <w:tcPr>
            <w:tcW w:type="dxa" w:w="2000"/>
            <w:tcMar>
              <w:top w:type="dxa" w:w="100"/>
              <w:left w:type="dxa" w:w="120"/>
              <w:bottom w:type="dxa" w:w="100"/>
              <w:right w:type="dxa" w:w="120"/>
            </w:tcMar>
            <w:vAlign w:val="top"/>
          </w:tcPr>
          <w:p>
            <w:r>
              <w:rPr>
                <w:b w:val="false"/>
                <w:bCs w:val="false"/>
                <w:sz w:val="19"/>
                <w:szCs w:val="19"/>
              </w:rPr>
              <w:t xml:space="preserve">Scored</w:t>
            </w:r>
          </w:p>
        </w:tc>
      </w:tr>
      <w:tr>
        <w:tc>
          <w:tcPr>
            <w:tcW w:type="dxa" w:w="2200"/>
            <w:shd w:fill="F4F5F7" w:color="auto" w:val="clear"/>
            <w:tcMar>
              <w:top w:type="dxa" w:w="100"/>
              <w:left w:type="dxa" w:w="120"/>
              <w:bottom w:type="dxa" w:w="100"/>
              <w:right w:type="dxa" w:w="120"/>
            </w:tcMar>
            <w:vAlign w:val="top"/>
          </w:tcPr>
          <w:p>
            <w:r>
              <w:rPr>
                <w:b w:val="false"/>
                <w:bCs w:val="false"/>
                <w:sz w:val="19"/>
                <w:szCs w:val="19"/>
              </w:rPr>
              <w:t xml:space="preserve">JPEG Ghost</w:t>
            </w:r>
          </w:p>
        </w:tc>
        <w:tc>
          <w:tcPr>
            <w:tcW w:type="dxa" w:w="5160"/>
            <w:shd w:fill="F4F5F7" w:color="auto" w:val="clear"/>
            <w:tcMar>
              <w:top w:type="dxa" w:w="100"/>
              <w:left w:type="dxa" w:w="120"/>
              <w:bottom w:type="dxa" w:w="100"/>
              <w:right w:type="dxa" w:w="120"/>
            </w:tcMar>
            <w:vAlign w:val="top"/>
          </w:tcPr>
          <w:p>
            <w:r>
              <w:rPr>
                <w:b w:val="false"/>
                <w:bCs w:val="false"/>
                <w:sz w:val="19"/>
                <w:szCs w:val="19"/>
              </w:rPr>
              <w:t xml:space="preserve">Multi-quality recompression dip scan</w:t>
            </w:r>
          </w:p>
        </w:tc>
        <w:tc>
          <w:tcPr>
            <w:tcW w:type="dxa" w:w="2000"/>
            <w:shd w:fill="F4F5F7" w:color="auto" w:val="clear"/>
            <w:tcMar>
              <w:top w:type="dxa" w:w="100"/>
              <w:left w:type="dxa" w:w="120"/>
              <w:bottom w:type="dxa" w:w="100"/>
              <w:right w:type="dxa" w:w="120"/>
            </w:tcMar>
            <w:vAlign w:val="top"/>
          </w:tcPr>
          <w:p>
            <w:r>
              <w:rPr>
                <w:b w:val="false"/>
                <w:bCs w:val="false"/>
                <w:sz w:val="19"/>
                <w:szCs w:val="19"/>
              </w:rPr>
              <w:t xml:space="preserve">Shown only</w:t>
            </w:r>
          </w:p>
        </w:tc>
      </w:tr>
      <w:tr>
        <w:tc>
          <w:tcPr>
            <w:tcW w:type="dxa" w:w="2200"/>
            <w:tcMar>
              <w:top w:type="dxa" w:w="100"/>
              <w:left w:type="dxa" w:w="120"/>
              <w:bottom w:type="dxa" w:w="100"/>
              <w:right w:type="dxa" w:w="120"/>
            </w:tcMar>
            <w:vAlign w:val="top"/>
          </w:tcPr>
          <w:p>
            <w:r>
              <w:rPr>
                <w:b w:val="false"/>
                <w:bCs w:val="false"/>
                <w:sz w:val="19"/>
                <w:szCs w:val="19"/>
              </w:rPr>
              <w:t xml:space="preserve">Quantization tables</w:t>
            </w:r>
          </w:p>
        </w:tc>
        <w:tc>
          <w:tcPr>
            <w:tcW w:type="dxa" w:w="5160"/>
            <w:tcMar>
              <w:top w:type="dxa" w:w="100"/>
              <w:left w:type="dxa" w:w="120"/>
              <w:bottom w:type="dxa" w:w="100"/>
              <w:right w:type="dxa" w:w="120"/>
            </w:tcMar>
            <w:vAlign w:val="top"/>
          </w:tcPr>
          <w:p>
            <w:r>
              <w:rPr>
                <w:b w:val="false"/>
                <w:bCs w:val="false"/>
                <w:sz w:val="19"/>
                <w:szCs w:val="19"/>
              </w:rPr>
              <w:t xml:space="preserve">Multiple compression generations</w:t>
            </w:r>
          </w:p>
        </w:tc>
        <w:tc>
          <w:tcPr>
            <w:tcW w:type="dxa" w:w="2000"/>
            <w:tcMar>
              <w:top w:type="dxa" w:w="100"/>
              <w:left w:type="dxa" w:w="120"/>
              <w:bottom w:type="dxa" w:w="100"/>
              <w:right w:type="dxa" w:w="120"/>
            </w:tcMar>
            <w:vAlign w:val="top"/>
          </w:tcPr>
          <w:p>
            <w:r>
              <w:rPr>
                <w:b w:val="false"/>
                <w:bCs w:val="false"/>
                <w:sz w:val="19"/>
                <w:szCs w:val="19"/>
              </w:rPr>
              <w:t xml:space="preserve">Scored (low weight)</w:t>
            </w:r>
          </w:p>
        </w:tc>
      </w:tr>
      <w:tr>
        <w:tc>
          <w:tcPr>
            <w:tcW w:type="dxa" w:w="2200"/>
            <w:shd w:fill="F4F5F7" w:color="auto" w:val="clear"/>
            <w:tcMar>
              <w:top w:type="dxa" w:w="100"/>
              <w:left w:type="dxa" w:w="120"/>
              <w:bottom w:type="dxa" w:w="100"/>
              <w:right w:type="dxa" w:w="120"/>
            </w:tcMar>
            <w:vAlign w:val="top"/>
          </w:tcPr>
          <w:p>
            <w:r>
              <w:rPr>
                <w:b w:val="false"/>
                <w:bCs w:val="false"/>
                <w:sz w:val="19"/>
                <w:szCs w:val="19"/>
              </w:rPr>
              <w:t xml:space="preserve">EXIF / Metadata</w:t>
            </w:r>
          </w:p>
        </w:tc>
        <w:tc>
          <w:tcPr>
            <w:tcW w:type="dxa" w:w="5160"/>
            <w:shd w:fill="F4F5F7" w:color="auto" w:val="clear"/>
            <w:tcMar>
              <w:top w:type="dxa" w:w="100"/>
              <w:left w:type="dxa" w:w="120"/>
              <w:bottom w:type="dxa" w:w="100"/>
              <w:right w:type="dxa" w:w="120"/>
            </w:tcMar>
            <w:vAlign w:val="top"/>
          </w:tcPr>
          <w:p>
            <w:r>
              <w:rPr>
                <w:b w:val="false"/>
                <w:bCs w:val="false"/>
                <w:sz w:val="19"/>
                <w:szCs w:val="19"/>
              </w:rPr>
              <w:t xml:space="preserve">Editing-tool tags, camera EXIF, GPS</w:t>
            </w:r>
          </w:p>
        </w:tc>
        <w:tc>
          <w:tcPr>
            <w:tcW w:type="dxa" w:w="2000"/>
            <w:shd w:fill="F4F5F7" w:color="auto" w:val="clear"/>
            <w:tcMar>
              <w:top w:type="dxa" w:w="100"/>
              <w:left w:type="dxa" w:w="120"/>
              <w:bottom w:type="dxa" w:w="100"/>
              <w:right w:type="dxa" w:w="120"/>
            </w:tcMar>
            <w:vAlign w:val="top"/>
          </w:tcPr>
          <w:p>
            <w:r>
              <w:rPr>
                <w:b w:val="false"/>
                <w:bCs w:val="false"/>
                <w:sz w:val="19"/>
                <w:szCs w:val="19"/>
              </w:rPr>
              <w:t xml:space="preserve">Scored + override</w:t>
            </w:r>
          </w:p>
        </w:tc>
      </w:tr>
      <w:tr>
        <w:tc>
          <w:tcPr>
            <w:tcW w:type="dxa" w:w="2200"/>
            <w:tcMar>
              <w:top w:type="dxa" w:w="100"/>
              <w:left w:type="dxa" w:w="120"/>
              <w:bottom w:type="dxa" w:w="100"/>
              <w:right w:type="dxa" w:w="120"/>
            </w:tcMar>
            <w:vAlign w:val="top"/>
          </w:tcPr>
          <w:p>
            <w:r>
              <w:rPr>
                <w:b w:val="false"/>
                <w:bCs w:val="false"/>
                <w:sz w:val="19"/>
                <w:szCs w:val="19"/>
              </w:rPr>
              <w:t xml:space="preserve">Document text (OCR)</w:t>
            </w:r>
          </w:p>
        </w:tc>
        <w:tc>
          <w:tcPr>
            <w:tcW w:type="dxa" w:w="5160"/>
            <w:tcMar>
              <w:top w:type="dxa" w:w="100"/>
              <w:left w:type="dxa" w:w="120"/>
              <w:bottom w:type="dxa" w:w="100"/>
              <w:right w:type="dxa" w:w="120"/>
            </w:tcMar>
            <w:vAlign w:val="top"/>
          </w:tcPr>
          <w:p>
            <w:r>
              <w:rPr>
                <w:b w:val="false"/>
                <w:bCs w:val="false"/>
                <w:sz w:val="19"/>
                <w:szCs w:val="19"/>
              </w:rPr>
              <w:t xml:space="preserve">Generator watermarks, placeholder data</w:t>
            </w:r>
          </w:p>
        </w:tc>
        <w:tc>
          <w:tcPr>
            <w:tcW w:type="dxa" w:w="2000"/>
            <w:tcMar>
              <w:top w:type="dxa" w:w="100"/>
              <w:left w:type="dxa" w:w="120"/>
              <w:bottom w:type="dxa" w:w="100"/>
              <w:right w:type="dxa" w:w="120"/>
            </w:tcMar>
            <w:vAlign w:val="top"/>
          </w:tcPr>
          <w:p>
            <w:r>
              <w:rPr>
                <w:b w:val="false"/>
                <w:bCs w:val="false"/>
                <w:sz w:val="19"/>
                <w:szCs w:val="19"/>
              </w:rPr>
              <w:t xml:space="preserve">Scored + override</w:t>
            </w:r>
          </w:p>
        </w:tc>
      </w:tr>
      <w:tr>
        <w:tc>
          <w:tcPr>
            <w:tcW w:type="dxa" w:w="2200"/>
            <w:shd w:fill="F4F5F7" w:color="auto" w:val="clear"/>
            <w:tcMar>
              <w:top w:type="dxa" w:w="100"/>
              <w:left w:type="dxa" w:w="120"/>
              <w:bottom w:type="dxa" w:w="100"/>
              <w:right w:type="dxa" w:w="120"/>
            </w:tcMar>
            <w:vAlign w:val="top"/>
          </w:tcPr>
          <w:p>
            <w:r>
              <w:rPr>
                <w:b w:val="false"/>
                <w:bCs w:val="false"/>
                <w:sz w:val="19"/>
                <w:szCs w:val="19"/>
              </w:rPr>
              <w:t xml:space="preserve">Noise consistency</w:t>
            </w:r>
          </w:p>
        </w:tc>
        <w:tc>
          <w:tcPr>
            <w:tcW w:type="dxa" w:w="5160"/>
            <w:shd w:fill="F4F5F7" w:color="auto" w:val="clear"/>
            <w:tcMar>
              <w:top w:type="dxa" w:w="100"/>
              <w:left w:type="dxa" w:w="120"/>
              <w:bottom w:type="dxa" w:w="100"/>
              <w:right w:type="dxa" w:w="120"/>
            </w:tcMar>
            <w:vAlign w:val="top"/>
          </w:tcPr>
          <w:p>
            <w:r>
              <w:rPr>
                <w:b w:val="false"/>
                <w:bCs w:val="false"/>
                <w:sz w:val="19"/>
                <w:szCs w:val="19"/>
              </w:rPr>
              <w:t xml:space="preserve">Local noise-energy outliers</w:t>
            </w:r>
          </w:p>
        </w:tc>
        <w:tc>
          <w:tcPr>
            <w:tcW w:type="dxa" w:w="2000"/>
            <w:shd w:fill="F4F5F7" w:color="auto" w:val="clear"/>
            <w:tcMar>
              <w:top w:type="dxa" w:w="100"/>
              <w:left w:type="dxa" w:w="120"/>
              <w:bottom w:type="dxa" w:w="100"/>
              <w:right w:type="dxa" w:w="120"/>
            </w:tcMar>
            <w:vAlign w:val="top"/>
          </w:tcPr>
          <w:p>
            <w:r>
              <w:rPr>
                <w:b w:val="false"/>
                <w:bCs w:val="false"/>
                <w:sz w:val="19"/>
                <w:szCs w:val="19"/>
              </w:rPr>
              <w:t xml:space="preserve">Scored</w:t>
            </w:r>
          </w:p>
        </w:tc>
      </w:tr>
      <w:tr>
        <w:tc>
          <w:tcPr>
            <w:tcW w:type="dxa" w:w="2200"/>
            <w:tcMar>
              <w:top w:type="dxa" w:w="100"/>
              <w:left w:type="dxa" w:w="120"/>
              <w:bottom w:type="dxa" w:w="100"/>
              <w:right w:type="dxa" w:w="120"/>
            </w:tcMar>
            <w:vAlign w:val="top"/>
          </w:tcPr>
          <w:p>
            <w:r>
              <w:rPr>
                <w:b w:val="false"/>
                <w:bCs w:val="false"/>
                <w:sz w:val="19"/>
                <w:szCs w:val="19"/>
              </w:rPr>
              <w:t xml:space="preserve">Copy-move detection</w:t>
            </w:r>
          </w:p>
        </w:tc>
        <w:tc>
          <w:tcPr>
            <w:tcW w:type="dxa" w:w="5160"/>
            <w:tcMar>
              <w:top w:type="dxa" w:w="100"/>
              <w:left w:type="dxa" w:w="120"/>
              <w:bottom w:type="dxa" w:w="100"/>
              <w:right w:type="dxa" w:w="120"/>
            </w:tcMar>
            <w:vAlign w:val="top"/>
          </w:tcPr>
          <w:p>
            <w:r>
              <w:rPr>
                <w:b w:val="false"/>
                <w:bCs w:val="false"/>
                <w:sz w:val="19"/>
                <w:szCs w:val="19"/>
              </w:rPr>
              <w:t xml:space="preserve">Offset-vector voting + compactness gate</w:t>
            </w:r>
          </w:p>
        </w:tc>
        <w:tc>
          <w:tcPr>
            <w:tcW w:type="dxa" w:w="2000"/>
            <w:tcMar>
              <w:top w:type="dxa" w:w="100"/>
              <w:left w:type="dxa" w:w="120"/>
              <w:bottom w:type="dxa" w:w="100"/>
              <w:right w:type="dxa" w:w="120"/>
            </w:tcMar>
            <w:vAlign w:val="top"/>
          </w:tcPr>
          <w:p>
            <w:r>
              <w:rPr>
                <w:b w:val="false"/>
                <w:bCs w:val="false"/>
                <w:sz w:val="19"/>
                <w:szCs w:val="19"/>
              </w:rPr>
              <w:t xml:space="preserve">Scored</w:t>
            </w:r>
          </w:p>
        </w:tc>
      </w:tr>
      <w:tr>
        <w:tc>
          <w:tcPr>
            <w:tcW w:type="dxa" w:w="2200"/>
            <w:shd w:fill="F3E4CC" w:color="auto" w:val="clear"/>
            <w:tcMar>
              <w:top w:type="dxa" w:w="100"/>
              <w:left w:type="dxa" w:w="120"/>
              <w:bottom w:type="dxa" w:w="100"/>
              <w:right w:type="dxa" w:w="120"/>
            </w:tcMar>
            <w:vAlign w:val="top"/>
          </w:tcPr>
          <w:p>
            <w:r>
              <w:rPr>
                <w:b w:val="false"/>
                <w:bCs w:val="false"/>
                <w:sz w:val="19"/>
                <w:szCs w:val="19"/>
              </w:rPr>
              <w:t xml:space="preserve">Amount consistency</w:t>
            </w:r>
          </w:p>
        </w:tc>
        <w:tc>
          <w:tcPr>
            <w:tcW w:type="dxa" w:w="5160"/>
            <w:shd w:fill="F3E4CC" w:color="auto" w:val="clear"/>
            <w:tcMar>
              <w:top w:type="dxa" w:w="100"/>
              <w:left w:type="dxa" w:w="120"/>
              <w:bottom w:type="dxa" w:w="100"/>
              <w:right w:type="dxa" w:w="120"/>
            </w:tcMar>
            <w:vAlign w:val="top"/>
          </w:tcPr>
          <w:p>
            <w:r>
              <w:rPr>
                <w:b w:val="false"/>
                <w:bCs w:val="false"/>
                <w:sz w:val="19"/>
                <w:szCs w:val="19"/>
              </w:rPr>
              <w:t xml:space="preserve">Contradictory totals in printed numbers</w:t>
            </w:r>
          </w:p>
        </w:tc>
        <w:tc>
          <w:tcPr>
            <w:tcW w:type="dxa" w:w="2000"/>
            <w:shd w:fill="F3E4CC" w:color="auto" w:val="clear"/>
            <w:tcMar>
              <w:top w:type="dxa" w:w="100"/>
              <w:left w:type="dxa" w:w="120"/>
              <w:bottom w:type="dxa" w:w="100"/>
              <w:right w:type="dxa" w:w="120"/>
            </w:tcMar>
            <w:vAlign w:val="top"/>
          </w:tcPr>
          <w:p>
            <w:r>
              <w:rPr>
                <w:b w:val="false"/>
                <w:bCs w:val="false"/>
                <w:sz w:val="19"/>
                <w:szCs w:val="19"/>
              </w:rPr>
              <w:t xml:space="preserve">Scored + override</w:t>
            </w:r>
          </w:p>
        </w:tc>
      </w:tr>
      <w:tr>
        <w:tc>
          <w:tcPr>
            <w:tcW w:type="dxa" w:w="2200"/>
            <w:shd w:fill="F3E4CC" w:color="auto" w:val="clear"/>
            <w:tcMar>
              <w:top w:type="dxa" w:w="100"/>
              <w:left w:type="dxa" w:w="120"/>
              <w:bottom w:type="dxa" w:w="100"/>
              <w:right w:type="dxa" w:w="120"/>
            </w:tcMar>
            <w:vAlign w:val="top"/>
          </w:tcPr>
          <w:p>
            <w:r>
              <w:rPr>
                <w:b w:val="false"/>
                <w:bCs w:val="false"/>
                <w:sz w:val="19"/>
                <w:szCs w:val="19"/>
              </w:rPr>
              <w:t xml:space="preserve">Chrome consistency</w:t>
            </w:r>
          </w:p>
        </w:tc>
        <w:tc>
          <w:tcPr>
            <w:tcW w:type="dxa" w:w="5160"/>
            <w:shd w:fill="F3E4CC" w:color="auto" w:val="clear"/>
            <w:tcMar>
              <w:top w:type="dxa" w:w="100"/>
              <w:left w:type="dxa" w:w="120"/>
              <w:bottom w:type="dxa" w:w="100"/>
              <w:right w:type="dxa" w:w="120"/>
            </w:tcMar>
            <w:vAlign w:val="top"/>
          </w:tcPr>
          <w:p>
            <w:r>
              <w:rPr>
                <w:b w:val="false"/>
                <w:bCs w:val="false"/>
                <w:sz w:val="19"/>
                <w:szCs w:val="19"/>
              </w:rPr>
              <w:t xml:space="preserve">Duplicated status-bar clock reading</w:t>
            </w:r>
          </w:p>
        </w:tc>
        <w:tc>
          <w:tcPr>
            <w:tcW w:type="dxa" w:w="2000"/>
            <w:shd w:fill="F3E4CC" w:color="auto" w:val="clear"/>
            <w:tcMar>
              <w:top w:type="dxa" w:w="100"/>
              <w:left w:type="dxa" w:w="120"/>
              <w:bottom w:type="dxa" w:w="100"/>
              <w:right w:type="dxa" w:w="120"/>
            </w:tcMar>
            <w:vAlign w:val="top"/>
          </w:tcPr>
          <w:p>
            <w:r>
              <w:rPr>
                <w:b w:val="false"/>
                <w:bCs w:val="false"/>
                <w:sz w:val="19"/>
                <w:szCs w:val="19"/>
              </w:rPr>
              <w:t xml:space="preserve">Scored (capped)</w:t>
            </w:r>
          </w:p>
        </w:tc>
      </w:tr>
      <w:tr>
        <w:tc>
          <w:tcPr>
            <w:tcW w:type="dxa" w:w="2200"/>
            <w:tcMar>
              <w:top w:type="dxa" w:w="100"/>
              <w:left w:type="dxa" w:w="120"/>
              <w:bottom w:type="dxa" w:w="100"/>
              <w:right w:type="dxa" w:w="120"/>
            </w:tcMar>
            <w:vAlign w:val="top"/>
          </w:tcPr>
          <w:p>
            <w:r>
              <w:rPr>
                <w:b w:val="false"/>
                <w:bCs w:val="false"/>
                <w:sz w:val="19"/>
                <w:szCs w:val="19"/>
              </w:rPr>
              <w:t xml:space="preserve">Font consistency</w:t>
            </w:r>
          </w:p>
        </w:tc>
        <w:tc>
          <w:tcPr>
            <w:tcW w:type="dxa" w:w="5160"/>
            <w:tcMar>
              <w:top w:type="dxa" w:w="100"/>
              <w:left w:type="dxa" w:w="120"/>
              <w:bottom w:type="dxa" w:w="100"/>
              <w:right w:type="dxa" w:w="120"/>
            </w:tcMar>
            <w:vAlign w:val="top"/>
          </w:tcPr>
          <w:p>
            <w:r>
              <w:rPr>
                <w:b w:val="false"/>
                <w:bCs w:val="false"/>
                <w:sz w:val="19"/>
                <w:szCs w:val="19"/>
              </w:rPr>
              <w:t xml:space="preserve">Anti-aliasing mismatch between regions</w:t>
            </w:r>
          </w:p>
        </w:tc>
        <w:tc>
          <w:tcPr>
            <w:tcW w:type="dxa" w:w="2000"/>
            <w:tcMar>
              <w:top w:type="dxa" w:w="100"/>
              <w:left w:type="dxa" w:w="120"/>
              <w:bottom w:type="dxa" w:w="100"/>
              <w:right w:type="dxa" w:w="120"/>
            </w:tcMar>
            <w:vAlign w:val="top"/>
          </w:tcPr>
          <w:p>
            <w:r>
              <w:rPr>
                <w:b w:val="false"/>
                <w:bCs w:val="false"/>
                <w:sz w:val="19"/>
                <w:szCs w:val="19"/>
              </w:rPr>
              <w:t xml:space="preserve">Shown only — not validated</w:t>
            </w:r>
          </w:p>
        </w:tc>
      </w:tr>
      <w:tr>
        <w:tc>
          <w:tcPr>
            <w:tcW w:type="dxa" w:w="2200"/>
            <w:shd w:fill="F4F5F7" w:color="auto" w:val="clear"/>
            <w:tcMar>
              <w:top w:type="dxa" w:w="100"/>
              <w:left w:type="dxa" w:w="120"/>
              <w:bottom w:type="dxa" w:w="100"/>
              <w:right w:type="dxa" w:w="120"/>
            </w:tcMar>
            <w:vAlign w:val="top"/>
          </w:tcPr>
          <w:p>
            <w:r>
              <w:rPr>
                <w:b w:val="false"/>
                <w:bCs w:val="false"/>
                <w:sz w:val="19"/>
                <w:szCs w:val="19"/>
              </w:rPr>
              <w:t xml:space="preserve">Edge sharpness</w:t>
            </w:r>
          </w:p>
        </w:tc>
        <w:tc>
          <w:tcPr>
            <w:tcW w:type="dxa" w:w="5160"/>
            <w:shd w:fill="F4F5F7" w:color="auto" w:val="clear"/>
            <w:tcMar>
              <w:top w:type="dxa" w:w="100"/>
              <w:left w:type="dxa" w:w="120"/>
              <w:bottom w:type="dxa" w:w="100"/>
              <w:right w:type="dxa" w:w="120"/>
            </w:tcMar>
            <w:vAlign w:val="top"/>
          </w:tcPr>
          <w:p>
            <w:r>
              <w:rPr>
                <w:b w:val="false"/>
                <w:bCs w:val="false"/>
                <w:sz w:val="19"/>
                <w:szCs w:val="19"/>
              </w:rPr>
              <w:t xml:space="preserve">Resampling/interpolation blur</w:t>
            </w:r>
          </w:p>
        </w:tc>
        <w:tc>
          <w:tcPr>
            <w:tcW w:type="dxa" w:w="2000"/>
            <w:shd w:fill="F4F5F7" w:color="auto" w:val="clear"/>
            <w:tcMar>
              <w:top w:type="dxa" w:w="100"/>
              <w:left w:type="dxa" w:w="120"/>
              <w:bottom w:type="dxa" w:w="100"/>
              <w:right w:type="dxa" w:w="120"/>
            </w:tcMar>
            <w:vAlign w:val="top"/>
          </w:tcPr>
          <w:p>
            <w:r>
              <w:rPr>
                <w:b w:val="false"/>
                <w:bCs w:val="false"/>
                <w:sz w:val="19"/>
                <w:szCs w:val="19"/>
              </w:rPr>
              <w:t xml:space="preserve">Shown only — found unreliable</w:t>
            </w:r>
          </w:p>
        </w:tc>
      </w:tr>
    </w:tbl>
    <w:p>
      <w:pPr>
        <w:spacing w:before="260"/>
      </w:pPr>
    </w:p>
    <w:p>
      <w:r>
        <w:br w:type="page"/>
      </w:r>
    </w:p>
    <w:p>
      <w:pPr>
        <w:pStyle w:val="Heading1"/>
        <w:spacing w:after="200" w:before="400"/>
      </w:pPr>
      <w:r>
        <w:rPr>
          <w:b/>
          <w:bCs/>
          <w:color w:val="1B2A4A"/>
        </w:rPr>
        <w:t xml:space="preserve">5. Sample Run 1 — Authentic Bank Statement</w:t>
      </w:r>
    </w:p>
    <w:p>
      <w:pPr>
        <w:spacing w:after="160"/>
      </w:pPr>
      <w:r>
        <w:t xml:space="preserve">A single bank-statement screenshot render (Union Trust Bank, six transactions, no edits of any kind) submitted as-is.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Mar>
              <w:top w:type="dxa" w:w="100"/>
              <w:left w:type="dxa" w:w="120"/>
              <w:bottom w:type="dxa" w:w="100"/>
              <w:right w:type="dxa" w:w="120"/>
            </w:tcMar>
            <w:vAlign w:val="top"/>
          </w:tcPr>
          <w:p>
            <w:pPr>
              <w:jc w:val="center"/>
            </w:pPr>
            <w:r>
              <w:rPr>
                <w:b/>
                <w:bCs/>
                <w:sz w:val="19"/>
                <w:szCs w:val="19"/>
              </w:rPr>
              <w:t xml:space="preserve">Original image</w:t>
            </w:r>
          </w:p>
          <w:p>
            <w:pPr>
              <w:spacing w:before="120"/>
              <w:jc w:val="center"/>
            </w:pPr>
            <w:r>
              <w:drawing>
                <wp:inline distT="0" distB="0" distL="0" distR="0">
                  <wp:extent cx="180975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3905250"/>
                          </a:xfrm>
                          <a:prstGeom prst="rect">
                            <a:avLst/>
                          </a:prstGeom>
                        </pic:spPr>
                      </pic:pic>
                    </a:graphicData>
                  </a:graphic>
                </wp:inline>
              </w:drawing>
            </w:r>
          </w:p>
        </w:tc>
        <w:tc>
          <w:tcPr>
            <w:tcW w:type="dxa" w:w="4680"/>
            <w:tcMar>
              <w:top w:type="dxa" w:w="100"/>
              <w:left w:type="dxa" w:w="120"/>
              <w:bottom w:type="dxa" w:w="100"/>
              <w:right w:type="dxa" w:w="120"/>
            </w:tcMar>
            <w:vAlign w:val="top"/>
          </w:tcPr>
          <w:p>
            <w:pPr>
              <w:jc w:val="center"/>
            </w:pPr>
            <w:r>
              <w:rPr>
                <w:b/>
                <w:bCs/>
                <w:sz w:val="19"/>
                <w:szCs w:val="19"/>
              </w:rPr>
              <w:t xml:space="preserve">ELA heatmap (as returned by the API)</w:t>
            </w:r>
          </w:p>
          <w:p>
            <w:pPr>
              <w:spacing w:before="120"/>
              <w:jc w:val="center"/>
            </w:pPr>
            <w:r>
              <w:drawing>
                <wp:inline distT="0" distB="0" distL="0" distR="0">
                  <wp:extent cx="180975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3905250"/>
                          </a:xfrm>
                          <a:prstGeom prst="rect">
                            <a:avLst/>
                          </a:prstGeom>
                        </pic:spPr>
                      </pic:pic>
                    </a:graphicData>
                  </a:graphic>
                </wp:inline>
              </w:drawing>
            </w:r>
          </w:p>
        </w:tc>
      </w:tr>
    </w:tbl>
    <w:p>
      <w:pPr>
        <w:spacing w:after="120" w:before="260"/>
      </w:pPr>
      <w:r>
        <w:rPr>
          <w:b/>
          <w:bCs/>
        </w:rPr>
        <w:t xml:space="preserve">Result</w:t>
      </w:r>
    </w:p>
    <w:p>
      <w:pPr>
        <w:pStyle w:val="ListParagraph"/>
        <w:numPr>
          <w:ilvl w:val="0"/>
          <w:numId w:val="1"/>
        </w:numPr>
        <w:spacing w:after="90"/>
      </w:pPr>
      <w:r>
        <w:t xml:space="preserve">Detected content type: financial_document → effective threshold 0.55 (raised from the 0.5 default — see Section 4 of the presentation deck for why).</w:t>
      </w:r>
    </w:p>
    <w:p>
      <w:pPr>
        <w:pStyle w:val="ListParagraph"/>
        <w:numPr>
          <w:ilvl w:val="0"/>
          <w:numId w:val="1"/>
        </w:numPr>
        <w:spacing w:after="90"/>
      </w:pPr>
      <w:r>
        <w:t xml:space="preserve">Composite fake_score: 0.4413 — below the 0.55 threshold.</w:t>
      </w:r>
    </w:p>
    <w:p>
      <w:pPr>
        <w:pStyle w:val="ListParagraph"/>
        <w:numPr>
          <w:ilvl w:val="0"/>
          <w:numId w:val="1"/>
        </w:numPr>
        <w:spacing w:after="90"/>
      </w:pPr>
      <w:r>
        <w:t xml:space="preserve">No override cue fired.</w:t>
      </w:r>
    </w:p>
    <w:p>
      <w:pPr>
        <w:spacing w:after="160"/>
      </w:pPr>
      <w:r>
        <w:rPr>
          <w:b/>
          <w:bCs/>
        </w:rPr>
        <w:t xml:space="preserve">Verdict: </w:t>
      </w:r>
      <w:r>
        <w:rPr>
          <w:b/>
          <w:bCs/>
          <w:color w:val="1E6B3A"/>
        </w:rPr>
        <w:t xml:space="preserve">Likely Authentic</w:t>
      </w:r>
    </w:p>
    <w:p>
      <w:pPr>
        <w:pStyle w:val="Heading2"/>
        <w:spacing w:after="150" w:before="300"/>
      </w:pPr>
      <w:r>
        <w:rPr>
          <w:b/>
          <w:bCs/>
          <w:color w:val="1B2A4A"/>
        </w:rPr>
        <w:t xml:space="preserve">Full per-cue breakdown</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200"/>
            <w:shd w:fill="1B2A4A" w:color="auto" w:val="clear"/>
            <w:tcMar>
              <w:top w:type="dxa" w:w="100"/>
              <w:left w:type="dxa" w:w="120"/>
              <w:bottom w:type="dxa" w:w="100"/>
              <w:right w:type="dxa" w:w="120"/>
            </w:tcMar>
            <w:vAlign w:val="top"/>
          </w:tcPr>
          <w:p>
            <w:r>
              <w:rPr>
                <w:b/>
                <w:bCs/>
                <w:color w:val="FFFFFF"/>
                <w:sz w:val="19"/>
                <w:szCs w:val="19"/>
              </w:rPr>
              <w:t xml:space="preserve">Cue</w:t>
            </w:r>
          </w:p>
        </w:tc>
        <w:tc>
          <w:tcPr>
            <w:tcW w:type="dxa" w:w="2200"/>
            <w:shd w:fill="1B2A4A" w:color="auto" w:val="clear"/>
            <w:tcMar>
              <w:top w:type="dxa" w:w="100"/>
              <w:left w:type="dxa" w:w="120"/>
              <w:bottom w:type="dxa" w:w="100"/>
              <w:right w:type="dxa" w:w="120"/>
            </w:tcMar>
            <w:vAlign w:val="top"/>
          </w:tcPr>
          <w:p>
            <w:r>
              <w:rPr>
                <w:b/>
                <w:bCs/>
                <w:color w:val="FFFFFF"/>
                <w:sz w:val="19"/>
                <w:szCs w:val="19"/>
              </w:rPr>
              <w:t xml:space="preserve">Score</w:t>
            </w:r>
          </w:p>
        </w:tc>
      </w:tr>
      <w:tr>
        <w:tc>
          <w:tcPr>
            <w:tcW w:type="dxa" w:w="4200"/>
            <w:tcMar>
              <w:top w:type="dxa" w:w="100"/>
              <w:left w:type="dxa" w:w="120"/>
              <w:bottom w:type="dxa" w:w="100"/>
              <w:right w:type="dxa" w:w="120"/>
            </w:tcMar>
            <w:vAlign w:val="top"/>
          </w:tcPr>
          <w:p>
            <w:r>
              <w:rPr>
                <w:b w:val="false"/>
                <w:bCs w:val="false"/>
                <w:sz w:val="19"/>
                <w:szCs w:val="19"/>
              </w:rPr>
              <w:t xml:space="preserve">ELA</w:t>
            </w:r>
          </w:p>
        </w:tc>
        <w:tc>
          <w:tcPr>
            <w:tcW w:type="dxa" w:w="2200"/>
            <w:tcMar>
              <w:top w:type="dxa" w:w="100"/>
              <w:left w:type="dxa" w:w="120"/>
              <w:bottom w:type="dxa" w:w="100"/>
              <w:right w:type="dxa" w:w="120"/>
            </w:tcMar>
            <w:vAlign w:val="top"/>
          </w:tcPr>
          <w:p>
            <w:r>
              <w:rPr>
                <w:b w:val="false"/>
                <w:bCs w:val="false"/>
                <w:sz w:val="19"/>
                <w:szCs w:val="19"/>
              </w:rPr>
              <w:t xml:space="preserve">0.8937</w:t>
            </w:r>
          </w:p>
        </w:tc>
      </w:tr>
      <w:tr>
        <w:tc>
          <w:tcPr>
            <w:tcW w:type="dxa" w:w="4200"/>
            <w:tcMar>
              <w:top w:type="dxa" w:w="100"/>
              <w:left w:type="dxa" w:w="120"/>
              <w:bottom w:type="dxa" w:w="100"/>
              <w:right w:type="dxa" w:w="120"/>
            </w:tcMar>
            <w:vAlign w:val="top"/>
          </w:tcPr>
          <w:p>
            <w:r>
              <w:rPr>
                <w:b w:val="false"/>
                <w:bCs w:val="false"/>
                <w:sz w:val="19"/>
                <w:szCs w:val="19"/>
              </w:rPr>
              <w:t xml:space="preserve">JPEG Ghost (not scored)</w:t>
            </w:r>
          </w:p>
        </w:tc>
        <w:tc>
          <w:tcPr>
            <w:tcW w:type="dxa" w:w="2200"/>
            <w:tcMar>
              <w:top w:type="dxa" w:w="100"/>
              <w:left w:type="dxa" w:w="120"/>
              <w:bottom w:type="dxa" w:w="100"/>
              <w:right w:type="dxa" w:w="120"/>
            </w:tcMar>
            <w:vAlign w:val="top"/>
          </w:tcPr>
          <w:p>
            <w:r>
              <w:rPr>
                <w:b w:val="false"/>
                <w:bCs w:val="false"/>
                <w:sz w:val="19"/>
                <w:szCs w:val="19"/>
              </w:rPr>
              <w:t xml:space="preserve">1.0000</w:t>
            </w:r>
          </w:p>
        </w:tc>
      </w:tr>
      <w:tr>
        <w:tc>
          <w:tcPr>
            <w:tcW w:type="dxa" w:w="4200"/>
            <w:tcMar>
              <w:top w:type="dxa" w:w="100"/>
              <w:left w:type="dxa" w:w="120"/>
              <w:bottom w:type="dxa" w:w="100"/>
              <w:right w:type="dxa" w:w="120"/>
            </w:tcMar>
            <w:vAlign w:val="top"/>
          </w:tcPr>
          <w:p>
            <w:r>
              <w:rPr>
                <w:b w:val="false"/>
                <w:bCs w:val="false"/>
                <w:sz w:val="19"/>
                <w:szCs w:val="19"/>
              </w:rPr>
              <w:t xml:space="preserve">Quantization tables</w:t>
            </w:r>
          </w:p>
        </w:tc>
        <w:tc>
          <w:tcPr>
            <w:tcW w:type="dxa" w:w="2200"/>
            <w:tcMar>
              <w:top w:type="dxa" w:w="100"/>
              <w:left w:type="dxa" w:w="120"/>
              <w:bottom w:type="dxa" w:w="100"/>
              <w:right w:type="dxa" w:w="120"/>
            </w:tcMar>
            <w:vAlign w:val="top"/>
          </w:tcPr>
          <w:p>
            <w:r>
              <w:rPr>
                <w:b w:val="false"/>
                <w:bCs w:val="false"/>
                <w:sz w:val="19"/>
                <w:szCs w:val="19"/>
              </w:rPr>
              <w:t xml:space="preserve">0.0000</w:t>
            </w:r>
          </w:p>
        </w:tc>
      </w:tr>
      <w:tr>
        <w:tc>
          <w:tcPr>
            <w:tcW w:type="dxa" w:w="4200"/>
            <w:tcMar>
              <w:top w:type="dxa" w:w="100"/>
              <w:left w:type="dxa" w:w="120"/>
              <w:bottom w:type="dxa" w:w="100"/>
              <w:right w:type="dxa" w:w="120"/>
            </w:tcMar>
            <w:vAlign w:val="top"/>
          </w:tcPr>
          <w:p>
            <w:r>
              <w:rPr>
                <w:b w:val="false"/>
                <w:bCs w:val="false"/>
                <w:sz w:val="19"/>
                <w:szCs w:val="19"/>
              </w:rPr>
              <w:t xml:space="preserve">Noise consistency</w:t>
            </w:r>
          </w:p>
        </w:tc>
        <w:tc>
          <w:tcPr>
            <w:tcW w:type="dxa" w:w="2200"/>
            <w:tcMar>
              <w:top w:type="dxa" w:w="100"/>
              <w:left w:type="dxa" w:w="120"/>
              <w:bottom w:type="dxa" w:w="100"/>
              <w:right w:type="dxa" w:w="120"/>
            </w:tcMar>
            <w:vAlign w:val="top"/>
          </w:tcPr>
          <w:p>
            <w:r>
              <w:rPr>
                <w:b w:val="false"/>
                <w:bCs w:val="false"/>
                <w:sz w:val="19"/>
                <w:szCs w:val="19"/>
              </w:rPr>
              <w:t xml:space="preserve">0.8056</w:t>
            </w:r>
          </w:p>
        </w:tc>
      </w:tr>
      <w:tr>
        <w:tc>
          <w:tcPr>
            <w:tcW w:type="dxa" w:w="4200"/>
            <w:tcMar>
              <w:top w:type="dxa" w:w="100"/>
              <w:left w:type="dxa" w:w="120"/>
              <w:bottom w:type="dxa" w:w="100"/>
              <w:right w:type="dxa" w:w="120"/>
            </w:tcMar>
            <w:vAlign w:val="top"/>
          </w:tcPr>
          <w:p>
            <w:r>
              <w:rPr>
                <w:b w:val="false"/>
                <w:bCs w:val="false"/>
                <w:sz w:val="19"/>
                <w:szCs w:val="19"/>
              </w:rPr>
              <w:t xml:space="preserve">Copy-move detection</w:t>
            </w:r>
          </w:p>
        </w:tc>
        <w:tc>
          <w:tcPr>
            <w:tcW w:type="dxa" w:w="2200"/>
            <w:tcMar>
              <w:top w:type="dxa" w:w="100"/>
              <w:left w:type="dxa" w:w="120"/>
              <w:bottom w:type="dxa" w:w="100"/>
              <w:right w:type="dxa" w:w="120"/>
            </w:tcMar>
            <w:vAlign w:val="top"/>
          </w:tcPr>
          <w:p>
            <w:r>
              <w:rPr>
                <w:b w:val="false"/>
                <w:bCs w:val="false"/>
                <w:sz w:val="19"/>
                <w:szCs w:val="19"/>
              </w:rPr>
              <w:t xml:space="preserve">0.3216</w:t>
            </w:r>
          </w:p>
        </w:tc>
      </w:tr>
      <w:tr>
        <w:tc>
          <w:tcPr>
            <w:tcW w:type="dxa" w:w="4200"/>
            <w:tcMar>
              <w:top w:type="dxa" w:w="100"/>
              <w:left w:type="dxa" w:w="120"/>
              <w:bottom w:type="dxa" w:w="100"/>
              <w:right w:type="dxa" w:w="120"/>
            </w:tcMar>
            <w:vAlign w:val="top"/>
          </w:tcPr>
          <w:p>
            <w:r>
              <w:rPr>
                <w:b w:val="false"/>
                <w:bCs w:val="false"/>
                <w:sz w:val="19"/>
                <w:szCs w:val="19"/>
              </w:rPr>
              <w:t xml:space="preserve">Metadata / EXIF</w:t>
            </w:r>
          </w:p>
        </w:tc>
        <w:tc>
          <w:tcPr>
            <w:tcW w:type="dxa" w:w="2200"/>
            <w:tcMar>
              <w:top w:type="dxa" w:w="100"/>
              <w:left w:type="dxa" w:w="120"/>
              <w:bottom w:type="dxa" w:w="100"/>
              <w:right w:type="dxa" w:w="120"/>
            </w:tcMar>
            <w:vAlign w:val="top"/>
          </w:tcPr>
          <w:p>
            <w:r>
              <w:rPr>
                <w:b w:val="false"/>
                <w:bCs w:val="false"/>
                <w:sz w:val="19"/>
                <w:szCs w:val="19"/>
              </w:rPr>
              <w:t xml:space="preserve">0.0000</w:t>
            </w:r>
          </w:p>
        </w:tc>
      </w:tr>
      <w:tr>
        <w:tc>
          <w:tcPr>
            <w:tcW w:type="dxa" w:w="4200"/>
            <w:tcMar>
              <w:top w:type="dxa" w:w="100"/>
              <w:left w:type="dxa" w:w="120"/>
              <w:bottom w:type="dxa" w:w="100"/>
              <w:right w:type="dxa" w:w="120"/>
            </w:tcMar>
            <w:vAlign w:val="top"/>
          </w:tcPr>
          <w:p>
            <w:r>
              <w:rPr>
                <w:b w:val="false"/>
                <w:bCs w:val="false"/>
                <w:sz w:val="19"/>
                <w:szCs w:val="19"/>
              </w:rPr>
              <w:t xml:space="preserve">Document text (OCR)</w:t>
            </w:r>
          </w:p>
        </w:tc>
        <w:tc>
          <w:tcPr>
            <w:tcW w:type="dxa" w:w="2200"/>
            <w:tcMar>
              <w:top w:type="dxa" w:w="100"/>
              <w:left w:type="dxa" w:w="120"/>
              <w:bottom w:type="dxa" w:w="100"/>
              <w:right w:type="dxa" w:w="120"/>
            </w:tcMar>
            <w:vAlign w:val="top"/>
          </w:tcPr>
          <w:p>
            <w:r>
              <w:rPr>
                <w:b w:val="false"/>
                <w:bCs w:val="false"/>
                <w:sz w:val="19"/>
                <w:szCs w:val="19"/>
              </w:rPr>
              <w:t xml:space="preserve">0.0000</w:t>
            </w:r>
          </w:p>
        </w:tc>
      </w:tr>
      <w:tr>
        <w:tc>
          <w:tcPr>
            <w:tcW w:type="dxa" w:w="4200"/>
            <w:tcMar>
              <w:top w:type="dxa" w:w="100"/>
              <w:left w:type="dxa" w:w="120"/>
              <w:bottom w:type="dxa" w:w="100"/>
              <w:right w:type="dxa" w:w="120"/>
            </w:tcMar>
            <w:vAlign w:val="top"/>
          </w:tcPr>
          <w:p>
            <w:r>
              <w:rPr>
                <w:b w:val="false"/>
                <w:bCs w:val="false"/>
                <w:sz w:val="19"/>
                <w:szCs w:val="19"/>
              </w:rPr>
              <w:t xml:space="preserve">Font consistency (not scored)</w:t>
            </w:r>
          </w:p>
        </w:tc>
        <w:tc>
          <w:tcPr>
            <w:tcW w:type="dxa" w:w="2200"/>
            <w:tcMar>
              <w:top w:type="dxa" w:w="100"/>
              <w:left w:type="dxa" w:w="120"/>
              <w:bottom w:type="dxa" w:w="100"/>
              <w:right w:type="dxa" w:w="120"/>
            </w:tcMar>
            <w:vAlign w:val="top"/>
          </w:tcPr>
          <w:p>
            <w:r>
              <w:rPr>
                <w:b w:val="false"/>
                <w:bCs w:val="false"/>
                <w:sz w:val="19"/>
                <w:szCs w:val="19"/>
              </w:rPr>
              <w:t xml:space="preserve">0.0885</w:t>
            </w:r>
          </w:p>
        </w:tc>
      </w:tr>
      <w:tr>
        <w:tc>
          <w:tcPr>
            <w:tcW w:type="dxa" w:w="4200"/>
            <w:tcMar>
              <w:top w:type="dxa" w:w="100"/>
              <w:left w:type="dxa" w:w="120"/>
              <w:bottom w:type="dxa" w:w="100"/>
              <w:right w:type="dxa" w:w="120"/>
            </w:tcMar>
            <w:vAlign w:val="top"/>
          </w:tcPr>
          <w:p>
            <w:r>
              <w:rPr>
                <w:b w:val="false"/>
                <w:bCs w:val="false"/>
                <w:sz w:val="19"/>
                <w:szCs w:val="19"/>
              </w:rPr>
              <w:t xml:space="preserve">Edge sharpness (not scored)</w:t>
            </w:r>
          </w:p>
        </w:tc>
        <w:tc>
          <w:tcPr>
            <w:tcW w:type="dxa" w:w="2200"/>
            <w:tcMar>
              <w:top w:type="dxa" w:w="100"/>
              <w:left w:type="dxa" w:w="120"/>
              <w:bottom w:type="dxa" w:w="100"/>
              <w:right w:type="dxa" w:w="120"/>
            </w:tcMar>
            <w:vAlign w:val="top"/>
          </w:tcPr>
          <w:p>
            <w:r>
              <w:rPr>
                <w:b w:val="false"/>
                <w:bCs w:val="false"/>
                <w:sz w:val="19"/>
                <w:szCs w:val="19"/>
              </w:rPr>
              <w:t xml:space="preserve">0.8409</w:t>
            </w:r>
          </w:p>
        </w:tc>
      </w:tr>
      <w:tr>
        <w:tc>
          <w:tcPr>
            <w:tcW w:type="dxa" w:w="4200"/>
            <w:tcMar>
              <w:top w:type="dxa" w:w="100"/>
              <w:left w:type="dxa" w:w="120"/>
              <w:bottom w:type="dxa" w:w="100"/>
              <w:right w:type="dxa" w:w="120"/>
            </w:tcMar>
            <w:vAlign w:val="top"/>
          </w:tcPr>
          <w:p>
            <w:r>
              <w:rPr>
                <w:b w:val="false"/>
                <w:bCs w:val="false"/>
                <w:sz w:val="19"/>
                <w:szCs w:val="19"/>
              </w:rPr>
              <w:t xml:space="preserve">Chrome consistency</w:t>
            </w:r>
          </w:p>
        </w:tc>
        <w:tc>
          <w:tcPr>
            <w:tcW w:type="dxa" w:w="2200"/>
            <w:tcMar>
              <w:top w:type="dxa" w:w="100"/>
              <w:left w:type="dxa" w:w="120"/>
              <w:bottom w:type="dxa" w:w="100"/>
              <w:right w:type="dxa" w:w="120"/>
            </w:tcMar>
            <w:vAlign w:val="top"/>
          </w:tcPr>
          <w:p>
            <w:r>
              <w:rPr>
                <w:b w:val="false"/>
                <w:bCs w:val="false"/>
                <w:sz w:val="19"/>
                <w:szCs w:val="19"/>
              </w:rPr>
              <w:t xml:space="preserve">0.0000</w:t>
            </w:r>
          </w:p>
        </w:tc>
      </w:tr>
      <w:tr>
        <w:tc>
          <w:tcPr>
            <w:tcW w:type="dxa" w:w="4200"/>
            <w:tcMar>
              <w:top w:type="dxa" w:w="100"/>
              <w:left w:type="dxa" w:w="120"/>
              <w:bottom w:type="dxa" w:w="100"/>
              <w:right w:type="dxa" w:w="120"/>
            </w:tcMar>
            <w:vAlign w:val="top"/>
          </w:tcPr>
          <w:p>
            <w:r>
              <w:rPr>
                <w:b w:val="false"/>
                <w:bCs w:val="false"/>
                <w:sz w:val="19"/>
                <w:szCs w:val="19"/>
              </w:rPr>
              <w:t xml:space="preserve">Amount consistency</w:t>
            </w:r>
          </w:p>
        </w:tc>
        <w:tc>
          <w:tcPr>
            <w:tcW w:type="dxa" w:w="2200"/>
            <w:tcMar>
              <w:top w:type="dxa" w:w="100"/>
              <w:left w:type="dxa" w:w="120"/>
              <w:bottom w:type="dxa" w:w="100"/>
              <w:right w:type="dxa" w:w="120"/>
            </w:tcMar>
            <w:vAlign w:val="top"/>
          </w:tcPr>
          <w:p>
            <w:r>
              <w:rPr>
                <w:b w:val="false"/>
                <w:bCs w:val="false"/>
                <w:sz w:val="19"/>
                <w:szCs w:val="19"/>
              </w:rPr>
              <w:t xml:space="preserve">0.0000</w:t>
            </w:r>
          </w:p>
        </w:tc>
      </w:tr>
    </w:tbl>
    <w:p>
      <w:pPr>
        <w:spacing w:after="160"/>
      </w:pPr>
      <w:r>
        <w:t xml:space="preserve">Reading this: ela_score (0.89), noise_score (0.81), and edge_score (0.84) are all elevated — but this is expected and not itself suspicious. This is a dense, text-heavy document; the README's own “Known limitations” section documents that these classical compression/noise cues are much weaker signals on flat, vector-rendered UI screenshots than on the natural photographs they were originally validated on, and are prone to firing on ordinary content complexity. What actually decides this verdict is that metadata_score, text_score, and arithmetic_score — the cues capable of reaching the 0.8 override bar — are all 0.0: nothing conclusive was found, so the composite score is trusted as-is, and it falls under threshold.</w:t>
      </w:r>
    </w:p>
    <w:p>
      <w:r>
        <w:br w:type="page"/>
      </w:r>
    </w:p>
    <w:p>
      <w:pPr>
        <w:pStyle w:val="Heading1"/>
        <w:spacing w:after="200" w:before="400"/>
      </w:pPr>
      <w:r>
        <w:rPr>
          <w:b/>
          <w:bCs/>
          <w:color w:val="1B2A4A"/>
        </w:rPr>
        <w:t xml:space="preserve">6. Sample Run 2 — Fake Bank Statement (Same Statement, Watermark Injected)</w:t>
      </w:r>
    </w:p>
    <w:p>
      <w:pPr>
        <w:spacing w:after="160"/>
      </w:pPr>
      <w:r>
        <w:t xml:space="preserve">This is deliberately the same underlying statement as Sample Run 1 — identical bank name, identical balance, identical six transactions — with exactly one change: a small line of text reading “makereceipt” was added near the bottom of the image, simulating the real-world pattern of a fake-statement-generator watermark left on a document produced by an online statement-generator service. This isolates the tamper's effect from any incidental difference in content or image quality between the two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680"/>
            <w:tcMar>
              <w:top w:type="dxa" w:w="100"/>
              <w:left w:type="dxa" w:w="120"/>
              <w:bottom w:type="dxa" w:w="100"/>
              <w:right w:type="dxa" w:w="120"/>
            </w:tcMar>
            <w:vAlign w:val="top"/>
          </w:tcPr>
          <w:p>
            <w:pPr>
              <w:jc w:val="center"/>
            </w:pPr>
            <w:r>
              <w:rPr>
                <w:b/>
                <w:bCs/>
                <w:sz w:val="19"/>
                <w:szCs w:val="19"/>
              </w:rPr>
              <w:t xml:space="preserve">Original image (note the faint watermark, bottom left)</w:t>
            </w:r>
          </w:p>
          <w:p>
            <w:pPr>
              <w:spacing w:before="120"/>
              <w:jc w:val="center"/>
            </w:pPr>
            <w:r>
              <w:drawing>
                <wp:inline distT="0" distB="0" distL="0" distR="0">
                  <wp:extent cx="180975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3905250"/>
                          </a:xfrm>
                          <a:prstGeom prst="rect">
                            <a:avLst/>
                          </a:prstGeom>
                        </pic:spPr>
                      </pic:pic>
                    </a:graphicData>
                  </a:graphic>
                </wp:inline>
              </w:drawing>
            </w:r>
          </w:p>
        </w:tc>
        <w:tc>
          <w:tcPr>
            <w:tcW w:type="dxa" w:w="4680"/>
            <w:tcMar>
              <w:top w:type="dxa" w:w="100"/>
              <w:left w:type="dxa" w:w="120"/>
              <w:bottom w:type="dxa" w:w="100"/>
              <w:right w:type="dxa" w:w="120"/>
            </w:tcMar>
            <w:vAlign w:val="top"/>
          </w:tcPr>
          <w:p>
            <w:pPr>
              <w:jc w:val="center"/>
            </w:pPr>
            <w:r>
              <w:rPr>
                <w:b/>
                <w:bCs/>
                <w:sz w:val="19"/>
                <w:szCs w:val="19"/>
              </w:rPr>
              <w:t xml:space="preserve">ELA heatmap (as returned by the API)</w:t>
            </w:r>
          </w:p>
          <w:p>
            <w:pPr>
              <w:spacing w:before="120"/>
              <w:jc w:val="center"/>
            </w:pPr>
            <w:r>
              <w:drawing>
                <wp:inline distT="0" distB="0" distL="0" distR="0">
                  <wp:extent cx="1809750" cy="3905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809750" cy="3905250"/>
                          </a:xfrm>
                          <a:prstGeom prst="rect">
                            <a:avLst/>
                          </a:prstGeom>
                        </pic:spPr>
                      </pic:pic>
                    </a:graphicData>
                  </a:graphic>
                </wp:inline>
              </w:drawing>
            </w:r>
          </w:p>
        </w:tc>
      </w:tr>
    </w:tbl>
    <w:p>
      <w:pPr>
        <w:spacing w:after="120" w:before="260"/>
      </w:pPr>
      <w:r>
        <w:rPr>
          <w:b/>
          <w:bCs/>
        </w:rPr>
        <w:t xml:space="preserve">Result</w:t>
      </w:r>
    </w:p>
    <w:p>
      <w:pPr>
        <w:pStyle w:val="ListParagraph"/>
        <w:numPr>
          <w:ilvl w:val="0"/>
          <w:numId w:val="1"/>
        </w:numPr>
        <w:spacing w:after="90"/>
      </w:pPr>
      <w:r>
        <w:t xml:space="preserve">Detected content type: financial_document → effective threshold 0.55 (same as Sample 1).</w:t>
      </w:r>
    </w:p>
    <w:p>
      <w:pPr>
        <w:pStyle w:val="ListParagraph"/>
        <w:numPr>
          <w:ilvl w:val="0"/>
          <w:numId w:val="1"/>
        </w:numPr>
        <w:spacing w:after="90"/>
      </w:pPr>
      <w:r>
        <w:t xml:space="preserve">Composite fake_score: </w:t>
      </w:r>
      <w:r>
        <w:rPr>
          <w:b/>
          <w:bCs/>
        </w:rPr>
        <w:t xml:space="preserve">0.3304</w:t>
      </w:r>
      <w:r>
        <w:t xml:space="preserve"> — actually </w:t>
      </w:r>
      <w:r>
        <w:rPr>
          <w:b/>
          <w:bCs/>
          <w:i/>
          <w:iCs/>
        </w:rPr>
        <w:t xml:space="preserve">lower</w:t>
      </w:r>
      <w:r>
        <w:t xml:space="preserve"> than Sample 1's 0.4413, and further under the threshold. On the composite score alone, this image would be classified Likely Authentic — a false negative.</w:t>
      </w:r>
    </w:p>
    <w:p>
      <w:pPr>
        <w:pStyle w:val="ListParagraph"/>
        <w:numPr>
          <w:ilvl w:val="0"/>
          <w:numId w:val="1"/>
        </w:numPr>
        <w:spacing w:after="90"/>
      </w:pPr>
      <w:r>
        <w:t xml:space="preserve">The OCR-based document-text cue caught it: “Text contains a known fake-document-generator marker: ‘makereceipt’” → text_score = 0.9.</w:t>
      </w:r>
    </w:p>
    <w:p>
      <w:pPr>
        <w:pStyle w:val="ListParagraph"/>
        <w:numPr>
          <w:ilvl w:val="0"/>
          <w:numId w:val="1"/>
        </w:numPr>
        <w:spacing w:after="90"/>
      </w:pPr>
      <w:r>
        <w:t xml:space="preserve">0.9 clears the 0.8 override bar → the high-confidence override forces is_fake = true, with override_reason = “text_score” reported explicitly in the response.</w:t>
      </w:r>
    </w:p>
    <w:p>
      <w:pPr>
        <w:spacing w:after="160"/>
      </w:pPr>
      <w:r>
        <w:rPr>
          <w:b/>
          <w:bCs/>
        </w:rPr>
        <w:t xml:space="preserve">Verdict: </w:t>
      </w:r>
      <w:r>
        <w:rPr>
          <w:b/>
          <w:bCs/>
          <w:color w:val="B23B3B"/>
        </w:rPr>
        <w:t xml:space="preserve">Possible Fake</w:t>
      </w:r>
      <w:r>
        <w:rPr>
          <w:i/>
          <w:iCs/>
          <w:color w:val="6B7280"/>
        </w:rPr>
        <w:t xml:space="preserve">  (via override — not via the composite score)</w:t>
      </w:r>
    </w:p>
    <w:p>
      <w:pPr>
        <w:pStyle w:val="Heading2"/>
        <w:spacing w:after="150" w:before="300"/>
      </w:pPr>
      <w:r>
        <w:rPr>
          <w:b/>
          <w:bCs/>
          <w:color w:val="1B2A4A"/>
        </w:rPr>
        <w:t xml:space="preserve">Full per-cue breakdown</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200"/>
            <w:shd w:fill="1B2A4A" w:color="auto" w:val="clear"/>
            <w:tcMar>
              <w:top w:type="dxa" w:w="100"/>
              <w:left w:type="dxa" w:w="120"/>
              <w:bottom w:type="dxa" w:w="100"/>
              <w:right w:type="dxa" w:w="120"/>
            </w:tcMar>
            <w:vAlign w:val="top"/>
          </w:tcPr>
          <w:p>
            <w:r>
              <w:rPr>
                <w:b/>
                <w:bCs/>
                <w:color w:val="FFFFFF"/>
                <w:sz w:val="19"/>
                <w:szCs w:val="19"/>
              </w:rPr>
              <w:t xml:space="preserve">Cue</w:t>
            </w:r>
          </w:p>
        </w:tc>
        <w:tc>
          <w:tcPr>
            <w:tcW w:type="dxa" w:w="2200"/>
            <w:shd w:fill="1B2A4A" w:color="auto" w:val="clear"/>
            <w:tcMar>
              <w:top w:type="dxa" w:w="100"/>
              <w:left w:type="dxa" w:w="120"/>
              <w:bottom w:type="dxa" w:w="100"/>
              <w:right w:type="dxa" w:w="120"/>
            </w:tcMar>
            <w:vAlign w:val="top"/>
          </w:tcPr>
          <w:p>
            <w:r>
              <w:rPr>
                <w:b/>
                <w:bCs/>
                <w:color w:val="FFFFFF"/>
                <w:sz w:val="19"/>
                <w:szCs w:val="19"/>
              </w:rPr>
              <w:t xml:space="preserve">Score</w:t>
            </w:r>
          </w:p>
        </w:tc>
      </w:tr>
      <w:tr>
        <w:tc>
          <w:tcPr>
            <w:tcW w:type="dxa" w:w="4200"/>
            <w:tcMar>
              <w:top w:type="dxa" w:w="100"/>
              <w:left w:type="dxa" w:w="120"/>
              <w:bottom w:type="dxa" w:w="100"/>
              <w:right w:type="dxa" w:w="120"/>
            </w:tcMar>
            <w:vAlign w:val="top"/>
          </w:tcPr>
          <w:p>
            <w:r>
              <w:rPr>
                <w:b w:val="false"/>
                <w:bCs w:val="false"/>
                <w:sz w:val="19"/>
                <w:szCs w:val="19"/>
              </w:rPr>
              <w:t xml:space="preserve">ELA</w:t>
            </w:r>
          </w:p>
        </w:tc>
        <w:tc>
          <w:tcPr>
            <w:tcW w:type="dxa" w:w="2200"/>
            <w:tcMar>
              <w:top w:type="dxa" w:w="100"/>
              <w:left w:type="dxa" w:w="120"/>
              <w:bottom w:type="dxa" w:w="100"/>
              <w:right w:type="dxa" w:w="120"/>
            </w:tcMar>
            <w:vAlign w:val="top"/>
          </w:tcPr>
          <w:p>
            <w:r>
              <w:rPr>
                <w:b w:val="false"/>
                <w:bCs w:val="false"/>
                <w:sz w:val="19"/>
                <w:szCs w:val="19"/>
              </w:rPr>
              <w:t xml:space="preserve">0.8974</w:t>
            </w:r>
          </w:p>
        </w:tc>
      </w:tr>
      <w:tr>
        <w:tc>
          <w:tcPr>
            <w:tcW w:type="dxa" w:w="4200"/>
            <w:tcMar>
              <w:top w:type="dxa" w:w="100"/>
              <w:left w:type="dxa" w:w="120"/>
              <w:bottom w:type="dxa" w:w="100"/>
              <w:right w:type="dxa" w:w="120"/>
            </w:tcMar>
            <w:vAlign w:val="top"/>
          </w:tcPr>
          <w:p>
            <w:r>
              <w:rPr>
                <w:b w:val="false"/>
                <w:bCs w:val="false"/>
                <w:sz w:val="19"/>
                <w:szCs w:val="19"/>
              </w:rPr>
              <w:t xml:space="preserve">JPEG Ghost (not scored)</w:t>
            </w:r>
          </w:p>
        </w:tc>
        <w:tc>
          <w:tcPr>
            <w:tcW w:type="dxa" w:w="2200"/>
            <w:tcMar>
              <w:top w:type="dxa" w:w="100"/>
              <w:left w:type="dxa" w:w="120"/>
              <w:bottom w:type="dxa" w:w="100"/>
              <w:right w:type="dxa" w:w="120"/>
            </w:tcMar>
            <w:vAlign w:val="top"/>
          </w:tcPr>
          <w:p>
            <w:r>
              <w:rPr>
                <w:b w:val="false"/>
                <w:bCs w:val="false"/>
                <w:sz w:val="19"/>
                <w:szCs w:val="19"/>
              </w:rPr>
              <w:t xml:space="preserve">0.9289</w:t>
            </w:r>
          </w:p>
        </w:tc>
      </w:tr>
      <w:tr>
        <w:tc>
          <w:tcPr>
            <w:tcW w:type="dxa" w:w="4200"/>
            <w:tcMar>
              <w:top w:type="dxa" w:w="100"/>
              <w:left w:type="dxa" w:w="120"/>
              <w:bottom w:type="dxa" w:w="100"/>
              <w:right w:type="dxa" w:w="120"/>
            </w:tcMar>
            <w:vAlign w:val="top"/>
          </w:tcPr>
          <w:p>
            <w:r>
              <w:rPr>
                <w:b w:val="false"/>
                <w:bCs w:val="false"/>
                <w:sz w:val="19"/>
                <w:szCs w:val="19"/>
              </w:rPr>
              <w:t xml:space="preserve">Quantization tables</w:t>
            </w:r>
          </w:p>
        </w:tc>
        <w:tc>
          <w:tcPr>
            <w:tcW w:type="dxa" w:w="2200"/>
            <w:tcMar>
              <w:top w:type="dxa" w:w="100"/>
              <w:left w:type="dxa" w:w="120"/>
              <w:bottom w:type="dxa" w:w="100"/>
              <w:right w:type="dxa" w:w="120"/>
            </w:tcMar>
            <w:vAlign w:val="top"/>
          </w:tcPr>
          <w:p>
            <w:r>
              <w:rPr>
                <w:b w:val="false"/>
                <w:bCs w:val="false"/>
                <w:sz w:val="19"/>
                <w:szCs w:val="19"/>
              </w:rPr>
              <w:t xml:space="preserve">0.0000</w:t>
            </w:r>
          </w:p>
        </w:tc>
      </w:tr>
      <w:tr>
        <w:tc>
          <w:tcPr>
            <w:tcW w:type="dxa" w:w="4200"/>
            <w:tcMar>
              <w:top w:type="dxa" w:w="100"/>
              <w:left w:type="dxa" w:w="120"/>
              <w:bottom w:type="dxa" w:w="100"/>
              <w:right w:type="dxa" w:w="120"/>
            </w:tcMar>
            <w:vAlign w:val="top"/>
          </w:tcPr>
          <w:p>
            <w:r>
              <w:rPr>
                <w:b w:val="false"/>
                <w:bCs w:val="false"/>
                <w:sz w:val="19"/>
                <w:szCs w:val="19"/>
              </w:rPr>
              <w:t xml:space="preserve">Noise consistency</w:t>
            </w:r>
          </w:p>
        </w:tc>
        <w:tc>
          <w:tcPr>
            <w:tcW w:type="dxa" w:w="2200"/>
            <w:tcMar>
              <w:top w:type="dxa" w:w="100"/>
              <w:left w:type="dxa" w:w="120"/>
              <w:bottom w:type="dxa" w:w="100"/>
              <w:right w:type="dxa" w:w="120"/>
            </w:tcMar>
            <w:vAlign w:val="top"/>
          </w:tcPr>
          <w:p>
            <w:r>
              <w:rPr>
                <w:b w:val="false"/>
                <w:bCs w:val="false"/>
                <w:sz w:val="19"/>
                <w:szCs w:val="19"/>
              </w:rPr>
              <w:t xml:space="preserve">0.8045</w:t>
            </w:r>
          </w:p>
        </w:tc>
      </w:tr>
      <w:tr>
        <w:tc>
          <w:tcPr>
            <w:tcW w:type="dxa" w:w="4200"/>
            <w:tcMar>
              <w:top w:type="dxa" w:w="100"/>
              <w:left w:type="dxa" w:w="120"/>
              <w:bottom w:type="dxa" w:w="100"/>
              <w:right w:type="dxa" w:w="120"/>
            </w:tcMar>
            <w:vAlign w:val="top"/>
          </w:tcPr>
          <w:p>
            <w:r>
              <w:rPr>
                <w:b w:val="false"/>
                <w:bCs w:val="false"/>
                <w:sz w:val="19"/>
                <w:szCs w:val="19"/>
              </w:rPr>
              <w:t xml:space="preserve">Copy-move detection</w:t>
            </w:r>
          </w:p>
        </w:tc>
        <w:tc>
          <w:tcPr>
            <w:tcW w:type="dxa" w:w="2200"/>
            <w:tcMar>
              <w:top w:type="dxa" w:w="100"/>
              <w:left w:type="dxa" w:w="120"/>
              <w:bottom w:type="dxa" w:w="100"/>
              <w:right w:type="dxa" w:w="120"/>
            </w:tcMar>
            <w:vAlign w:val="top"/>
          </w:tcPr>
          <w:p>
            <w:r>
              <w:rPr>
                <w:b w:val="false"/>
                <w:bCs w:val="false"/>
                <w:sz w:val="19"/>
                <w:szCs w:val="19"/>
              </w:rPr>
              <w:t xml:space="preserve">0.3266</w:t>
            </w:r>
          </w:p>
        </w:tc>
      </w:tr>
      <w:tr>
        <w:tc>
          <w:tcPr>
            <w:tcW w:type="dxa" w:w="4200"/>
            <w:tcMar>
              <w:top w:type="dxa" w:w="100"/>
              <w:left w:type="dxa" w:w="120"/>
              <w:bottom w:type="dxa" w:w="100"/>
              <w:right w:type="dxa" w:w="120"/>
            </w:tcMar>
            <w:vAlign w:val="top"/>
          </w:tcPr>
          <w:p>
            <w:r>
              <w:rPr>
                <w:b w:val="false"/>
                <w:bCs w:val="false"/>
                <w:sz w:val="19"/>
                <w:szCs w:val="19"/>
              </w:rPr>
              <w:t xml:space="preserve">Metadata / EXIF</w:t>
            </w:r>
          </w:p>
        </w:tc>
        <w:tc>
          <w:tcPr>
            <w:tcW w:type="dxa" w:w="2200"/>
            <w:tcMar>
              <w:top w:type="dxa" w:w="100"/>
              <w:left w:type="dxa" w:w="120"/>
              <w:bottom w:type="dxa" w:w="100"/>
              <w:right w:type="dxa" w:w="120"/>
            </w:tcMar>
            <w:vAlign w:val="top"/>
          </w:tcPr>
          <w:p>
            <w:r>
              <w:rPr>
                <w:b w:val="false"/>
                <w:bCs w:val="false"/>
                <w:sz w:val="19"/>
                <w:szCs w:val="19"/>
              </w:rPr>
              <w:t xml:space="preserve">0.0000</w:t>
            </w:r>
          </w:p>
        </w:tc>
      </w:tr>
      <w:tr>
        <w:tc>
          <w:tcPr>
            <w:tcW w:type="dxa" w:w="4200"/>
            <w:shd w:fill="F3E4CC" w:color="auto" w:val="clear"/>
            <w:tcMar>
              <w:top w:type="dxa" w:w="100"/>
              <w:left w:type="dxa" w:w="120"/>
              <w:bottom w:type="dxa" w:w="100"/>
              <w:right w:type="dxa" w:w="120"/>
            </w:tcMar>
            <w:vAlign w:val="top"/>
          </w:tcPr>
          <w:p>
            <w:r>
              <w:rPr>
                <w:b w:val="false"/>
                <w:bCs w:val="false"/>
                <w:sz w:val="19"/>
                <w:szCs w:val="19"/>
              </w:rPr>
              <w:t xml:space="preserve">Document text (OCR)</w:t>
            </w:r>
          </w:p>
        </w:tc>
        <w:tc>
          <w:tcPr>
            <w:tcW w:type="dxa" w:w="2200"/>
            <w:shd w:fill="F3E4CC" w:color="auto" w:val="clear"/>
            <w:tcMar>
              <w:top w:type="dxa" w:w="100"/>
              <w:left w:type="dxa" w:w="120"/>
              <w:bottom w:type="dxa" w:w="100"/>
              <w:right w:type="dxa" w:w="120"/>
            </w:tcMar>
            <w:vAlign w:val="top"/>
          </w:tcPr>
          <w:p>
            <w:r>
              <w:rPr>
                <w:b w:val="false"/>
                <w:bCs w:val="false"/>
                <w:sz w:val="19"/>
                <w:szCs w:val="19"/>
              </w:rPr>
              <w:t xml:space="preserve">0.9000</w:t>
            </w:r>
          </w:p>
        </w:tc>
      </w:tr>
      <w:tr>
        <w:tc>
          <w:tcPr>
            <w:tcW w:type="dxa" w:w="4200"/>
            <w:tcMar>
              <w:top w:type="dxa" w:w="100"/>
              <w:left w:type="dxa" w:w="120"/>
              <w:bottom w:type="dxa" w:w="100"/>
              <w:right w:type="dxa" w:w="120"/>
            </w:tcMar>
            <w:vAlign w:val="top"/>
          </w:tcPr>
          <w:p>
            <w:r>
              <w:rPr>
                <w:b w:val="false"/>
                <w:bCs w:val="false"/>
                <w:sz w:val="19"/>
                <w:szCs w:val="19"/>
              </w:rPr>
              <w:t xml:space="preserve">Font consistency (not scored)</w:t>
            </w:r>
          </w:p>
        </w:tc>
        <w:tc>
          <w:tcPr>
            <w:tcW w:type="dxa" w:w="2200"/>
            <w:tcMar>
              <w:top w:type="dxa" w:w="100"/>
              <w:left w:type="dxa" w:w="120"/>
              <w:bottom w:type="dxa" w:w="100"/>
              <w:right w:type="dxa" w:w="120"/>
            </w:tcMar>
            <w:vAlign w:val="top"/>
          </w:tcPr>
          <w:p>
            <w:r>
              <w:rPr>
                <w:b w:val="false"/>
                <w:bCs w:val="false"/>
                <w:sz w:val="19"/>
                <w:szCs w:val="19"/>
              </w:rPr>
              <w:t xml:space="preserve">0.0000</w:t>
            </w:r>
          </w:p>
        </w:tc>
      </w:tr>
      <w:tr>
        <w:tc>
          <w:tcPr>
            <w:tcW w:type="dxa" w:w="4200"/>
            <w:tcMar>
              <w:top w:type="dxa" w:w="100"/>
              <w:left w:type="dxa" w:w="120"/>
              <w:bottom w:type="dxa" w:w="100"/>
              <w:right w:type="dxa" w:w="120"/>
            </w:tcMar>
            <w:vAlign w:val="top"/>
          </w:tcPr>
          <w:p>
            <w:r>
              <w:rPr>
                <w:b w:val="false"/>
                <w:bCs w:val="false"/>
                <w:sz w:val="19"/>
                <w:szCs w:val="19"/>
              </w:rPr>
              <w:t xml:space="preserve">Edge sharpness (not scored)</w:t>
            </w:r>
          </w:p>
        </w:tc>
        <w:tc>
          <w:tcPr>
            <w:tcW w:type="dxa" w:w="2200"/>
            <w:tcMar>
              <w:top w:type="dxa" w:w="100"/>
              <w:left w:type="dxa" w:w="120"/>
              <w:bottom w:type="dxa" w:w="100"/>
              <w:right w:type="dxa" w:w="120"/>
            </w:tcMar>
            <w:vAlign w:val="top"/>
          </w:tcPr>
          <w:p>
            <w:r>
              <w:rPr>
                <w:b w:val="false"/>
                <w:bCs w:val="false"/>
                <w:sz w:val="19"/>
                <w:szCs w:val="19"/>
              </w:rPr>
              <w:t xml:space="preserve">0.8523</w:t>
            </w:r>
          </w:p>
        </w:tc>
      </w:tr>
      <w:tr>
        <w:tc>
          <w:tcPr>
            <w:tcW w:type="dxa" w:w="4200"/>
            <w:tcMar>
              <w:top w:type="dxa" w:w="100"/>
              <w:left w:type="dxa" w:w="120"/>
              <w:bottom w:type="dxa" w:w="100"/>
              <w:right w:type="dxa" w:w="120"/>
            </w:tcMar>
            <w:vAlign w:val="top"/>
          </w:tcPr>
          <w:p>
            <w:r>
              <w:rPr>
                <w:b w:val="false"/>
                <w:bCs w:val="false"/>
                <w:sz w:val="19"/>
                <w:szCs w:val="19"/>
              </w:rPr>
              <w:t xml:space="preserve">Chrome consistency</w:t>
            </w:r>
          </w:p>
        </w:tc>
        <w:tc>
          <w:tcPr>
            <w:tcW w:type="dxa" w:w="2200"/>
            <w:tcMar>
              <w:top w:type="dxa" w:w="100"/>
              <w:left w:type="dxa" w:w="120"/>
              <w:bottom w:type="dxa" w:w="100"/>
              <w:right w:type="dxa" w:w="120"/>
            </w:tcMar>
            <w:vAlign w:val="top"/>
          </w:tcPr>
          <w:p>
            <w:r>
              <w:rPr>
                <w:b w:val="false"/>
                <w:bCs w:val="false"/>
                <w:sz w:val="19"/>
                <w:szCs w:val="19"/>
              </w:rPr>
              <w:t xml:space="preserve">0.0000</w:t>
            </w:r>
          </w:p>
        </w:tc>
      </w:tr>
      <w:tr>
        <w:tc>
          <w:tcPr>
            <w:tcW w:type="dxa" w:w="4200"/>
            <w:tcMar>
              <w:top w:type="dxa" w:w="100"/>
              <w:left w:type="dxa" w:w="120"/>
              <w:bottom w:type="dxa" w:w="100"/>
              <w:right w:type="dxa" w:w="120"/>
            </w:tcMar>
            <w:vAlign w:val="top"/>
          </w:tcPr>
          <w:p>
            <w:r>
              <w:rPr>
                <w:b w:val="false"/>
                <w:bCs w:val="false"/>
                <w:sz w:val="19"/>
                <w:szCs w:val="19"/>
              </w:rPr>
              <w:t xml:space="preserve">Amount consistency</w:t>
            </w:r>
          </w:p>
        </w:tc>
        <w:tc>
          <w:tcPr>
            <w:tcW w:type="dxa" w:w="2200"/>
            <w:tcMar>
              <w:top w:type="dxa" w:w="100"/>
              <w:left w:type="dxa" w:w="120"/>
              <w:bottom w:type="dxa" w:w="100"/>
              <w:right w:type="dxa" w:w="120"/>
            </w:tcMar>
            <w:vAlign w:val="top"/>
          </w:tcPr>
          <w:p>
            <w:r>
              <w:rPr>
                <w:b w:val="false"/>
                <w:bCs w:val="false"/>
                <w:sz w:val="19"/>
                <w:szCs w:val="19"/>
              </w:rPr>
              <w:t xml:space="preserve">0.0000</w:t>
            </w:r>
          </w:p>
        </w:tc>
      </w:tr>
    </w:tbl>
    <w:p>
      <w:pPr>
        <w:spacing w:after="160"/>
      </w:pPr>
      <w:r>
        <w:t xml:space="preserve">Reading this: every pixel-level cue (ELA, noise, clone, edge-sharpness) is within a few thousandths of Sample 1's values — unsurprising, since a few dozen pixels of light-gray watermark text on an otherwise-unchanged 390×844 image barely perturbs global compression or noise statistics at all. The single highlighted row is the entire story: text_score jumps from 0.0 to 0.9 because the pipeline read what the document actually says, not just how its bytes were compressed — something none of the other ten cues can do. This is the exact scenario the override architecture exists for, reproduced directly rather than only described.</w:t>
      </w:r>
    </w:p>
    <w:p>
      <w:r>
        <w:br w:type="page"/>
      </w:r>
    </w:p>
    <w:p>
      <w:pPr>
        <w:pStyle w:val="Heading1"/>
        <w:spacing w:after="200" w:before="400"/>
      </w:pPr>
      <w:r>
        <w:rPr>
          <w:b/>
          <w:bCs/>
          <w:color w:val="1B2A4A"/>
        </w:rPr>
        <w:t xml:space="preserve">7. Side-by-Side Comparison</w:t>
      </w:r>
    </w:p>
    <w:p>
      <w:pPr>
        <w:spacing w:after="160"/>
      </w:pPr>
      <w:r>
        <w:t xml:space="preserve">Highlighted rows moved by more than 0.05 between the two runs.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3000"/>
            <w:shd w:fill="1B2A4A" w:color="auto" w:val="clear"/>
            <w:tcMar>
              <w:top w:type="dxa" w:w="100"/>
              <w:left w:type="dxa" w:w="120"/>
              <w:bottom w:type="dxa" w:w="100"/>
              <w:right w:type="dxa" w:w="120"/>
            </w:tcMar>
            <w:vAlign w:val="top"/>
          </w:tcPr>
          <w:p>
            <w:r>
              <w:rPr>
                <w:b/>
                <w:bCs/>
                <w:color w:val="FFFFFF"/>
                <w:sz w:val="19"/>
                <w:szCs w:val="19"/>
              </w:rPr>
              <w:t xml:space="preserve">Cue</w:t>
            </w:r>
          </w:p>
        </w:tc>
        <w:tc>
          <w:tcPr>
            <w:tcW w:type="dxa" w:w="1800"/>
            <w:shd w:fill="1B2A4A" w:color="auto" w:val="clear"/>
            <w:tcMar>
              <w:top w:type="dxa" w:w="100"/>
              <w:left w:type="dxa" w:w="120"/>
              <w:bottom w:type="dxa" w:w="100"/>
              <w:right w:type="dxa" w:w="120"/>
            </w:tcMar>
            <w:vAlign w:val="top"/>
          </w:tcPr>
          <w:p>
            <w:r>
              <w:rPr>
                <w:b/>
                <w:bCs/>
                <w:color w:val="FFFFFF"/>
                <w:sz w:val="19"/>
                <w:szCs w:val="19"/>
              </w:rPr>
              <w:t xml:space="preserve">Authentic</w:t>
            </w:r>
          </w:p>
        </w:tc>
        <w:tc>
          <w:tcPr>
            <w:tcW w:type="dxa" w:w="1800"/>
            <w:shd w:fill="1B2A4A" w:color="auto" w:val="clear"/>
            <w:tcMar>
              <w:top w:type="dxa" w:w="100"/>
              <w:left w:type="dxa" w:w="120"/>
              <w:bottom w:type="dxa" w:w="100"/>
              <w:right w:type="dxa" w:w="120"/>
            </w:tcMar>
            <w:vAlign w:val="top"/>
          </w:tcPr>
          <w:p>
            <w:r>
              <w:rPr>
                <w:b/>
                <w:bCs/>
                <w:color w:val="FFFFFF"/>
                <w:sz w:val="19"/>
                <w:szCs w:val="19"/>
              </w:rPr>
              <w:t xml:space="preserve">Fake</w:t>
            </w:r>
          </w:p>
        </w:tc>
        <w:tc>
          <w:tcPr>
            <w:tcW w:type="dxa" w:w="1800"/>
            <w:shd w:fill="1B2A4A" w:color="auto" w:val="clear"/>
            <w:tcMar>
              <w:top w:type="dxa" w:w="100"/>
              <w:left w:type="dxa" w:w="120"/>
              <w:bottom w:type="dxa" w:w="100"/>
              <w:right w:type="dxa" w:w="120"/>
            </w:tcMar>
            <w:vAlign w:val="top"/>
          </w:tcPr>
          <w:p>
            <w:r>
              <w:rPr>
                <w:b/>
                <w:bCs/>
                <w:color w:val="FFFFFF"/>
                <w:sz w:val="19"/>
                <w:szCs w:val="19"/>
              </w:rPr>
              <w:t xml:space="preserve">Δ</w:t>
            </w:r>
          </w:p>
        </w:tc>
      </w:tr>
      <w:tr>
        <w:tc>
          <w:tcPr>
            <w:tcW w:type="dxa" w:w="3000"/>
            <w:tcMar>
              <w:top w:type="dxa" w:w="100"/>
              <w:left w:type="dxa" w:w="120"/>
              <w:bottom w:type="dxa" w:w="100"/>
              <w:right w:type="dxa" w:w="120"/>
            </w:tcMar>
            <w:vAlign w:val="top"/>
          </w:tcPr>
          <w:p>
            <w:r>
              <w:rPr>
                <w:b w:val="false"/>
                <w:bCs w:val="false"/>
                <w:sz w:val="19"/>
                <w:szCs w:val="19"/>
              </w:rPr>
              <w:t xml:space="preserve">ELA</w:t>
            </w:r>
          </w:p>
        </w:tc>
        <w:tc>
          <w:tcPr>
            <w:tcW w:type="dxa" w:w="1800"/>
            <w:tcMar>
              <w:top w:type="dxa" w:w="100"/>
              <w:left w:type="dxa" w:w="120"/>
              <w:bottom w:type="dxa" w:w="100"/>
              <w:right w:type="dxa" w:w="120"/>
            </w:tcMar>
            <w:vAlign w:val="top"/>
          </w:tcPr>
          <w:p>
            <w:r>
              <w:rPr>
                <w:b w:val="false"/>
                <w:bCs w:val="false"/>
                <w:sz w:val="19"/>
                <w:szCs w:val="19"/>
              </w:rPr>
              <w:t xml:space="preserve">0.8937</w:t>
            </w:r>
          </w:p>
        </w:tc>
        <w:tc>
          <w:tcPr>
            <w:tcW w:type="dxa" w:w="1800"/>
            <w:tcMar>
              <w:top w:type="dxa" w:w="100"/>
              <w:left w:type="dxa" w:w="120"/>
              <w:bottom w:type="dxa" w:w="100"/>
              <w:right w:type="dxa" w:w="120"/>
            </w:tcMar>
            <w:vAlign w:val="top"/>
          </w:tcPr>
          <w:p>
            <w:r>
              <w:rPr>
                <w:b w:val="false"/>
                <w:bCs w:val="false"/>
                <w:sz w:val="19"/>
                <w:szCs w:val="19"/>
              </w:rPr>
              <w:t xml:space="preserve">0.8974</w:t>
            </w:r>
          </w:p>
        </w:tc>
        <w:tc>
          <w:tcPr>
            <w:tcW w:type="dxa" w:w="1800"/>
            <w:tcMar>
              <w:top w:type="dxa" w:w="100"/>
              <w:left w:type="dxa" w:w="120"/>
              <w:bottom w:type="dxa" w:w="100"/>
              <w:right w:type="dxa" w:w="120"/>
            </w:tcMar>
            <w:vAlign w:val="top"/>
          </w:tcPr>
          <w:p>
            <w:r>
              <w:rPr>
                <w:b w:val="false"/>
                <w:bCs w:val="false"/>
                <w:sz w:val="19"/>
                <w:szCs w:val="19"/>
              </w:rPr>
              <w:t xml:space="preserve">+0.0037</w:t>
            </w:r>
          </w:p>
        </w:tc>
      </w:tr>
      <w:tr>
        <w:tc>
          <w:tcPr>
            <w:tcW w:type="dxa" w:w="3000"/>
            <w:shd w:fill="F3E4CC" w:color="auto" w:val="clear"/>
            <w:tcMar>
              <w:top w:type="dxa" w:w="100"/>
              <w:left w:type="dxa" w:w="120"/>
              <w:bottom w:type="dxa" w:w="100"/>
              <w:right w:type="dxa" w:w="120"/>
            </w:tcMar>
            <w:vAlign w:val="top"/>
          </w:tcPr>
          <w:p>
            <w:r>
              <w:rPr>
                <w:b w:val="false"/>
                <w:bCs w:val="false"/>
                <w:sz w:val="19"/>
                <w:szCs w:val="19"/>
              </w:rPr>
              <w:t xml:space="preserve">JPEG Ghost (not scored)</w:t>
            </w:r>
          </w:p>
        </w:tc>
        <w:tc>
          <w:tcPr>
            <w:tcW w:type="dxa" w:w="1800"/>
            <w:shd w:fill="F3E4CC" w:color="auto" w:val="clear"/>
            <w:tcMar>
              <w:top w:type="dxa" w:w="100"/>
              <w:left w:type="dxa" w:w="120"/>
              <w:bottom w:type="dxa" w:w="100"/>
              <w:right w:type="dxa" w:w="120"/>
            </w:tcMar>
            <w:vAlign w:val="top"/>
          </w:tcPr>
          <w:p>
            <w:r>
              <w:rPr>
                <w:b w:val="false"/>
                <w:bCs w:val="false"/>
                <w:sz w:val="19"/>
                <w:szCs w:val="19"/>
              </w:rPr>
              <w:t xml:space="preserve">1.0000</w:t>
            </w:r>
          </w:p>
        </w:tc>
        <w:tc>
          <w:tcPr>
            <w:tcW w:type="dxa" w:w="1800"/>
            <w:shd w:fill="F3E4CC" w:color="auto" w:val="clear"/>
            <w:tcMar>
              <w:top w:type="dxa" w:w="100"/>
              <w:left w:type="dxa" w:w="120"/>
              <w:bottom w:type="dxa" w:w="100"/>
              <w:right w:type="dxa" w:w="120"/>
            </w:tcMar>
            <w:vAlign w:val="top"/>
          </w:tcPr>
          <w:p>
            <w:r>
              <w:rPr>
                <w:b w:val="false"/>
                <w:bCs w:val="false"/>
                <w:sz w:val="19"/>
                <w:szCs w:val="19"/>
              </w:rPr>
              <w:t xml:space="preserve">0.9289</w:t>
            </w:r>
          </w:p>
        </w:tc>
        <w:tc>
          <w:tcPr>
            <w:tcW w:type="dxa" w:w="1800"/>
            <w:shd w:fill="F3E4CC" w:color="auto" w:val="clear"/>
            <w:tcMar>
              <w:top w:type="dxa" w:w="100"/>
              <w:left w:type="dxa" w:w="120"/>
              <w:bottom w:type="dxa" w:w="100"/>
              <w:right w:type="dxa" w:w="120"/>
            </w:tcMar>
            <w:vAlign w:val="top"/>
          </w:tcPr>
          <w:p>
            <w:r>
              <w:rPr>
                <w:b w:val="false"/>
                <w:bCs w:val="false"/>
                <w:sz w:val="19"/>
                <w:szCs w:val="19"/>
              </w:rPr>
              <w:t xml:space="preserve">-0.0711</w:t>
            </w:r>
          </w:p>
        </w:tc>
      </w:tr>
      <w:tr>
        <w:tc>
          <w:tcPr>
            <w:tcW w:type="dxa" w:w="3000"/>
            <w:tcMar>
              <w:top w:type="dxa" w:w="100"/>
              <w:left w:type="dxa" w:w="120"/>
              <w:bottom w:type="dxa" w:w="100"/>
              <w:right w:type="dxa" w:w="120"/>
            </w:tcMar>
            <w:vAlign w:val="top"/>
          </w:tcPr>
          <w:p>
            <w:r>
              <w:rPr>
                <w:b w:val="false"/>
                <w:bCs w:val="false"/>
                <w:sz w:val="19"/>
                <w:szCs w:val="19"/>
              </w:rPr>
              <w:t xml:space="preserve">Quantization tables</w:t>
            </w:r>
          </w:p>
        </w:tc>
        <w:tc>
          <w:tcPr>
            <w:tcW w:type="dxa" w:w="1800"/>
            <w:tcMar>
              <w:top w:type="dxa" w:w="100"/>
              <w:left w:type="dxa" w:w="120"/>
              <w:bottom w:type="dxa" w:w="100"/>
              <w:right w:type="dxa" w:w="120"/>
            </w:tcMar>
            <w:vAlign w:val="top"/>
          </w:tcPr>
          <w:p>
            <w:r>
              <w:rPr>
                <w:b w:val="false"/>
                <w:bCs w:val="false"/>
                <w:sz w:val="19"/>
                <w:szCs w:val="19"/>
              </w:rPr>
              <w:t xml:space="preserve">0.0000</w:t>
            </w:r>
          </w:p>
        </w:tc>
        <w:tc>
          <w:tcPr>
            <w:tcW w:type="dxa" w:w="1800"/>
            <w:tcMar>
              <w:top w:type="dxa" w:w="100"/>
              <w:left w:type="dxa" w:w="120"/>
              <w:bottom w:type="dxa" w:w="100"/>
              <w:right w:type="dxa" w:w="120"/>
            </w:tcMar>
            <w:vAlign w:val="top"/>
          </w:tcPr>
          <w:p>
            <w:r>
              <w:rPr>
                <w:b w:val="false"/>
                <w:bCs w:val="false"/>
                <w:sz w:val="19"/>
                <w:szCs w:val="19"/>
              </w:rPr>
              <w:t xml:space="preserve">0.0000</w:t>
            </w:r>
          </w:p>
        </w:tc>
        <w:tc>
          <w:tcPr>
            <w:tcW w:type="dxa" w:w="1800"/>
            <w:tcMar>
              <w:top w:type="dxa" w:w="100"/>
              <w:left w:type="dxa" w:w="120"/>
              <w:bottom w:type="dxa" w:w="100"/>
              <w:right w:type="dxa" w:w="120"/>
            </w:tcMar>
            <w:vAlign w:val="top"/>
          </w:tcPr>
          <w:p>
            <w:r>
              <w:rPr>
                <w:b w:val="false"/>
                <w:bCs w:val="false"/>
                <w:sz w:val="19"/>
                <w:szCs w:val="19"/>
              </w:rPr>
              <w:t xml:space="preserve">+0.0000</w:t>
            </w:r>
          </w:p>
        </w:tc>
      </w:tr>
      <w:tr>
        <w:tc>
          <w:tcPr>
            <w:tcW w:type="dxa" w:w="3000"/>
            <w:tcMar>
              <w:top w:type="dxa" w:w="100"/>
              <w:left w:type="dxa" w:w="120"/>
              <w:bottom w:type="dxa" w:w="100"/>
              <w:right w:type="dxa" w:w="120"/>
            </w:tcMar>
            <w:vAlign w:val="top"/>
          </w:tcPr>
          <w:p>
            <w:r>
              <w:rPr>
                <w:b w:val="false"/>
                <w:bCs w:val="false"/>
                <w:sz w:val="19"/>
                <w:szCs w:val="19"/>
              </w:rPr>
              <w:t xml:space="preserve">Noise consistency</w:t>
            </w:r>
          </w:p>
        </w:tc>
        <w:tc>
          <w:tcPr>
            <w:tcW w:type="dxa" w:w="1800"/>
            <w:tcMar>
              <w:top w:type="dxa" w:w="100"/>
              <w:left w:type="dxa" w:w="120"/>
              <w:bottom w:type="dxa" w:w="100"/>
              <w:right w:type="dxa" w:w="120"/>
            </w:tcMar>
            <w:vAlign w:val="top"/>
          </w:tcPr>
          <w:p>
            <w:r>
              <w:rPr>
                <w:b w:val="false"/>
                <w:bCs w:val="false"/>
                <w:sz w:val="19"/>
                <w:szCs w:val="19"/>
              </w:rPr>
              <w:t xml:space="preserve">0.8056</w:t>
            </w:r>
          </w:p>
        </w:tc>
        <w:tc>
          <w:tcPr>
            <w:tcW w:type="dxa" w:w="1800"/>
            <w:tcMar>
              <w:top w:type="dxa" w:w="100"/>
              <w:left w:type="dxa" w:w="120"/>
              <w:bottom w:type="dxa" w:w="100"/>
              <w:right w:type="dxa" w:w="120"/>
            </w:tcMar>
            <w:vAlign w:val="top"/>
          </w:tcPr>
          <w:p>
            <w:r>
              <w:rPr>
                <w:b w:val="false"/>
                <w:bCs w:val="false"/>
                <w:sz w:val="19"/>
                <w:szCs w:val="19"/>
              </w:rPr>
              <w:t xml:space="preserve">0.8045</w:t>
            </w:r>
          </w:p>
        </w:tc>
        <w:tc>
          <w:tcPr>
            <w:tcW w:type="dxa" w:w="1800"/>
            <w:tcMar>
              <w:top w:type="dxa" w:w="100"/>
              <w:left w:type="dxa" w:w="120"/>
              <w:bottom w:type="dxa" w:w="100"/>
              <w:right w:type="dxa" w:w="120"/>
            </w:tcMar>
            <w:vAlign w:val="top"/>
          </w:tcPr>
          <w:p>
            <w:r>
              <w:rPr>
                <w:b w:val="false"/>
                <w:bCs w:val="false"/>
                <w:sz w:val="19"/>
                <w:szCs w:val="19"/>
              </w:rPr>
              <w:t xml:space="preserve">-0.0011</w:t>
            </w:r>
          </w:p>
        </w:tc>
      </w:tr>
      <w:tr>
        <w:tc>
          <w:tcPr>
            <w:tcW w:type="dxa" w:w="3000"/>
            <w:tcMar>
              <w:top w:type="dxa" w:w="100"/>
              <w:left w:type="dxa" w:w="120"/>
              <w:bottom w:type="dxa" w:w="100"/>
              <w:right w:type="dxa" w:w="120"/>
            </w:tcMar>
            <w:vAlign w:val="top"/>
          </w:tcPr>
          <w:p>
            <w:r>
              <w:rPr>
                <w:b w:val="false"/>
                <w:bCs w:val="false"/>
                <w:sz w:val="19"/>
                <w:szCs w:val="19"/>
              </w:rPr>
              <w:t xml:space="preserve">Copy-move detection</w:t>
            </w:r>
          </w:p>
        </w:tc>
        <w:tc>
          <w:tcPr>
            <w:tcW w:type="dxa" w:w="1800"/>
            <w:tcMar>
              <w:top w:type="dxa" w:w="100"/>
              <w:left w:type="dxa" w:w="120"/>
              <w:bottom w:type="dxa" w:w="100"/>
              <w:right w:type="dxa" w:w="120"/>
            </w:tcMar>
            <w:vAlign w:val="top"/>
          </w:tcPr>
          <w:p>
            <w:r>
              <w:rPr>
                <w:b w:val="false"/>
                <w:bCs w:val="false"/>
                <w:sz w:val="19"/>
                <w:szCs w:val="19"/>
              </w:rPr>
              <w:t xml:space="preserve">0.3216</w:t>
            </w:r>
          </w:p>
        </w:tc>
        <w:tc>
          <w:tcPr>
            <w:tcW w:type="dxa" w:w="1800"/>
            <w:tcMar>
              <w:top w:type="dxa" w:w="100"/>
              <w:left w:type="dxa" w:w="120"/>
              <w:bottom w:type="dxa" w:w="100"/>
              <w:right w:type="dxa" w:w="120"/>
            </w:tcMar>
            <w:vAlign w:val="top"/>
          </w:tcPr>
          <w:p>
            <w:r>
              <w:rPr>
                <w:b w:val="false"/>
                <w:bCs w:val="false"/>
                <w:sz w:val="19"/>
                <w:szCs w:val="19"/>
              </w:rPr>
              <w:t xml:space="preserve">0.3266</w:t>
            </w:r>
          </w:p>
        </w:tc>
        <w:tc>
          <w:tcPr>
            <w:tcW w:type="dxa" w:w="1800"/>
            <w:tcMar>
              <w:top w:type="dxa" w:w="100"/>
              <w:left w:type="dxa" w:w="120"/>
              <w:bottom w:type="dxa" w:w="100"/>
              <w:right w:type="dxa" w:w="120"/>
            </w:tcMar>
            <w:vAlign w:val="top"/>
          </w:tcPr>
          <w:p>
            <w:r>
              <w:rPr>
                <w:b w:val="false"/>
                <w:bCs w:val="false"/>
                <w:sz w:val="19"/>
                <w:szCs w:val="19"/>
              </w:rPr>
              <w:t xml:space="preserve">+0.0050</w:t>
            </w:r>
          </w:p>
        </w:tc>
      </w:tr>
      <w:tr>
        <w:tc>
          <w:tcPr>
            <w:tcW w:type="dxa" w:w="3000"/>
            <w:tcMar>
              <w:top w:type="dxa" w:w="100"/>
              <w:left w:type="dxa" w:w="120"/>
              <w:bottom w:type="dxa" w:w="100"/>
              <w:right w:type="dxa" w:w="120"/>
            </w:tcMar>
            <w:vAlign w:val="top"/>
          </w:tcPr>
          <w:p>
            <w:r>
              <w:rPr>
                <w:b w:val="false"/>
                <w:bCs w:val="false"/>
                <w:sz w:val="19"/>
                <w:szCs w:val="19"/>
              </w:rPr>
              <w:t xml:space="preserve">Metadata / EXIF</w:t>
            </w:r>
          </w:p>
        </w:tc>
        <w:tc>
          <w:tcPr>
            <w:tcW w:type="dxa" w:w="1800"/>
            <w:tcMar>
              <w:top w:type="dxa" w:w="100"/>
              <w:left w:type="dxa" w:w="120"/>
              <w:bottom w:type="dxa" w:w="100"/>
              <w:right w:type="dxa" w:w="120"/>
            </w:tcMar>
            <w:vAlign w:val="top"/>
          </w:tcPr>
          <w:p>
            <w:r>
              <w:rPr>
                <w:b w:val="false"/>
                <w:bCs w:val="false"/>
                <w:sz w:val="19"/>
                <w:szCs w:val="19"/>
              </w:rPr>
              <w:t xml:space="preserve">0.0000</w:t>
            </w:r>
          </w:p>
        </w:tc>
        <w:tc>
          <w:tcPr>
            <w:tcW w:type="dxa" w:w="1800"/>
            <w:tcMar>
              <w:top w:type="dxa" w:w="100"/>
              <w:left w:type="dxa" w:w="120"/>
              <w:bottom w:type="dxa" w:w="100"/>
              <w:right w:type="dxa" w:w="120"/>
            </w:tcMar>
            <w:vAlign w:val="top"/>
          </w:tcPr>
          <w:p>
            <w:r>
              <w:rPr>
                <w:b w:val="false"/>
                <w:bCs w:val="false"/>
                <w:sz w:val="19"/>
                <w:szCs w:val="19"/>
              </w:rPr>
              <w:t xml:space="preserve">0.0000</w:t>
            </w:r>
          </w:p>
        </w:tc>
        <w:tc>
          <w:tcPr>
            <w:tcW w:type="dxa" w:w="1800"/>
            <w:tcMar>
              <w:top w:type="dxa" w:w="100"/>
              <w:left w:type="dxa" w:w="120"/>
              <w:bottom w:type="dxa" w:w="100"/>
              <w:right w:type="dxa" w:w="120"/>
            </w:tcMar>
            <w:vAlign w:val="top"/>
          </w:tcPr>
          <w:p>
            <w:r>
              <w:rPr>
                <w:b w:val="false"/>
                <w:bCs w:val="false"/>
                <w:sz w:val="19"/>
                <w:szCs w:val="19"/>
              </w:rPr>
              <w:t xml:space="preserve">+0.0000</w:t>
            </w:r>
          </w:p>
        </w:tc>
      </w:tr>
      <w:tr>
        <w:tc>
          <w:tcPr>
            <w:tcW w:type="dxa" w:w="3000"/>
            <w:shd w:fill="F3E4CC" w:color="auto" w:val="clear"/>
            <w:tcMar>
              <w:top w:type="dxa" w:w="100"/>
              <w:left w:type="dxa" w:w="120"/>
              <w:bottom w:type="dxa" w:w="100"/>
              <w:right w:type="dxa" w:w="120"/>
            </w:tcMar>
            <w:vAlign w:val="top"/>
          </w:tcPr>
          <w:p>
            <w:r>
              <w:rPr>
                <w:b w:val="false"/>
                <w:bCs w:val="false"/>
                <w:sz w:val="19"/>
                <w:szCs w:val="19"/>
              </w:rPr>
              <w:t xml:space="preserve">Document text (OCR)</w:t>
            </w:r>
          </w:p>
        </w:tc>
        <w:tc>
          <w:tcPr>
            <w:tcW w:type="dxa" w:w="1800"/>
            <w:shd w:fill="F3E4CC" w:color="auto" w:val="clear"/>
            <w:tcMar>
              <w:top w:type="dxa" w:w="100"/>
              <w:left w:type="dxa" w:w="120"/>
              <w:bottom w:type="dxa" w:w="100"/>
              <w:right w:type="dxa" w:w="120"/>
            </w:tcMar>
            <w:vAlign w:val="top"/>
          </w:tcPr>
          <w:p>
            <w:r>
              <w:rPr>
                <w:b w:val="false"/>
                <w:bCs w:val="false"/>
                <w:sz w:val="19"/>
                <w:szCs w:val="19"/>
              </w:rPr>
              <w:t xml:space="preserve">0.0000</w:t>
            </w:r>
          </w:p>
        </w:tc>
        <w:tc>
          <w:tcPr>
            <w:tcW w:type="dxa" w:w="1800"/>
            <w:shd w:fill="F3E4CC" w:color="auto" w:val="clear"/>
            <w:tcMar>
              <w:top w:type="dxa" w:w="100"/>
              <w:left w:type="dxa" w:w="120"/>
              <w:bottom w:type="dxa" w:w="100"/>
              <w:right w:type="dxa" w:w="120"/>
            </w:tcMar>
            <w:vAlign w:val="top"/>
          </w:tcPr>
          <w:p>
            <w:r>
              <w:rPr>
                <w:b w:val="false"/>
                <w:bCs w:val="false"/>
                <w:sz w:val="19"/>
                <w:szCs w:val="19"/>
              </w:rPr>
              <w:t xml:space="preserve">0.9000</w:t>
            </w:r>
          </w:p>
        </w:tc>
        <w:tc>
          <w:tcPr>
            <w:tcW w:type="dxa" w:w="1800"/>
            <w:shd w:fill="F3E4CC" w:color="auto" w:val="clear"/>
            <w:tcMar>
              <w:top w:type="dxa" w:w="100"/>
              <w:left w:type="dxa" w:w="120"/>
              <w:bottom w:type="dxa" w:w="100"/>
              <w:right w:type="dxa" w:w="120"/>
            </w:tcMar>
            <w:vAlign w:val="top"/>
          </w:tcPr>
          <w:p>
            <w:r>
              <w:rPr>
                <w:b w:val="false"/>
                <w:bCs w:val="false"/>
                <w:sz w:val="19"/>
                <w:szCs w:val="19"/>
              </w:rPr>
              <w:t xml:space="preserve">+0.9000</w:t>
            </w:r>
          </w:p>
        </w:tc>
      </w:tr>
      <w:tr>
        <w:tc>
          <w:tcPr>
            <w:tcW w:type="dxa" w:w="3000"/>
            <w:shd w:fill="F3E4CC" w:color="auto" w:val="clear"/>
            <w:tcMar>
              <w:top w:type="dxa" w:w="100"/>
              <w:left w:type="dxa" w:w="120"/>
              <w:bottom w:type="dxa" w:w="100"/>
              <w:right w:type="dxa" w:w="120"/>
            </w:tcMar>
            <w:vAlign w:val="top"/>
          </w:tcPr>
          <w:p>
            <w:r>
              <w:rPr>
                <w:b w:val="false"/>
                <w:bCs w:val="false"/>
                <w:sz w:val="19"/>
                <w:szCs w:val="19"/>
              </w:rPr>
              <w:t xml:space="preserve">Font consistency (not scored)</w:t>
            </w:r>
          </w:p>
        </w:tc>
        <w:tc>
          <w:tcPr>
            <w:tcW w:type="dxa" w:w="1800"/>
            <w:shd w:fill="F3E4CC" w:color="auto" w:val="clear"/>
            <w:tcMar>
              <w:top w:type="dxa" w:w="100"/>
              <w:left w:type="dxa" w:w="120"/>
              <w:bottom w:type="dxa" w:w="100"/>
              <w:right w:type="dxa" w:w="120"/>
            </w:tcMar>
            <w:vAlign w:val="top"/>
          </w:tcPr>
          <w:p>
            <w:r>
              <w:rPr>
                <w:b w:val="false"/>
                <w:bCs w:val="false"/>
                <w:sz w:val="19"/>
                <w:szCs w:val="19"/>
              </w:rPr>
              <w:t xml:space="preserve">0.0885</w:t>
            </w:r>
          </w:p>
        </w:tc>
        <w:tc>
          <w:tcPr>
            <w:tcW w:type="dxa" w:w="1800"/>
            <w:shd w:fill="F3E4CC" w:color="auto" w:val="clear"/>
            <w:tcMar>
              <w:top w:type="dxa" w:w="100"/>
              <w:left w:type="dxa" w:w="120"/>
              <w:bottom w:type="dxa" w:w="100"/>
              <w:right w:type="dxa" w:w="120"/>
            </w:tcMar>
            <w:vAlign w:val="top"/>
          </w:tcPr>
          <w:p>
            <w:r>
              <w:rPr>
                <w:b w:val="false"/>
                <w:bCs w:val="false"/>
                <w:sz w:val="19"/>
                <w:szCs w:val="19"/>
              </w:rPr>
              <w:t xml:space="preserve">0.0000</w:t>
            </w:r>
          </w:p>
        </w:tc>
        <w:tc>
          <w:tcPr>
            <w:tcW w:type="dxa" w:w="1800"/>
            <w:shd w:fill="F3E4CC" w:color="auto" w:val="clear"/>
            <w:tcMar>
              <w:top w:type="dxa" w:w="100"/>
              <w:left w:type="dxa" w:w="120"/>
              <w:bottom w:type="dxa" w:w="100"/>
              <w:right w:type="dxa" w:w="120"/>
            </w:tcMar>
            <w:vAlign w:val="top"/>
          </w:tcPr>
          <w:p>
            <w:r>
              <w:rPr>
                <w:b w:val="false"/>
                <w:bCs w:val="false"/>
                <w:sz w:val="19"/>
                <w:szCs w:val="19"/>
              </w:rPr>
              <w:t xml:space="preserve">-0.0885</w:t>
            </w:r>
          </w:p>
        </w:tc>
      </w:tr>
      <w:tr>
        <w:tc>
          <w:tcPr>
            <w:tcW w:type="dxa" w:w="3000"/>
            <w:tcMar>
              <w:top w:type="dxa" w:w="100"/>
              <w:left w:type="dxa" w:w="120"/>
              <w:bottom w:type="dxa" w:w="100"/>
              <w:right w:type="dxa" w:w="120"/>
            </w:tcMar>
            <w:vAlign w:val="top"/>
          </w:tcPr>
          <w:p>
            <w:r>
              <w:rPr>
                <w:b w:val="false"/>
                <w:bCs w:val="false"/>
                <w:sz w:val="19"/>
                <w:szCs w:val="19"/>
              </w:rPr>
              <w:t xml:space="preserve">Edge sharpness (not scored)</w:t>
            </w:r>
          </w:p>
        </w:tc>
        <w:tc>
          <w:tcPr>
            <w:tcW w:type="dxa" w:w="1800"/>
            <w:tcMar>
              <w:top w:type="dxa" w:w="100"/>
              <w:left w:type="dxa" w:w="120"/>
              <w:bottom w:type="dxa" w:w="100"/>
              <w:right w:type="dxa" w:w="120"/>
            </w:tcMar>
            <w:vAlign w:val="top"/>
          </w:tcPr>
          <w:p>
            <w:r>
              <w:rPr>
                <w:b w:val="false"/>
                <w:bCs w:val="false"/>
                <w:sz w:val="19"/>
                <w:szCs w:val="19"/>
              </w:rPr>
              <w:t xml:space="preserve">0.8409</w:t>
            </w:r>
          </w:p>
        </w:tc>
        <w:tc>
          <w:tcPr>
            <w:tcW w:type="dxa" w:w="1800"/>
            <w:tcMar>
              <w:top w:type="dxa" w:w="100"/>
              <w:left w:type="dxa" w:w="120"/>
              <w:bottom w:type="dxa" w:w="100"/>
              <w:right w:type="dxa" w:w="120"/>
            </w:tcMar>
            <w:vAlign w:val="top"/>
          </w:tcPr>
          <w:p>
            <w:r>
              <w:rPr>
                <w:b w:val="false"/>
                <w:bCs w:val="false"/>
                <w:sz w:val="19"/>
                <w:szCs w:val="19"/>
              </w:rPr>
              <w:t xml:space="preserve">0.8523</w:t>
            </w:r>
          </w:p>
        </w:tc>
        <w:tc>
          <w:tcPr>
            <w:tcW w:type="dxa" w:w="1800"/>
            <w:tcMar>
              <w:top w:type="dxa" w:w="100"/>
              <w:left w:type="dxa" w:w="120"/>
              <w:bottom w:type="dxa" w:w="100"/>
              <w:right w:type="dxa" w:w="120"/>
            </w:tcMar>
            <w:vAlign w:val="top"/>
          </w:tcPr>
          <w:p>
            <w:r>
              <w:rPr>
                <w:b w:val="false"/>
                <w:bCs w:val="false"/>
                <w:sz w:val="19"/>
                <w:szCs w:val="19"/>
              </w:rPr>
              <w:t xml:space="preserve">+0.0114</w:t>
            </w:r>
          </w:p>
        </w:tc>
      </w:tr>
      <w:tr>
        <w:tc>
          <w:tcPr>
            <w:tcW w:type="dxa" w:w="3000"/>
            <w:tcMar>
              <w:top w:type="dxa" w:w="100"/>
              <w:left w:type="dxa" w:w="120"/>
              <w:bottom w:type="dxa" w:w="100"/>
              <w:right w:type="dxa" w:w="120"/>
            </w:tcMar>
            <w:vAlign w:val="top"/>
          </w:tcPr>
          <w:p>
            <w:r>
              <w:rPr>
                <w:b w:val="false"/>
                <w:bCs w:val="false"/>
                <w:sz w:val="19"/>
                <w:szCs w:val="19"/>
              </w:rPr>
              <w:t xml:space="preserve">Chrome consistency</w:t>
            </w:r>
          </w:p>
        </w:tc>
        <w:tc>
          <w:tcPr>
            <w:tcW w:type="dxa" w:w="1800"/>
            <w:tcMar>
              <w:top w:type="dxa" w:w="100"/>
              <w:left w:type="dxa" w:w="120"/>
              <w:bottom w:type="dxa" w:w="100"/>
              <w:right w:type="dxa" w:w="120"/>
            </w:tcMar>
            <w:vAlign w:val="top"/>
          </w:tcPr>
          <w:p>
            <w:r>
              <w:rPr>
                <w:b w:val="false"/>
                <w:bCs w:val="false"/>
                <w:sz w:val="19"/>
                <w:szCs w:val="19"/>
              </w:rPr>
              <w:t xml:space="preserve">0.0000</w:t>
            </w:r>
          </w:p>
        </w:tc>
        <w:tc>
          <w:tcPr>
            <w:tcW w:type="dxa" w:w="1800"/>
            <w:tcMar>
              <w:top w:type="dxa" w:w="100"/>
              <w:left w:type="dxa" w:w="120"/>
              <w:bottom w:type="dxa" w:w="100"/>
              <w:right w:type="dxa" w:w="120"/>
            </w:tcMar>
            <w:vAlign w:val="top"/>
          </w:tcPr>
          <w:p>
            <w:r>
              <w:rPr>
                <w:b w:val="false"/>
                <w:bCs w:val="false"/>
                <w:sz w:val="19"/>
                <w:szCs w:val="19"/>
              </w:rPr>
              <w:t xml:space="preserve">0.0000</w:t>
            </w:r>
          </w:p>
        </w:tc>
        <w:tc>
          <w:tcPr>
            <w:tcW w:type="dxa" w:w="1800"/>
            <w:tcMar>
              <w:top w:type="dxa" w:w="100"/>
              <w:left w:type="dxa" w:w="120"/>
              <w:bottom w:type="dxa" w:w="100"/>
              <w:right w:type="dxa" w:w="120"/>
            </w:tcMar>
            <w:vAlign w:val="top"/>
          </w:tcPr>
          <w:p>
            <w:r>
              <w:rPr>
                <w:b w:val="false"/>
                <w:bCs w:val="false"/>
                <w:sz w:val="19"/>
                <w:szCs w:val="19"/>
              </w:rPr>
              <w:t xml:space="preserve">+0.0000</w:t>
            </w:r>
          </w:p>
        </w:tc>
      </w:tr>
      <w:tr>
        <w:tc>
          <w:tcPr>
            <w:tcW w:type="dxa" w:w="3000"/>
            <w:tcMar>
              <w:top w:type="dxa" w:w="100"/>
              <w:left w:type="dxa" w:w="120"/>
              <w:bottom w:type="dxa" w:w="100"/>
              <w:right w:type="dxa" w:w="120"/>
            </w:tcMar>
            <w:vAlign w:val="top"/>
          </w:tcPr>
          <w:p>
            <w:r>
              <w:rPr>
                <w:b w:val="false"/>
                <w:bCs w:val="false"/>
                <w:sz w:val="19"/>
                <w:szCs w:val="19"/>
              </w:rPr>
              <w:t xml:space="preserve">Amount consistency</w:t>
            </w:r>
          </w:p>
        </w:tc>
        <w:tc>
          <w:tcPr>
            <w:tcW w:type="dxa" w:w="1800"/>
            <w:tcMar>
              <w:top w:type="dxa" w:w="100"/>
              <w:left w:type="dxa" w:w="120"/>
              <w:bottom w:type="dxa" w:w="100"/>
              <w:right w:type="dxa" w:w="120"/>
            </w:tcMar>
            <w:vAlign w:val="top"/>
          </w:tcPr>
          <w:p>
            <w:r>
              <w:rPr>
                <w:b w:val="false"/>
                <w:bCs w:val="false"/>
                <w:sz w:val="19"/>
                <w:szCs w:val="19"/>
              </w:rPr>
              <w:t xml:space="preserve">0.0000</w:t>
            </w:r>
          </w:p>
        </w:tc>
        <w:tc>
          <w:tcPr>
            <w:tcW w:type="dxa" w:w="1800"/>
            <w:tcMar>
              <w:top w:type="dxa" w:w="100"/>
              <w:left w:type="dxa" w:w="120"/>
              <w:bottom w:type="dxa" w:w="100"/>
              <w:right w:type="dxa" w:w="120"/>
            </w:tcMar>
            <w:vAlign w:val="top"/>
          </w:tcPr>
          <w:p>
            <w:r>
              <w:rPr>
                <w:b w:val="false"/>
                <w:bCs w:val="false"/>
                <w:sz w:val="19"/>
                <w:szCs w:val="19"/>
              </w:rPr>
              <w:t xml:space="preserve">0.0000</w:t>
            </w:r>
          </w:p>
        </w:tc>
        <w:tc>
          <w:tcPr>
            <w:tcW w:type="dxa" w:w="1800"/>
            <w:tcMar>
              <w:top w:type="dxa" w:w="100"/>
              <w:left w:type="dxa" w:w="120"/>
              <w:bottom w:type="dxa" w:w="100"/>
              <w:right w:type="dxa" w:w="120"/>
            </w:tcMar>
            <w:vAlign w:val="top"/>
          </w:tcPr>
          <w:p>
            <w:r>
              <w:rPr>
                <w:b w:val="false"/>
                <w:bCs w:val="false"/>
                <w:sz w:val="19"/>
                <w:szCs w:val="19"/>
              </w:rPr>
              <w:t xml:space="preserve">+0.0000</w:t>
            </w:r>
          </w:p>
        </w:tc>
      </w:tr>
    </w:tbl>
    <w:p>
      <w:pPr>
        <w:spacing w:after="160"/>
      </w:pPr>
      <w:r>
        <w:t xml:space="preserve">Only one cue moved meaningfully. This is a deliberately narrow, high-precision tamper — real forgeries are often exactly this narrow (one added line of text, one changed digit), which is precisely why the pipeline fuses eleven independent cues rather than relying on any single one: a tamper invisible to compression analysis can still be conclusive to a cue that reads the document's actual content.</w:t>
      </w:r>
    </w:p>
    <w:p>
      <w:pPr>
        <w:pStyle w:val="Heading1"/>
        <w:spacing w:after="200" w:before="400"/>
      </w:pPr>
      <w:r>
        <w:rPr>
          <w:b/>
          <w:bCs/>
          <w:color w:val="1B2A4A"/>
        </w:rPr>
        <w:t xml:space="preserve">8. What This Demonstrates</w:t>
      </w:r>
    </w:p>
    <w:p>
      <w:pPr>
        <w:pStyle w:val="ListParagraph"/>
        <w:numPr>
          <w:ilvl w:val="0"/>
          <w:numId w:val="1"/>
        </w:numPr>
        <w:spacing w:after="90"/>
      </w:pPr>
      <w:r>
        <w:t xml:space="preserve">The multi-cue architecture matters in practice, not just in theory: this run is a concrete case where the composite pixel-based score alone would have produced a false negative, and a narrower, conclusive text-based signal caught what it missed.</w:t>
      </w:r>
    </w:p>
    <w:p>
      <w:pPr>
        <w:pStyle w:val="ListParagraph"/>
        <w:numPr>
          <w:ilvl w:val="0"/>
          <w:numId w:val="1"/>
        </w:numPr>
        <w:spacing w:after="90"/>
      </w:pPr>
      <w:r>
        <w:t xml:space="preserve">The high-confidence override is not a hypothetical safeguard — it changed the verdict on this exact pair of images, and the response reports why (override_reason), so the mechanism is never silent.</w:t>
      </w:r>
    </w:p>
    <w:p>
      <w:pPr>
        <w:pStyle w:val="ListParagraph"/>
        <w:numPr>
          <w:ilvl w:val="0"/>
          <w:numId w:val="1"/>
        </w:numPr>
        <w:spacing w:after="90"/>
      </w:pPr>
      <w:r>
        <w:t xml:space="preserve">Per-cue transparency is real, not marketing: every number shown above came directly from the JSON response, unedited.</w:t>
      </w:r>
    </w:p>
    <w:p>
      <w:pPr>
        <w:pStyle w:val="ListParagraph"/>
        <w:numPr>
          <w:ilvl w:val="0"/>
          <w:numId w:val="1"/>
        </w:numPr>
        <w:spacing w:after="90"/>
      </w:pPr>
      <w:r>
        <w:t xml:space="preserve">What this run does NOT demonstrate: real-world generalization. Both images are procedurally generated (see Section 1) — the same honest caveat that runs throughout this project's own README and presentation deck applies here too.</w:t>
      </w:r>
    </w:p>
    <w:p>
      <w:pPr>
        <w:pStyle w:val="Heading1"/>
        <w:spacing w:after="200" w:before="400"/>
      </w:pPr>
      <w:r>
        <w:rPr>
          <w:b/>
          <w:bCs/>
          <w:color w:val="1B2A4A"/>
        </w:rPr>
        <w:t xml:space="preserve">9. Reproducing This Run</w:t>
      </w:r>
    </w:p>
    <w:p>
      <w:pPr>
        <w:spacing w:after="160"/>
      </w:pPr>
      <w:r>
        <w:t xml:space="preserve">With the stack running (docker compose up --build, or the backend alone via python app.py):</w:t>
      </w:r>
    </w:p>
    <w:p>
      <w:pPr>
        <w:spacing w:after="80"/>
      </w:pPr>
      <w:r>
        <w:rPr>
          <w:rFonts w:ascii="Courier New" w:cs="Courier New" w:eastAsia="Courier New" w:hAnsi="Courier New"/>
          <w:sz w:val="20"/>
          <w:szCs w:val="20"/>
        </w:rPr>
        <w:t xml:space="preserve">curl -X POST http://localhost:5050/analyze \</w:t>
      </w:r>
    </w:p>
    <w:p>
      <w:pPr>
        <w:spacing w:after="200"/>
      </w:pPr>
      <w:r>
        <w:rPr>
          <w:rFonts w:ascii="Courier New" w:cs="Courier New" w:eastAsia="Courier New" w:hAnsi="Courier New"/>
          <w:sz w:val="20"/>
          <w:szCs w:val="20"/>
        </w:rPr>
        <w:t xml:space="preserve">  -F "image=@your_screenshot.jpg"</w:t>
      </w:r>
    </w:p>
    <w:p>
      <w:pPr>
        <w:spacing w:after="160"/>
      </w:pPr>
      <w:r>
        <w:t xml:space="preserve">The two sample images used in this document can be regenerated deterministically from backend/tools/synthesize_dataset.py's render_bank() and apply_tamper() functions (tamper type 4, “watermark-inject”) — see that file's docstring for the full generator design.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6"/>
        <w:szCs w:val="16"/>
      </w:rPr>
      <w:t xml:space="preserve">Page </w:t>
    </w:r>
    <w:r>
      <w:rPr>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6"/>
        <w:szCs w:val="16"/>
      </w:rPr>
      <w:t xml:space="preserve">Fake Screenshot Detector — Implementation &amp; Sample Run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6b4f5b0404f141565c44a0f12440e5d4d093975d.jpg"/><Relationship Id="rId10" Type="http://schemas.openxmlformats.org/officeDocument/2006/relationships/image" Target="media/75a74b5b52699ca14050722fcefedfd4f0ff44b6.png"/><Relationship Id="rId11" Type="http://schemas.openxmlformats.org/officeDocument/2006/relationships/image" Target="media/3247b6bb9e634b8e190f8e4dc869c6a0967f0608.jpg"/><Relationship Id="rId12" Type="http://schemas.openxmlformats.org/officeDocument/2006/relationships/image" Target="media/fdc22d169471cc9e6b57aac507e9c5098e2e13f7.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2026-09-15T14:26:43.906Z</dcterms:created>
  <dcterms:modified xsi:type="dcterms:W3CDTF">2026-09-15T14:26:43.907Z</dcterms:modified>
</cp:coreProperties>
</file>

<file path=docProps/custom.xml><?xml version="1.0" encoding="utf-8"?>
<Properties xmlns="http://schemas.openxmlformats.org/officeDocument/2006/custom-properties" xmlns:vt="http://schemas.openxmlformats.org/officeDocument/2006/docPropsVTypes"/>
</file>