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агентство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Сибирский государственный университет телекоммуникаций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7988"/>
        </w:tabs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7988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7988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tabs>
          <w:tab w:val="left" w:leader="none" w:pos="7988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tabs>
          <w:tab w:val="left" w:leader="none" w:pos="7988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7988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before="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 ИП-211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before="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Оганесян Альберт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before="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Лацук Андрей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before="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before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Профессор кафедры ПМиК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before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Малков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Новосибирск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получение навыков синхронизации с использованием мьютексов и семафоров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“производитель-потребитель” для конечного буфера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Конечный буфер реализуем массивом фиксированного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(BUFFER_SIZE)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чтения и записи используем индексы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соответственно.</w:t>
      </w:r>
    </w:p>
    <w:tbl>
      <w:tblPr>
        <w:tblStyle w:val="Table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59c9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65926"/>
                <w:sz w:val="21"/>
                <w:szCs w:val="21"/>
                <w:shd w:fill="f7f3f7" w:val="clear"/>
                <w:rtl w:val="0"/>
              </w:rPr>
              <w:t xml:space="preserve">#define BUFFER_SIZE 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5926"/>
                <w:sz w:val="21"/>
                <w:szCs w:val="21"/>
                <w:shd w:fill="f7f3f7" w:val="clear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95d69"/>
                <w:sz w:val="21"/>
                <w:szCs w:val="21"/>
                <w:shd w:fill="f7f3f7" w:val="clear"/>
                <w:rtl w:val="0"/>
              </w:rPr>
              <w:t xml:space="preserve">[BUFFER_SIZE];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95d69"/>
                <w:sz w:val="21"/>
                <w:szCs w:val="21"/>
                <w:shd w:fill="f7f3f7" w:val="clear"/>
                <w:rtl w:val="0"/>
              </w:rPr>
              <w:t xml:space="preserve"> in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95d69"/>
                <w:sz w:val="21"/>
                <w:szCs w:val="21"/>
                <w:shd w:fill="f7f3f7" w:val="clear"/>
                <w:rtl w:val="0"/>
              </w:rPr>
              <w:t xml:space="preserve">, out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95d69"/>
                <w:sz w:val="21"/>
                <w:szCs w:val="21"/>
                <w:shd w:fill="f7f3f7" w:val="clear"/>
                <w:rtl w:val="0"/>
              </w:rPr>
              <w:t xml:space="preserve">;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мьютекс и семафоры. Мьютекс гарантирует, что только один поток (производитель или потребитель) имеет доступ к критической секции в любой момент времени. Семафоры отслеживают количество свободных и заполненных мест.</w:t>
      </w:r>
    </w:p>
    <w:tbl>
      <w:tblPr>
        <w:tblStyle w:val="Table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mutex;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sem_t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empty;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sem_t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full;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функцию производителя. Производитель генерирует случайное число и помещает его в буфер. После он ждёт, пока в буфере освободится место (если буфер полон).</w:t>
      </w:r>
    </w:p>
    <w:tbl>
      <w:tblPr>
        <w:tblStyle w:val="Table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*producer(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*arg)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item;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(!stop_flag)</w:t>
              <w:br w:type="textWrapping"/>
              <w:t xml:space="preserve">    {</w:t>
              <w:br w:type="textWrapping"/>
              <w:t xml:space="preserve">        item = rand() %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      </w:t>
              <w:br w:type="textWrapping"/>
              <w:t xml:space="preserve">        sem_wait(&amp;empty);          </w:t>
              <w:br w:type="textWrapping"/>
              <w:t xml:space="preserve">        pthread_mutex_lock(&amp;mutex);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(stop_flag)</w:t>
              <w:br w:type="textWrapping"/>
              <w:t xml:space="preserve">        {</w:t>
              <w:br w:type="textWrapping"/>
              <w:t xml:space="preserve">            pthread_mutex_unlock(&amp;mutex);</w:t>
              <w:br w:type="textWrapping"/>
              <w:t xml:space="preserve">            sem_post(&amp;empty);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buffer[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= item;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"Производитель произвел: %d\n"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item);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% BUFFER_SIZE;</w:t>
              <w:br w:type="textWrapping"/>
              <w:t xml:space="preserve">        produced_count++;</w:t>
              <w:br w:type="textWrapping"/>
              <w:br w:type="textWrapping"/>
              <w:t xml:space="preserve">        pthread_mutex_unlock(&amp;mutex);</w:t>
              <w:br w:type="textWrapping"/>
              <w:t xml:space="preserve">        sem_post(&amp;full);           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(produced_count &gt;= MAX_ITEMS)</w:t>
              <w:br w:type="textWrapping"/>
              <w:t xml:space="preserve">        {</w:t>
              <w:br w:type="textWrapping"/>
              <w:t xml:space="preserve">            stop_flag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sleep(rand() %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функцию потребителя. Потребитель извлекает число из буфера. После он ждёт, пока в буфере появится хотя бы один элемент (если буфер пуст).</w:t>
      </w:r>
    </w:p>
    <w:tbl>
      <w:tblPr>
        <w:tblStyle w:val="Table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*consumer(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*arg)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item;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(!stop_flag || consumed_count &lt; produced_count)</w:t>
              <w:br w:type="textWrapping"/>
              <w:t xml:space="preserve">    {</w:t>
              <w:br w:type="textWrapping"/>
              <w:t xml:space="preserve">        sem_wait(&amp;full);           </w:t>
              <w:br w:type="textWrapping"/>
              <w:t xml:space="preserve">        pthread_mutex_lock(&amp;mutex);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(stop_flag &amp;&amp; consumed_count &gt;= produced_count)</w:t>
              <w:br w:type="textWrapping"/>
              <w:t xml:space="preserve">        {</w:t>
              <w:br w:type="textWrapping"/>
              <w:t xml:space="preserve">            pthread_mutex_unlock(&amp;mutex);</w:t>
              <w:br w:type="textWrapping"/>
              <w:t xml:space="preserve">            sem_post(&amp;full);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item = buffer[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];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"Потребитель потребил: %d\n"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item);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% BUFFER_SIZE;</w:t>
              <w:br w:type="textWrapping"/>
              <w:t xml:space="preserve">        consumed_count++;</w:t>
              <w:br w:type="textWrapping"/>
              <w:br w:type="textWrapping"/>
              <w:t xml:space="preserve">        pthread_mutex_unlock(&amp;mutex);</w:t>
              <w:br w:type="textWrapping"/>
              <w:t xml:space="preserve">        sem_post(&amp;empty);            </w:t>
              <w:br w:type="textWrapping"/>
              <w:br w:type="textWrapping"/>
              <w:t xml:space="preserve">        sleep(rand() %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флаг и сигнал завершения и лимит обработки. Если глобальная переменная set_flag установлена в 1, то производитель и потребитель завершают свои циклы. Обработчик сигналов SIGINT (Ctrl+C) позволяет корректно завершить программу по запросу пользователя. После обработки MAX_ITEMS элементов программа завершает работу.</w:t>
      </w:r>
    </w:p>
    <w:tbl>
      <w:tblPr>
        <w:tblStyle w:val="Table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#define MAX_ITEMS 8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produced_count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consumed_count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stop_flag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handle_signal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sig)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stop_flag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"\nПолучен сигнал завершения. Завершаем программу...\n"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Соберем все в функции main</w:t>
      </w:r>
    </w:p>
    <w:tbl>
      <w:tblPr>
        <w:tblStyle w:val="Table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prod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Устанавливаем обработчик сигнала завершения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(SIGINT, handle_signal);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Инициализация мьютекса и семафоров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pthread_mutex_init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(&amp;mutex, NULL);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sem_init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(&amp;empty,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BUFFER_SIZE);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sem_init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(&amp;full,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Создание потоков производителя и потребителя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pthread_create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(&amp;prod, NULL, producer, NULL);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pthread_create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(&amp;cons, NULL, consumer, NULL);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Ожидание завершения потоков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pthread_join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(prod, NULL);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pthread_join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(cons, NULL);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Очистка ресурсов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pthread_mutex_destroy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(&amp;mutex);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sem_destroy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(&amp;empty);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sem_destroy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(&amp;full);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"Программа завершена. Произведено: %d, Потреблено: %d\n"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produced_count, consumed_count);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вывода программы с автоматическим завершением</w:t>
      </w:r>
    </w:p>
    <w:tbl>
      <w:tblPr>
        <w:tblStyle w:val="Table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Производитель произвел: 83</w:t>
              <w:br w:type="textWrapping"/>
              <w:t xml:space="preserve">Потребитель потребил: 83</w:t>
              <w:br w:type="textWrapping"/>
              <w:t xml:space="preserve">Производитель произвел: 15</w:t>
              <w:br w:type="textWrapping"/>
              <w:t xml:space="preserve">Потребитель потребил: 15</w:t>
              <w:br w:type="textWrapping"/>
              <w:t xml:space="preserve">Производитель произвел: 86</w:t>
              <w:br w:type="textWrapping"/>
              <w:t xml:space="preserve">Потребитель потребил: 86</w:t>
              <w:br w:type="textWrapping"/>
              <w:t xml:space="preserve">Производитель произвел: 21</w:t>
              <w:br w:type="textWrapping"/>
              <w:t xml:space="preserve">Потребитель потребил: 21</w:t>
              <w:br w:type="textWrapping"/>
              <w:t xml:space="preserve">Производитель произвел: 90</w:t>
              <w:br w:type="textWrapping"/>
              <w:t xml:space="preserve">Производитель произвел: 63</w:t>
              <w:br w:type="textWrapping"/>
              <w:t xml:space="preserve">Потребитель потребил: 90</w:t>
              <w:br w:type="textWrapping"/>
              <w:t xml:space="preserve">Потребитель потребил: 63</w:t>
              <w:br w:type="textWrapping"/>
              <w:t xml:space="preserve">Производитель произвел: 26</w:t>
              <w:br w:type="textWrapping"/>
              <w:t xml:space="preserve">Производитель произвел: 11</w:t>
              <w:br w:type="textWrapping"/>
              <w:t xml:space="preserve">Потребитель потребил: 26</w:t>
              <w:br w:type="textWrapping"/>
              <w:t xml:space="preserve">Потребитель потребил: 11</w:t>
              <w:br w:type="textWrapping"/>
              <w:t xml:space="preserve">Программа завершена. Произведено: 8, Потреблено: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вывода программы с ручным завершением</w:t>
      </w:r>
    </w:p>
    <w:tbl>
      <w:tblPr>
        <w:tblStyle w:val="Table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Производитель произвел: 83</w:t>
              <w:br w:type="textWrapping"/>
              <w:t xml:space="preserve">Потребитель потребил: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  <w:br w:type="textWrapping"/>
              <w:t xml:space="preserve">Производитель произвел: 15</w:t>
              <w:br w:type="textWrapping"/>
              <w:t xml:space="preserve">Потребитель потребил: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  <w:br w:type="textWrapping"/>
              <w:t xml:space="preserve">^C</w:t>
              <w:br w:type="textWrapping"/>
              <w:t xml:space="preserve">Получен сигнал завершения. Завершаем программу...</w:t>
              <w:br w:type="textWrapping"/>
              <w:t xml:space="preserve">Программа завершена. Произведено: 2, Потреблено: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1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"производитель-потребитель" успешно реализован с использованием синхронизации потоков средствами мьютексов и семафоров. Программа обеспечивает корректный обмен данными между производителем и потребителем без гонок данных и взаимоблокировок.</w:t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