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0F62" w:rsidRDefault="00010F62" w:rsidP="00010F62">
      <w:r>
        <w:t>Objective:</w:t>
      </w:r>
      <w:bookmarkStart w:id="0" w:name="_GoBack"/>
      <w:bookmarkEnd w:id="0"/>
    </w:p>
    <w:p w:rsidR="00010F62" w:rsidRDefault="00010F62" w:rsidP="00010F62">
      <w:r>
        <w:tab/>
        <w:t xml:space="preserve">To construct a portfolio: </w:t>
      </w:r>
    </w:p>
    <w:p w:rsidR="00010F62" w:rsidRDefault="00010F62" w:rsidP="00010F62">
      <w:pPr>
        <w:pStyle w:val="a3"/>
        <w:numPr>
          <w:ilvl w:val="0"/>
          <w:numId w:val="2"/>
        </w:numPr>
        <w:ind w:leftChars="0"/>
      </w:pPr>
      <w:r>
        <w:t>Consists of</w:t>
      </w:r>
      <w:r>
        <w:rPr>
          <w:rFonts w:hint="eastAsia"/>
        </w:rPr>
        <w:t xml:space="preserve"> </w:t>
      </w:r>
      <w:r>
        <w:t>financial</w:t>
      </w:r>
      <w:r>
        <w:rPr>
          <w:rFonts w:hint="eastAsia"/>
        </w:rPr>
        <w:t xml:space="preserve"> </w:t>
      </w:r>
      <w:r>
        <w:t xml:space="preserve">instruments with negative correlation in order to deliver positive return both in bull and bear market. </w:t>
      </w:r>
    </w:p>
    <w:p w:rsidR="00010F62" w:rsidRDefault="00010F62" w:rsidP="00010F62">
      <w:pPr>
        <w:pStyle w:val="a3"/>
        <w:numPr>
          <w:ilvl w:val="0"/>
          <w:numId w:val="2"/>
        </w:numPr>
        <w:ind w:leftChars="0"/>
      </w:pPr>
      <w:r>
        <w:t>P</w:t>
      </w:r>
      <w:r w:rsidRPr="00772A8F">
        <w:t xml:space="preserve">reliminary </w:t>
      </w:r>
      <w:r>
        <w:t xml:space="preserve">Long the U.S equity market by leverage ETF (UDOW: </w:t>
      </w:r>
      <w:r w:rsidRPr="00717598">
        <w:t>three times (3x) the daily performance of the Dow Jones Industrial Average</w:t>
      </w:r>
      <w:r>
        <w:t xml:space="preserve">). </w:t>
      </w:r>
    </w:p>
    <w:p w:rsidR="00010F62" w:rsidRDefault="00010F62" w:rsidP="00010F62">
      <w:pPr>
        <w:pStyle w:val="a3"/>
        <w:numPr>
          <w:ilvl w:val="0"/>
          <w:numId w:val="2"/>
        </w:numPr>
        <w:ind w:leftChars="0"/>
      </w:pPr>
      <w:r>
        <w:t>Hedge the risk by shorting energy commodity futures (crude oil futures and nature gas futures) through leverage ETF (DTO: daily short crude oil futures ETF, KOLD: daily short natural gas futures ETF)</w:t>
      </w:r>
    </w:p>
    <w:p w:rsidR="00010F62" w:rsidRDefault="00010F62" w:rsidP="00010F62">
      <w:pPr>
        <w:pStyle w:val="a3"/>
        <w:numPr>
          <w:ilvl w:val="0"/>
          <w:numId w:val="2"/>
        </w:numPr>
        <w:ind w:leftChars="0"/>
      </w:pPr>
      <w:r>
        <w:rPr>
          <w:rFonts w:hint="eastAsia"/>
        </w:rPr>
        <w:t xml:space="preserve">Exploit the price between ERX and DTO by </w:t>
      </w:r>
      <w:r>
        <w:t>mean reversion (any suggestion is strongly appreciate).</w:t>
      </w:r>
    </w:p>
    <w:p w:rsidR="00010F62" w:rsidRDefault="00010F62" w:rsidP="00010F62">
      <w:pPr>
        <w:pStyle w:val="a3"/>
        <w:numPr>
          <w:ilvl w:val="0"/>
          <w:numId w:val="2"/>
        </w:numPr>
        <w:ind w:leftChars="0"/>
      </w:pPr>
      <w:r>
        <w:t xml:space="preserve">Exploit the price between ERX and KOLD by time series analysis (any suggestion is strongly appreciate). </w:t>
      </w:r>
    </w:p>
    <w:p w:rsidR="00010F62" w:rsidRDefault="00010F62" w:rsidP="00010F62">
      <w:pPr>
        <w:pStyle w:val="a3"/>
        <w:numPr>
          <w:ilvl w:val="0"/>
          <w:numId w:val="2"/>
        </w:numPr>
        <w:ind w:leftChars="0"/>
      </w:pPr>
      <w:r>
        <w:t>Construct the optimal way to rebalancing these four financial instruments after calculating risk/ reward.</w:t>
      </w:r>
    </w:p>
    <w:p w:rsidR="00010F62" w:rsidRDefault="00010F62" w:rsidP="00010F62">
      <w:pPr>
        <w:pStyle w:val="a3"/>
        <w:ind w:leftChars="0" w:left="360"/>
      </w:pPr>
    </w:p>
    <w:p w:rsidR="00010F62" w:rsidRDefault="00010F62" w:rsidP="00010F62"/>
    <w:p w:rsidR="00010F62" w:rsidRDefault="00010F62" w:rsidP="00010F62"/>
    <w:p w:rsidR="00010F62" w:rsidRDefault="00010F62" w:rsidP="00010F62">
      <w:r>
        <w:t>Supporting Evidence:</w:t>
      </w:r>
    </w:p>
    <w:p w:rsidR="00010F62" w:rsidRDefault="00010F62" w:rsidP="00010F62">
      <w:pPr>
        <w:pStyle w:val="a3"/>
        <w:numPr>
          <w:ilvl w:val="0"/>
          <w:numId w:val="1"/>
        </w:numPr>
        <w:ind w:leftChars="0"/>
      </w:pPr>
      <w:r>
        <w:rPr>
          <w:rFonts w:hint="eastAsia"/>
        </w:rPr>
        <w:t xml:space="preserve">The daily, monthly, and annually </w:t>
      </w:r>
      <w:r>
        <w:t>correlation</w:t>
      </w:r>
      <w:r>
        <w:rPr>
          <w:rFonts w:hint="eastAsia"/>
        </w:rPr>
        <w:t xml:space="preserve"> </w:t>
      </w:r>
      <w:r>
        <w:t>of ERX and DTO:</w:t>
      </w:r>
    </w:p>
    <w:p w:rsidR="00010F62" w:rsidRDefault="00010F62" w:rsidP="00010F62">
      <w:pPr>
        <w:pStyle w:val="a3"/>
        <w:ind w:leftChars="0" w:left="360"/>
      </w:pPr>
      <w:r>
        <w:t>Daily: -0.67 source from (</w:t>
      </w:r>
      <w:hyperlink r:id="rId7" w:history="1">
        <w:r w:rsidRPr="00D10BCB">
          <w:rPr>
            <w:rStyle w:val="a4"/>
          </w:rPr>
          <w:t>https://www.portfoliovisualizer.com/asset-correlations?s=y&amp;symbols=DTO%2C+ERX&amp;endDate=06%2F10%2F2018&amp;timePeriod=1&amp;numTradingDays=60</w:t>
        </w:r>
      </w:hyperlink>
      <w:r>
        <w:t>)</w:t>
      </w:r>
    </w:p>
    <w:p w:rsidR="00010F62" w:rsidRDefault="00010F62" w:rsidP="00010F62">
      <w:pPr>
        <w:pStyle w:val="a3"/>
        <w:ind w:leftChars="0" w:left="360"/>
      </w:pPr>
      <w:r>
        <w:t>Monthly: -0.70 source form (</w:t>
      </w:r>
      <w:hyperlink r:id="rId8" w:history="1">
        <w:r w:rsidRPr="00D10BCB">
          <w:rPr>
            <w:rStyle w:val="a4"/>
          </w:rPr>
          <w:t>https://www.portfoliovisualizer.com/asset-correlations?s=y&amp;symbols=DTO%2C+ERX&amp;endDate=06%2F10%2F2018&amp;timePeriod=2&amp;numTradingDays=60</w:t>
        </w:r>
      </w:hyperlink>
      <w:r>
        <w:t>)</w:t>
      </w:r>
    </w:p>
    <w:p w:rsidR="00010F62" w:rsidRDefault="00010F62" w:rsidP="00010F62">
      <w:pPr>
        <w:pStyle w:val="a3"/>
        <w:ind w:leftChars="0" w:left="360"/>
      </w:pPr>
      <w:r>
        <w:t>Annual: -0.66 source form (</w:t>
      </w:r>
      <w:hyperlink r:id="rId9" w:history="1">
        <w:r w:rsidRPr="00D10BCB">
          <w:rPr>
            <w:rStyle w:val="a4"/>
          </w:rPr>
          <w:t>https://www.portfoliovisualizer.com/asset-correlations?s=y&amp;symbols=DTO%2C+ERX&amp;endDate=05%2F31%2F2018&amp;timePeriod=4&amp;numTradingDays=60</w:t>
        </w:r>
      </w:hyperlink>
      <w:r>
        <w:t>)</w:t>
      </w:r>
    </w:p>
    <w:p w:rsidR="00010F62" w:rsidRDefault="00010F62" w:rsidP="00010F62">
      <w:pPr>
        <w:pStyle w:val="a3"/>
        <w:ind w:leftChars="0" w:left="360"/>
      </w:pPr>
      <w:r>
        <w:t>Conclusion/ though: Note that ERX is the 3 times daily leverage ETF while DTO is the 2 times daily leverage short crude oil ETF. Common finical knowledge that energy sector (energy stocks) has strong correlation to the underlying commodity (crude oil and natural gas). We can see from this chart that the daily, monthly, and annually correlation has no difference statistically significantly, which we conclude (my though: energy sector stock ETF and crude oil futures react to each other efficiently in a timing manner)</w:t>
      </w:r>
    </w:p>
    <w:p w:rsidR="00010F62" w:rsidRPr="00191D5E" w:rsidRDefault="00010F62" w:rsidP="00010F62"/>
    <w:p w:rsidR="00010F62" w:rsidRDefault="00010F62" w:rsidP="00010F62">
      <w:pPr>
        <w:pStyle w:val="a3"/>
        <w:numPr>
          <w:ilvl w:val="0"/>
          <w:numId w:val="1"/>
        </w:numPr>
        <w:ind w:leftChars="0"/>
      </w:pPr>
      <w:r>
        <w:t xml:space="preserve">The daily, monthly, and annually correlation of ERX and KOLD: </w:t>
      </w:r>
    </w:p>
    <w:p w:rsidR="00010F62" w:rsidRDefault="00010F62" w:rsidP="00010F62">
      <w:pPr>
        <w:pStyle w:val="a3"/>
        <w:ind w:leftChars="0" w:left="360"/>
      </w:pPr>
      <w:r>
        <w:lastRenderedPageBreak/>
        <w:t>Daily: -0.11 source form (</w:t>
      </w:r>
      <w:hyperlink r:id="rId10" w:history="1">
        <w:r w:rsidRPr="00D10BCB">
          <w:rPr>
            <w:rStyle w:val="a4"/>
          </w:rPr>
          <w:t>https://www.portfoliovisualizer.com/asset-correlations?s=y&amp;symbols=ERX%2C+KOLD&amp;endDate=12%2F31%2F2017&amp;timePeriod=1&amp;numTradingDays=60</w:t>
        </w:r>
      </w:hyperlink>
      <w:r>
        <w:t>)</w:t>
      </w:r>
    </w:p>
    <w:p w:rsidR="00010F62" w:rsidRDefault="00010F62" w:rsidP="00010F62">
      <w:r>
        <w:rPr>
          <w:rFonts w:hint="eastAsia"/>
        </w:rPr>
        <w:t xml:space="preserve">   Monthly: </w:t>
      </w:r>
      <w:r>
        <w:t>-0.15 source form (</w:t>
      </w:r>
      <w:hyperlink r:id="rId11" w:history="1">
        <w:r w:rsidRPr="00D10BCB">
          <w:rPr>
            <w:rStyle w:val="a4"/>
          </w:rPr>
          <w:t>https://www.portfoliovisualizer.com/asset-correlations?s=y&amp;symbols=ERX%2C+KOLD&amp;endDate=12%2F31%2F2017&amp;timePeriod=2&amp;numTradingDays=60</w:t>
        </w:r>
      </w:hyperlink>
      <w:r>
        <w:t>)</w:t>
      </w:r>
    </w:p>
    <w:p w:rsidR="00010F62" w:rsidRDefault="00010F62" w:rsidP="00010F62">
      <w:r>
        <w:t xml:space="preserve">   Annually: -0.87 source form (</w:t>
      </w:r>
      <w:hyperlink r:id="rId12" w:history="1">
        <w:r w:rsidRPr="00D10BCB">
          <w:rPr>
            <w:rStyle w:val="a4"/>
          </w:rPr>
          <w:t>https://www.portfoliovisualizer.com/asset-correlations?s=y&amp;symbols=ERX%2C+KOLD&amp;endDate=12%2F31%2F2017&amp;timePeriod=4&amp;numTradingDays=60</w:t>
        </w:r>
      </w:hyperlink>
      <w:r>
        <w:t>)</w:t>
      </w:r>
    </w:p>
    <w:p w:rsidR="00010F62" w:rsidRDefault="00010F62" w:rsidP="00010F62">
      <w:r w:rsidRPr="0035335C">
        <w:t>Conclusion/ though: Note that ERX is the 3 ti</w:t>
      </w:r>
      <w:r>
        <w:t>mes daily leverage ETF while KOLD</w:t>
      </w:r>
      <w:r w:rsidRPr="0035335C">
        <w:t xml:space="preserve"> is the 2 times da</w:t>
      </w:r>
      <w:r>
        <w:t>ily leverage short natural gas futures</w:t>
      </w:r>
      <w:r w:rsidRPr="0035335C">
        <w:t>. Common finical knowledge that energy sector (energy stocks) has strong correlation to the underlying commodity (crude oil and natural gas).</w:t>
      </w:r>
      <w:r>
        <w:t xml:space="preserve"> Now we see the absolute value of daily, monthly, and annually correlation increasing. My thought (either ERX lag behind KOLD or vice versa)</w:t>
      </w:r>
    </w:p>
    <w:p w:rsidR="00010F62" w:rsidRDefault="00010F62" w:rsidP="00010F62">
      <w:r>
        <w:t xml:space="preserve">P.S My though/ what I know: I discover that if I </w:t>
      </w:r>
    </w:p>
    <w:p w:rsidR="00010F62" w:rsidRDefault="00010F62" w:rsidP="00010F62"/>
    <w:p w:rsidR="00010F62" w:rsidRDefault="00010F62" w:rsidP="00010F62"/>
    <w:p w:rsidR="00010F62" w:rsidRPr="00DC5159" w:rsidRDefault="00010F62" w:rsidP="00010F62">
      <w:pPr>
        <w:pStyle w:val="a3"/>
        <w:numPr>
          <w:ilvl w:val="0"/>
          <w:numId w:val="1"/>
        </w:numPr>
        <w:ind w:leftChars="0"/>
      </w:pPr>
      <w:r w:rsidRPr="00DC5159">
        <w:t>The daily, monthly,</w:t>
      </w:r>
      <w:r>
        <w:t xml:space="preserve"> and annually correlation of UDOW and DTO</w:t>
      </w:r>
      <w:r w:rsidRPr="00DC5159">
        <w:t>:</w:t>
      </w:r>
    </w:p>
    <w:p w:rsidR="00010F62" w:rsidRDefault="00010F62" w:rsidP="00010F62">
      <w:pPr>
        <w:pStyle w:val="a3"/>
        <w:ind w:leftChars="0" w:left="360"/>
      </w:pPr>
      <w:r>
        <w:t>Daily: -0.39 source from (</w:t>
      </w:r>
      <w:hyperlink r:id="rId13" w:history="1">
        <w:r w:rsidRPr="00D10BCB">
          <w:rPr>
            <w:rStyle w:val="a4"/>
          </w:rPr>
          <w:t>https://www.portfoliovisualizer.com/asset-correlations?s=y&amp;symbols=UDOW%2C+DTO&amp;endDate=12%2F31%2F2017&amp;timePeriod=1&amp;numTradingDays=60</w:t>
        </w:r>
      </w:hyperlink>
      <w:r>
        <w:t>)</w:t>
      </w:r>
    </w:p>
    <w:p w:rsidR="00010F62" w:rsidRDefault="00010F62" w:rsidP="00010F62">
      <w:pPr>
        <w:pStyle w:val="a3"/>
        <w:ind w:leftChars="0" w:left="360"/>
      </w:pPr>
      <w:r>
        <w:t>Monthly: -0.47 source from (</w:t>
      </w:r>
      <w:hyperlink r:id="rId14" w:history="1">
        <w:r w:rsidRPr="00D10BCB">
          <w:rPr>
            <w:rStyle w:val="a4"/>
          </w:rPr>
          <w:t>https://www.portfoliovisualizer.com/asset-correlations?s=y&amp;symbols=UDOW%2C+DTO&amp;endDate=12%2F31%2F2017&amp;timePeriod=2&amp;numTradingDays=60</w:t>
        </w:r>
      </w:hyperlink>
      <w:r>
        <w:t>)</w:t>
      </w:r>
    </w:p>
    <w:p w:rsidR="00010F62" w:rsidRDefault="00010F62" w:rsidP="00010F62">
      <w:pPr>
        <w:pStyle w:val="a3"/>
        <w:ind w:leftChars="0" w:left="360"/>
      </w:pPr>
      <w:r>
        <w:t>Annually: -0.52 source form (</w:t>
      </w:r>
      <w:hyperlink r:id="rId15" w:history="1">
        <w:r w:rsidRPr="00D10BCB">
          <w:rPr>
            <w:rStyle w:val="a4"/>
          </w:rPr>
          <w:t>https://www.portfoliovisualizer.com/asset-correlations?s=y&amp;symbols=UDOW%2C+DTO&amp;endDate=12%2F31%2F2017&amp;timePeriod=4&amp;numTradingDays=60</w:t>
        </w:r>
      </w:hyperlink>
      <w:r>
        <w:t>)</w:t>
      </w:r>
    </w:p>
    <w:p w:rsidR="00010F62" w:rsidRPr="00F96810" w:rsidRDefault="00010F62" w:rsidP="00010F62">
      <w:pPr>
        <w:pStyle w:val="a3"/>
        <w:numPr>
          <w:ilvl w:val="0"/>
          <w:numId w:val="1"/>
        </w:numPr>
        <w:ind w:leftChars="0"/>
      </w:pPr>
      <w:r w:rsidRPr="00F96810">
        <w:t>The daily, monthly, and annua</w:t>
      </w:r>
      <w:r>
        <w:t xml:space="preserve">lly correlation of UDOW and KOLD: </w:t>
      </w:r>
    </w:p>
    <w:p w:rsidR="00010F62" w:rsidRDefault="00010F62" w:rsidP="00010F62">
      <w:pPr>
        <w:ind w:left="360"/>
      </w:pPr>
      <w:r>
        <w:rPr>
          <w:rFonts w:hint="eastAsia"/>
        </w:rPr>
        <w:t xml:space="preserve">Daily: </w:t>
      </w:r>
      <w:r>
        <w:t>0.02 source form (</w:t>
      </w:r>
      <w:hyperlink r:id="rId16" w:history="1">
        <w:r w:rsidRPr="00D10BCB">
          <w:rPr>
            <w:rStyle w:val="a4"/>
          </w:rPr>
          <w:t>https://www.portfoliovisualizer.com/asset-correlations?s=y&amp;symbols=UDOW%2C+DGAZ&amp;endDate=12%2F31%2F2017&amp;timePeriod=1&amp;numTradingDays=60</w:t>
        </w:r>
      </w:hyperlink>
      <w:r>
        <w:t>)</w:t>
      </w:r>
    </w:p>
    <w:p w:rsidR="00010F62" w:rsidRDefault="00010F62" w:rsidP="00010F62">
      <w:pPr>
        <w:ind w:left="360"/>
      </w:pPr>
      <w:r>
        <w:t>Monthly: 0.01 source form (</w:t>
      </w:r>
      <w:hyperlink r:id="rId17" w:history="1">
        <w:r w:rsidRPr="00D10BCB">
          <w:rPr>
            <w:rStyle w:val="a4"/>
          </w:rPr>
          <w:t>https://www.portfoliovisualizer.com/asset-correlations?s=y&amp;symbols=UDOW%2C+DGAZ&amp;endDate=12%2F31%2F2017&amp;timePeriod=2&amp;numTradingDays=60</w:t>
        </w:r>
      </w:hyperlink>
      <w:r>
        <w:t>)</w:t>
      </w:r>
    </w:p>
    <w:p w:rsidR="00010F62" w:rsidRDefault="00010F62" w:rsidP="00010F62">
      <w:pPr>
        <w:ind w:left="360"/>
      </w:pPr>
      <w:r>
        <w:t>Annually: -0.16 source form (</w:t>
      </w:r>
      <w:hyperlink r:id="rId18" w:history="1">
        <w:r w:rsidRPr="00D10BCB">
          <w:rPr>
            <w:rStyle w:val="a4"/>
          </w:rPr>
          <w:t>https://www.portfoliovisualizer.com/asset-correlations?s=y&amp;symbols=UDOW%2C+DGAZ&amp;endDate=12%2F31%2F2017&amp;timePeriod=4&amp;numTradingDays=60</w:t>
        </w:r>
      </w:hyperlink>
      <w:r>
        <w:t>)</w:t>
      </w:r>
    </w:p>
    <w:p w:rsidR="00010F62" w:rsidRDefault="00010F62" w:rsidP="00010F62">
      <w:pPr>
        <w:ind w:left="360"/>
      </w:pPr>
    </w:p>
    <w:p w:rsidR="00010F62" w:rsidRDefault="00010F62" w:rsidP="00010F62">
      <w:pPr>
        <w:pStyle w:val="a3"/>
        <w:numPr>
          <w:ilvl w:val="0"/>
          <w:numId w:val="1"/>
        </w:numPr>
        <w:ind w:leftChars="0"/>
      </w:pPr>
      <w:r w:rsidRPr="004B52DC">
        <w:t xml:space="preserve">The daily, monthly, </w:t>
      </w:r>
      <w:r>
        <w:t>and annually correlation of UDOW and ERX:</w:t>
      </w:r>
    </w:p>
    <w:p w:rsidR="00010F62" w:rsidRDefault="00010F62" w:rsidP="00010F62">
      <w:pPr>
        <w:pStyle w:val="a3"/>
        <w:ind w:leftChars="0" w:left="360"/>
      </w:pPr>
      <w:r>
        <w:t>Daily: 0.77 source from (</w:t>
      </w:r>
      <w:hyperlink r:id="rId19" w:history="1">
        <w:r w:rsidRPr="003F295A">
          <w:rPr>
            <w:rStyle w:val="a4"/>
          </w:rPr>
          <w:t>https://www.portfoliovisualizer.com/asset-correlations?s=y&amp;symbols=UDOW%2C+ERX&amp;endDate=06%2F10%2F2018&amp;timePeriod=1&amp;numTradingDays=60</w:t>
        </w:r>
      </w:hyperlink>
      <w:r>
        <w:t>)</w:t>
      </w:r>
    </w:p>
    <w:p w:rsidR="00010F62" w:rsidRDefault="00010F62" w:rsidP="00010F62">
      <w:pPr>
        <w:pStyle w:val="a3"/>
        <w:ind w:leftChars="0" w:left="360"/>
      </w:pPr>
      <w:r>
        <w:t>Monthly: 0.72 source from (</w:t>
      </w:r>
      <w:hyperlink r:id="rId20" w:history="1">
        <w:r w:rsidRPr="003F295A">
          <w:rPr>
            <w:rStyle w:val="a4"/>
          </w:rPr>
          <w:t>https://www.portfoliovisualizer.com/asset-correlations?s=y&amp;symbols=UDOW%2C+ERX&amp;endDate=06%2F10%2F2018&amp;timePeriod=2&amp;numTradingDays=60</w:t>
        </w:r>
      </w:hyperlink>
      <w:r>
        <w:t>)</w:t>
      </w:r>
    </w:p>
    <w:p w:rsidR="00010F62" w:rsidRDefault="00010F62" w:rsidP="00010F62">
      <w:pPr>
        <w:pStyle w:val="a3"/>
        <w:ind w:leftChars="0" w:left="360"/>
      </w:pPr>
      <w:r>
        <w:t>Annually: 0.66 source form (</w:t>
      </w:r>
      <w:hyperlink r:id="rId21" w:history="1">
        <w:r w:rsidRPr="003F295A">
          <w:rPr>
            <w:rStyle w:val="a4"/>
          </w:rPr>
          <w:t>https://www.portfoliovisualizer.com/asset-correlations?s=y&amp;symbols=UDOW%2C+ERX&amp;endDate=05%2F31%2F2018&amp;timePeriod=4&amp;numTradingDays=60</w:t>
        </w:r>
      </w:hyperlink>
      <w:r>
        <w:t>)</w:t>
      </w:r>
    </w:p>
    <w:p w:rsidR="00010F62" w:rsidRDefault="00010F62" w:rsidP="00010F62">
      <w:pPr>
        <w:pStyle w:val="a3"/>
        <w:ind w:leftChars="0" w:left="360"/>
      </w:pPr>
    </w:p>
    <w:p w:rsidR="00010F62" w:rsidRPr="004B52DC" w:rsidRDefault="00010F62" w:rsidP="00010F62">
      <w:pPr>
        <w:pStyle w:val="a3"/>
        <w:numPr>
          <w:ilvl w:val="0"/>
          <w:numId w:val="1"/>
        </w:numPr>
        <w:ind w:leftChars="0"/>
      </w:pPr>
      <w:r w:rsidRPr="004B52DC">
        <w:t>The daily, monthly, and annu</w:t>
      </w:r>
      <w:r>
        <w:t>ally correlation of KOLD and DTO</w:t>
      </w:r>
      <w:r w:rsidRPr="004B52DC">
        <w:t>:</w:t>
      </w:r>
    </w:p>
    <w:p w:rsidR="00010F62" w:rsidRDefault="00010F62" w:rsidP="00010F62">
      <w:pPr>
        <w:pStyle w:val="a3"/>
        <w:ind w:leftChars="0" w:left="360"/>
      </w:pPr>
      <w:r>
        <w:t>Daily: 0.14 source from (</w:t>
      </w:r>
      <w:hyperlink r:id="rId22" w:history="1">
        <w:r w:rsidRPr="003F295A">
          <w:rPr>
            <w:rStyle w:val="a4"/>
          </w:rPr>
          <w:t>https://www.portfoliovisualizer.com/asset-correlations?s=y&amp;symbols=KOLD%2C+DTO&amp;endDate=12%2F31%2F2017&amp;timePeriod=1&amp;numTradingDays=60</w:t>
        </w:r>
      </w:hyperlink>
      <w:r>
        <w:t>)</w:t>
      </w:r>
    </w:p>
    <w:p w:rsidR="00010F62" w:rsidRDefault="00010F62" w:rsidP="00010F62">
      <w:pPr>
        <w:pStyle w:val="a3"/>
        <w:ind w:leftChars="0" w:left="360"/>
      </w:pPr>
      <w:r>
        <w:t>Monthly: 0.18 source from (</w:t>
      </w:r>
      <w:hyperlink r:id="rId23" w:history="1">
        <w:r w:rsidRPr="003F295A">
          <w:rPr>
            <w:rStyle w:val="a4"/>
          </w:rPr>
          <w:t>https://www.portfoliovisualizer.com/asset-correlations?s=y&amp;symbols=KOLD%2C+DTO&amp;endDate=12%2F31%2F2017&amp;timePeriod=2&amp;numTradingDays=60</w:t>
        </w:r>
      </w:hyperlink>
      <w:r>
        <w:t>)</w:t>
      </w:r>
    </w:p>
    <w:p w:rsidR="00010F62" w:rsidRDefault="00010F62" w:rsidP="00010F62">
      <w:pPr>
        <w:pStyle w:val="a3"/>
        <w:ind w:leftChars="0" w:left="360"/>
      </w:pPr>
      <w:r>
        <w:t>Yearly: 0.47 source form (</w:t>
      </w:r>
      <w:hyperlink r:id="rId24" w:history="1">
        <w:r w:rsidRPr="003F295A">
          <w:rPr>
            <w:rStyle w:val="a4"/>
          </w:rPr>
          <w:t>https://www.portfoliovisualizer.com/asset-correlations?s=y&amp;symbols=KOLD%2C+DTO&amp;endDate=12%2F31%2F2017&amp;timePeriod=4&amp;numTradingDays=60</w:t>
        </w:r>
      </w:hyperlink>
      <w:r>
        <w:t>)</w:t>
      </w:r>
    </w:p>
    <w:p w:rsidR="00010F62" w:rsidRDefault="00010F62" w:rsidP="00010F62">
      <w:pPr>
        <w:pStyle w:val="a3"/>
        <w:ind w:leftChars="0" w:left="360"/>
      </w:pPr>
    </w:p>
    <w:p w:rsidR="00010F62" w:rsidRDefault="00010F62" w:rsidP="00010F62">
      <w:pPr>
        <w:pStyle w:val="a3"/>
        <w:numPr>
          <w:ilvl w:val="0"/>
          <w:numId w:val="1"/>
        </w:numPr>
        <w:ind w:leftChars="0"/>
      </w:pPr>
    </w:p>
    <w:tbl>
      <w:tblPr>
        <w:tblStyle w:val="a5"/>
        <w:tblW w:w="0" w:type="auto"/>
        <w:tblInd w:w="360" w:type="dxa"/>
        <w:tblLook w:val="04A0" w:firstRow="1" w:lastRow="0" w:firstColumn="1" w:lastColumn="0" w:noHBand="0" w:noVBand="1"/>
      </w:tblPr>
      <w:tblGrid>
        <w:gridCol w:w="1367"/>
        <w:gridCol w:w="1642"/>
        <w:gridCol w:w="1642"/>
        <w:gridCol w:w="1642"/>
        <w:gridCol w:w="1643"/>
      </w:tblGrid>
      <w:tr w:rsidR="00010F62" w:rsidRPr="00E9506C" w:rsidTr="0045306E">
        <w:tc>
          <w:tcPr>
            <w:tcW w:w="1659" w:type="dxa"/>
          </w:tcPr>
          <w:p w:rsidR="00010F62" w:rsidRPr="00E9506C" w:rsidRDefault="00010F62" w:rsidP="0045306E">
            <w:pPr>
              <w:pStyle w:val="a3"/>
              <w:ind w:leftChars="0" w:left="0"/>
              <w:rPr>
                <w:szCs w:val="24"/>
              </w:rPr>
            </w:pPr>
          </w:p>
        </w:tc>
        <w:tc>
          <w:tcPr>
            <w:tcW w:w="1659" w:type="dxa"/>
          </w:tcPr>
          <w:p w:rsidR="00010F62" w:rsidRPr="00E9506C" w:rsidRDefault="00010F62" w:rsidP="0045306E">
            <w:pPr>
              <w:pStyle w:val="a3"/>
              <w:ind w:leftChars="0" w:left="0"/>
              <w:rPr>
                <w:szCs w:val="24"/>
              </w:rPr>
            </w:pPr>
            <w:r w:rsidRPr="00E9506C">
              <w:rPr>
                <w:rFonts w:hint="eastAsia"/>
                <w:szCs w:val="24"/>
              </w:rPr>
              <w:t>UDOW</w:t>
            </w:r>
          </w:p>
        </w:tc>
        <w:tc>
          <w:tcPr>
            <w:tcW w:w="1659" w:type="dxa"/>
          </w:tcPr>
          <w:p w:rsidR="00010F62" w:rsidRPr="00E9506C" w:rsidRDefault="00010F62" w:rsidP="0045306E">
            <w:pPr>
              <w:pStyle w:val="a3"/>
              <w:ind w:leftChars="0" w:left="0"/>
              <w:rPr>
                <w:szCs w:val="24"/>
              </w:rPr>
            </w:pPr>
            <w:r w:rsidRPr="00E9506C">
              <w:rPr>
                <w:rFonts w:hint="eastAsia"/>
                <w:szCs w:val="24"/>
              </w:rPr>
              <w:t>ERX</w:t>
            </w:r>
          </w:p>
        </w:tc>
        <w:tc>
          <w:tcPr>
            <w:tcW w:w="1659" w:type="dxa"/>
          </w:tcPr>
          <w:p w:rsidR="00010F62" w:rsidRPr="00E9506C" w:rsidRDefault="00010F62" w:rsidP="0045306E">
            <w:pPr>
              <w:pStyle w:val="a3"/>
              <w:ind w:leftChars="0" w:left="0"/>
              <w:rPr>
                <w:szCs w:val="24"/>
              </w:rPr>
            </w:pPr>
            <w:r w:rsidRPr="00E9506C">
              <w:rPr>
                <w:rFonts w:hint="eastAsia"/>
                <w:szCs w:val="24"/>
              </w:rPr>
              <w:t>DTO</w:t>
            </w:r>
          </w:p>
        </w:tc>
        <w:tc>
          <w:tcPr>
            <w:tcW w:w="1660" w:type="dxa"/>
          </w:tcPr>
          <w:p w:rsidR="00010F62" w:rsidRPr="00E9506C" w:rsidRDefault="00010F62" w:rsidP="0045306E">
            <w:pPr>
              <w:pStyle w:val="a3"/>
              <w:ind w:leftChars="0" w:left="0"/>
              <w:rPr>
                <w:szCs w:val="24"/>
              </w:rPr>
            </w:pPr>
            <w:r w:rsidRPr="00E9506C">
              <w:rPr>
                <w:rFonts w:hint="eastAsia"/>
                <w:szCs w:val="24"/>
              </w:rPr>
              <w:t>KOLD</w:t>
            </w:r>
          </w:p>
        </w:tc>
      </w:tr>
      <w:tr w:rsidR="00010F62" w:rsidRPr="00E9506C" w:rsidTr="0045306E">
        <w:tc>
          <w:tcPr>
            <w:tcW w:w="1659" w:type="dxa"/>
          </w:tcPr>
          <w:p w:rsidR="00010F62" w:rsidRPr="00E9506C" w:rsidRDefault="00010F62" w:rsidP="0045306E">
            <w:pPr>
              <w:pStyle w:val="a3"/>
              <w:ind w:leftChars="0" w:left="0"/>
              <w:rPr>
                <w:szCs w:val="24"/>
              </w:rPr>
            </w:pPr>
            <w:r w:rsidRPr="00E9506C">
              <w:rPr>
                <w:rFonts w:hint="eastAsia"/>
                <w:szCs w:val="24"/>
              </w:rPr>
              <w:t>UDOW</w:t>
            </w:r>
          </w:p>
        </w:tc>
        <w:tc>
          <w:tcPr>
            <w:tcW w:w="1659" w:type="dxa"/>
          </w:tcPr>
          <w:p w:rsidR="00010F62" w:rsidRPr="00E9506C" w:rsidRDefault="00010F62" w:rsidP="0045306E">
            <w:pPr>
              <w:pStyle w:val="a3"/>
              <w:ind w:leftChars="0" w:left="0"/>
              <w:rPr>
                <w:szCs w:val="24"/>
              </w:rPr>
            </w:pPr>
            <w:r w:rsidRPr="00E9506C">
              <w:rPr>
                <w:rFonts w:hint="eastAsia"/>
                <w:szCs w:val="24"/>
              </w:rPr>
              <w:t>(</w:t>
            </w:r>
            <w:r w:rsidRPr="00E9506C">
              <w:rPr>
                <w:szCs w:val="24"/>
              </w:rPr>
              <w:t>1,1,1</w:t>
            </w:r>
            <w:r w:rsidRPr="00E9506C">
              <w:rPr>
                <w:rFonts w:hint="eastAsia"/>
                <w:szCs w:val="24"/>
              </w:rPr>
              <w:t>)</w:t>
            </w:r>
          </w:p>
        </w:tc>
        <w:tc>
          <w:tcPr>
            <w:tcW w:w="1659" w:type="dxa"/>
          </w:tcPr>
          <w:p w:rsidR="00010F62" w:rsidRPr="00E9506C" w:rsidRDefault="00010F62" w:rsidP="0045306E">
            <w:pPr>
              <w:pStyle w:val="a3"/>
              <w:ind w:leftChars="0" w:left="0"/>
              <w:rPr>
                <w:szCs w:val="24"/>
              </w:rPr>
            </w:pPr>
            <w:r w:rsidRPr="00E9506C">
              <w:rPr>
                <w:szCs w:val="24"/>
              </w:rPr>
              <w:t>(.77,.72,.66)</w:t>
            </w:r>
          </w:p>
        </w:tc>
        <w:tc>
          <w:tcPr>
            <w:tcW w:w="1659" w:type="dxa"/>
          </w:tcPr>
          <w:p w:rsidR="00010F62" w:rsidRPr="00E9506C" w:rsidRDefault="00010F62" w:rsidP="0045306E">
            <w:pPr>
              <w:pStyle w:val="a3"/>
              <w:ind w:leftChars="0" w:left="0"/>
              <w:rPr>
                <w:szCs w:val="24"/>
              </w:rPr>
            </w:pPr>
            <w:r w:rsidRPr="00E9506C">
              <w:rPr>
                <w:rFonts w:hint="eastAsia"/>
                <w:szCs w:val="24"/>
              </w:rPr>
              <w:t>(</w:t>
            </w:r>
            <w:r w:rsidRPr="00E9506C">
              <w:rPr>
                <w:szCs w:val="24"/>
              </w:rPr>
              <w:t>-.39,-.47,-.52</w:t>
            </w:r>
            <w:r w:rsidRPr="00E9506C">
              <w:rPr>
                <w:rFonts w:hint="eastAsia"/>
                <w:szCs w:val="24"/>
              </w:rPr>
              <w:t>)</w:t>
            </w:r>
          </w:p>
        </w:tc>
        <w:tc>
          <w:tcPr>
            <w:tcW w:w="1660" w:type="dxa"/>
          </w:tcPr>
          <w:p w:rsidR="00010F62" w:rsidRPr="00E9506C" w:rsidRDefault="00010F62" w:rsidP="0045306E">
            <w:pPr>
              <w:pStyle w:val="a3"/>
              <w:ind w:leftChars="0" w:left="0"/>
              <w:rPr>
                <w:szCs w:val="24"/>
              </w:rPr>
            </w:pPr>
            <w:r w:rsidRPr="00E9506C">
              <w:rPr>
                <w:rFonts w:hint="eastAsia"/>
                <w:szCs w:val="24"/>
              </w:rPr>
              <w:t>(</w:t>
            </w:r>
            <w:r w:rsidRPr="00E9506C">
              <w:rPr>
                <w:szCs w:val="24"/>
              </w:rPr>
              <w:t>.02,.01,-.16</w:t>
            </w:r>
            <w:r w:rsidRPr="00E9506C">
              <w:rPr>
                <w:rFonts w:hint="eastAsia"/>
                <w:szCs w:val="24"/>
              </w:rPr>
              <w:t>)</w:t>
            </w:r>
          </w:p>
        </w:tc>
      </w:tr>
      <w:tr w:rsidR="00010F62" w:rsidRPr="00E9506C" w:rsidTr="0045306E">
        <w:tc>
          <w:tcPr>
            <w:tcW w:w="1659" w:type="dxa"/>
          </w:tcPr>
          <w:p w:rsidR="00010F62" w:rsidRPr="00E9506C" w:rsidRDefault="00010F62" w:rsidP="0045306E">
            <w:pPr>
              <w:pStyle w:val="a3"/>
              <w:ind w:leftChars="0" w:left="0"/>
              <w:rPr>
                <w:szCs w:val="24"/>
              </w:rPr>
            </w:pPr>
            <w:r w:rsidRPr="00E9506C">
              <w:rPr>
                <w:rFonts w:hint="eastAsia"/>
                <w:szCs w:val="24"/>
              </w:rPr>
              <w:t>ERX</w:t>
            </w:r>
          </w:p>
        </w:tc>
        <w:tc>
          <w:tcPr>
            <w:tcW w:w="1659" w:type="dxa"/>
          </w:tcPr>
          <w:p w:rsidR="00010F62" w:rsidRPr="00E9506C" w:rsidRDefault="00010F62" w:rsidP="0045306E">
            <w:pPr>
              <w:pStyle w:val="a3"/>
              <w:ind w:leftChars="0" w:left="0"/>
              <w:rPr>
                <w:szCs w:val="24"/>
              </w:rPr>
            </w:pPr>
            <w:r w:rsidRPr="00E9506C">
              <w:rPr>
                <w:rFonts w:hint="eastAsia"/>
                <w:szCs w:val="24"/>
              </w:rPr>
              <w:t>(</w:t>
            </w:r>
            <w:r w:rsidRPr="00E9506C">
              <w:rPr>
                <w:szCs w:val="24"/>
              </w:rPr>
              <w:t>.77,.72,.66</w:t>
            </w:r>
            <w:r w:rsidRPr="00E9506C">
              <w:rPr>
                <w:rFonts w:hint="eastAsia"/>
                <w:szCs w:val="24"/>
              </w:rPr>
              <w:t>)</w:t>
            </w:r>
          </w:p>
        </w:tc>
        <w:tc>
          <w:tcPr>
            <w:tcW w:w="1659" w:type="dxa"/>
          </w:tcPr>
          <w:p w:rsidR="00010F62" w:rsidRPr="00E9506C" w:rsidRDefault="00010F62" w:rsidP="0045306E">
            <w:pPr>
              <w:pStyle w:val="a3"/>
              <w:ind w:leftChars="0" w:left="0"/>
              <w:rPr>
                <w:szCs w:val="24"/>
              </w:rPr>
            </w:pPr>
            <w:r w:rsidRPr="00E9506C">
              <w:rPr>
                <w:rFonts w:hint="eastAsia"/>
                <w:szCs w:val="24"/>
              </w:rPr>
              <w:t>(</w:t>
            </w:r>
            <w:r w:rsidRPr="00E9506C">
              <w:rPr>
                <w:szCs w:val="24"/>
              </w:rPr>
              <w:t>1,1,1</w:t>
            </w:r>
            <w:r w:rsidRPr="00E9506C">
              <w:rPr>
                <w:rFonts w:hint="eastAsia"/>
                <w:szCs w:val="24"/>
              </w:rPr>
              <w:t>)</w:t>
            </w:r>
          </w:p>
        </w:tc>
        <w:tc>
          <w:tcPr>
            <w:tcW w:w="1659" w:type="dxa"/>
          </w:tcPr>
          <w:p w:rsidR="00010F62" w:rsidRPr="00E9506C" w:rsidRDefault="00010F62" w:rsidP="0045306E">
            <w:pPr>
              <w:pStyle w:val="a3"/>
              <w:ind w:leftChars="0" w:left="0"/>
              <w:rPr>
                <w:szCs w:val="24"/>
              </w:rPr>
            </w:pPr>
            <w:r w:rsidRPr="00E9506C">
              <w:rPr>
                <w:rFonts w:hint="eastAsia"/>
                <w:szCs w:val="24"/>
              </w:rPr>
              <w:t>(</w:t>
            </w:r>
            <w:r w:rsidRPr="00E9506C">
              <w:rPr>
                <w:szCs w:val="24"/>
              </w:rPr>
              <w:t>-.67,-.70,-.66</w:t>
            </w:r>
            <w:r w:rsidRPr="00E9506C">
              <w:rPr>
                <w:rFonts w:hint="eastAsia"/>
                <w:szCs w:val="24"/>
              </w:rPr>
              <w:t>)</w:t>
            </w:r>
          </w:p>
        </w:tc>
        <w:tc>
          <w:tcPr>
            <w:tcW w:w="1660" w:type="dxa"/>
          </w:tcPr>
          <w:p w:rsidR="00010F62" w:rsidRPr="00E9506C" w:rsidRDefault="00010F62" w:rsidP="0045306E">
            <w:pPr>
              <w:pStyle w:val="a3"/>
              <w:ind w:leftChars="0" w:left="0"/>
              <w:rPr>
                <w:szCs w:val="24"/>
              </w:rPr>
            </w:pPr>
            <w:r w:rsidRPr="00E9506C">
              <w:rPr>
                <w:rFonts w:hint="eastAsia"/>
                <w:szCs w:val="24"/>
              </w:rPr>
              <w:t>(</w:t>
            </w:r>
            <w:r w:rsidRPr="00E9506C">
              <w:rPr>
                <w:szCs w:val="24"/>
              </w:rPr>
              <w:t>-.11,-.15,-.87</w:t>
            </w:r>
            <w:r w:rsidRPr="00E9506C">
              <w:rPr>
                <w:rFonts w:hint="eastAsia"/>
                <w:szCs w:val="24"/>
              </w:rPr>
              <w:t>)</w:t>
            </w:r>
          </w:p>
        </w:tc>
      </w:tr>
      <w:tr w:rsidR="00010F62" w:rsidRPr="00E9506C" w:rsidTr="0045306E">
        <w:tc>
          <w:tcPr>
            <w:tcW w:w="1659" w:type="dxa"/>
          </w:tcPr>
          <w:p w:rsidR="00010F62" w:rsidRPr="00E9506C" w:rsidRDefault="00010F62" w:rsidP="0045306E">
            <w:pPr>
              <w:pStyle w:val="a3"/>
              <w:ind w:leftChars="0" w:left="0"/>
              <w:rPr>
                <w:szCs w:val="24"/>
              </w:rPr>
            </w:pPr>
            <w:r w:rsidRPr="00E9506C">
              <w:rPr>
                <w:rFonts w:hint="eastAsia"/>
                <w:szCs w:val="24"/>
              </w:rPr>
              <w:t xml:space="preserve">DTO </w:t>
            </w:r>
          </w:p>
        </w:tc>
        <w:tc>
          <w:tcPr>
            <w:tcW w:w="1659" w:type="dxa"/>
          </w:tcPr>
          <w:p w:rsidR="00010F62" w:rsidRPr="00E9506C" w:rsidRDefault="00010F62" w:rsidP="0045306E">
            <w:pPr>
              <w:pStyle w:val="a3"/>
              <w:ind w:leftChars="0" w:left="0"/>
              <w:rPr>
                <w:szCs w:val="24"/>
              </w:rPr>
            </w:pPr>
            <w:r w:rsidRPr="00E9506C">
              <w:rPr>
                <w:rFonts w:hint="eastAsia"/>
                <w:szCs w:val="24"/>
              </w:rPr>
              <w:t>(</w:t>
            </w:r>
            <w:r w:rsidRPr="00E9506C">
              <w:rPr>
                <w:szCs w:val="24"/>
              </w:rPr>
              <w:t>-.39,-.47,-.52</w:t>
            </w:r>
            <w:r w:rsidRPr="00E9506C">
              <w:rPr>
                <w:rFonts w:hint="eastAsia"/>
                <w:szCs w:val="24"/>
              </w:rPr>
              <w:t>)</w:t>
            </w:r>
          </w:p>
        </w:tc>
        <w:tc>
          <w:tcPr>
            <w:tcW w:w="1659" w:type="dxa"/>
          </w:tcPr>
          <w:p w:rsidR="00010F62" w:rsidRPr="00E9506C" w:rsidRDefault="00010F62" w:rsidP="0045306E">
            <w:pPr>
              <w:pStyle w:val="a3"/>
              <w:ind w:leftChars="0" w:left="0"/>
              <w:rPr>
                <w:szCs w:val="24"/>
              </w:rPr>
            </w:pPr>
            <w:r w:rsidRPr="00E9506C">
              <w:rPr>
                <w:szCs w:val="24"/>
              </w:rPr>
              <w:t>(-.67,-.70,-.66)</w:t>
            </w:r>
          </w:p>
        </w:tc>
        <w:tc>
          <w:tcPr>
            <w:tcW w:w="1659" w:type="dxa"/>
          </w:tcPr>
          <w:p w:rsidR="00010F62" w:rsidRPr="00E9506C" w:rsidRDefault="00010F62" w:rsidP="0045306E">
            <w:pPr>
              <w:pStyle w:val="a3"/>
              <w:ind w:leftChars="0" w:left="0"/>
              <w:rPr>
                <w:szCs w:val="24"/>
              </w:rPr>
            </w:pPr>
            <w:r w:rsidRPr="00E9506C">
              <w:rPr>
                <w:rFonts w:hint="eastAsia"/>
                <w:szCs w:val="24"/>
              </w:rPr>
              <w:t>(</w:t>
            </w:r>
            <w:r w:rsidRPr="00E9506C">
              <w:rPr>
                <w:szCs w:val="24"/>
              </w:rPr>
              <w:t>1,1,1</w:t>
            </w:r>
            <w:r w:rsidRPr="00E9506C">
              <w:rPr>
                <w:rFonts w:hint="eastAsia"/>
                <w:szCs w:val="24"/>
              </w:rPr>
              <w:t>)</w:t>
            </w:r>
          </w:p>
        </w:tc>
        <w:tc>
          <w:tcPr>
            <w:tcW w:w="1660" w:type="dxa"/>
          </w:tcPr>
          <w:p w:rsidR="00010F62" w:rsidRPr="00E9506C" w:rsidRDefault="00010F62" w:rsidP="0045306E">
            <w:pPr>
              <w:pStyle w:val="a3"/>
              <w:ind w:leftChars="0" w:left="0"/>
              <w:rPr>
                <w:szCs w:val="24"/>
              </w:rPr>
            </w:pPr>
            <w:r w:rsidRPr="00E9506C">
              <w:rPr>
                <w:rFonts w:hint="eastAsia"/>
                <w:szCs w:val="24"/>
              </w:rPr>
              <w:t>(</w:t>
            </w:r>
            <w:r w:rsidRPr="00E9506C">
              <w:rPr>
                <w:szCs w:val="24"/>
              </w:rPr>
              <w:t>.14,.18,.47</w:t>
            </w:r>
            <w:r w:rsidRPr="00E9506C">
              <w:rPr>
                <w:rFonts w:hint="eastAsia"/>
                <w:szCs w:val="24"/>
              </w:rPr>
              <w:t>)</w:t>
            </w:r>
          </w:p>
        </w:tc>
      </w:tr>
      <w:tr w:rsidR="00010F62" w:rsidRPr="00E9506C" w:rsidTr="0045306E">
        <w:tc>
          <w:tcPr>
            <w:tcW w:w="1659" w:type="dxa"/>
          </w:tcPr>
          <w:p w:rsidR="00010F62" w:rsidRPr="00E9506C" w:rsidRDefault="00010F62" w:rsidP="0045306E">
            <w:pPr>
              <w:pStyle w:val="a3"/>
              <w:ind w:leftChars="0" w:left="0"/>
              <w:rPr>
                <w:szCs w:val="24"/>
              </w:rPr>
            </w:pPr>
            <w:r w:rsidRPr="00E9506C">
              <w:rPr>
                <w:rFonts w:hint="eastAsia"/>
                <w:szCs w:val="24"/>
              </w:rPr>
              <w:t>KOLD</w:t>
            </w:r>
          </w:p>
        </w:tc>
        <w:tc>
          <w:tcPr>
            <w:tcW w:w="1659" w:type="dxa"/>
          </w:tcPr>
          <w:p w:rsidR="00010F62" w:rsidRPr="00E9506C" w:rsidRDefault="00010F62" w:rsidP="0045306E">
            <w:pPr>
              <w:pStyle w:val="a3"/>
              <w:ind w:leftChars="0" w:left="0"/>
              <w:rPr>
                <w:szCs w:val="24"/>
              </w:rPr>
            </w:pPr>
            <w:r w:rsidRPr="00E9506C">
              <w:rPr>
                <w:szCs w:val="24"/>
              </w:rPr>
              <w:t>(.02,.01,-.16)</w:t>
            </w:r>
          </w:p>
        </w:tc>
        <w:tc>
          <w:tcPr>
            <w:tcW w:w="1659" w:type="dxa"/>
          </w:tcPr>
          <w:p w:rsidR="00010F62" w:rsidRPr="00E9506C" w:rsidRDefault="00010F62" w:rsidP="0045306E">
            <w:pPr>
              <w:pStyle w:val="a3"/>
              <w:ind w:leftChars="0" w:left="0"/>
              <w:rPr>
                <w:szCs w:val="24"/>
              </w:rPr>
            </w:pPr>
            <w:r w:rsidRPr="00E9506C">
              <w:rPr>
                <w:szCs w:val="24"/>
              </w:rPr>
              <w:t>(-.11,-.15,-.87)</w:t>
            </w:r>
          </w:p>
        </w:tc>
        <w:tc>
          <w:tcPr>
            <w:tcW w:w="1659" w:type="dxa"/>
          </w:tcPr>
          <w:p w:rsidR="00010F62" w:rsidRPr="00E9506C" w:rsidRDefault="00010F62" w:rsidP="0045306E">
            <w:pPr>
              <w:pStyle w:val="a3"/>
              <w:ind w:leftChars="0" w:left="0"/>
              <w:rPr>
                <w:szCs w:val="24"/>
              </w:rPr>
            </w:pPr>
            <w:r w:rsidRPr="00E9506C">
              <w:rPr>
                <w:rFonts w:hint="eastAsia"/>
                <w:szCs w:val="24"/>
              </w:rPr>
              <w:t>(</w:t>
            </w:r>
            <w:r w:rsidRPr="00E9506C">
              <w:rPr>
                <w:szCs w:val="24"/>
              </w:rPr>
              <w:t>.14,.18,.47</w:t>
            </w:r>
            <w:r w:rsidRPr="00E9506C">
              <w:rPr>
                <w:rFonts w:hint="eastAsia"/>
                <w:szCs w:val="24"/>
              </w:rPr>
              <w:t>)</w:t>
            </w:r>
          </w:p>
        </w:tc>
        <w:tc>
          <w:tcPr>
            <w:tcW w:w="1660" w:type="dxa"/>
          </w:tcPr>
          <w:p w:rsidR="00010F62" w:rsidRPr="00E9506C" w:rsidRDefault="00010F62" w:rsidP="0045306E">
            <w:pPr>
              <w:pStyle w:val="a3"/>
              <w:ind w:leftChars="0" w:left="0"/>
              <w:rPr>
                <w:szCs w:val="24"/>
              </w:rPr>
            </w:pPr>
            <w:r w:rsidRPr="00E9506C">
              <w:rPr>
                <w:rFonts w:hint="eastAsia"/>
                <w:szCs w:val="24"/>
              </w:rPr>
              <w:t>(</w:t>
            </w:r>
            <w:r w:rsidRPr="00E9506C">
              <w:rPr>
                <w:szCs w:val="24"/>
              </w:rPr>
              <w:t>1,1,1</w:t>
            </w:r>
            <w:r w:rsidRPr="00E9506C">
              <w:rPr>
                <w:rFonts w:hint="eastAsia"/>
                <w:szCs w:val="24"/>
              </w:rPr>
              <w:t>)</w:t>
            </w:r>
          </w:p>
        </w:tc>
      </w:tr>
    </w:tbl>
    <w:p w:rsidR="00010F62" w:rsidRDefault="00010F62" w:rsidP="001310EC">
      <w:pPr>
        <w:rPr>
          <w:rFonts w:hint="eastAsia"/>
        </w:rPr>
      </w:pPr>
    </w:p>
    <w:p w:rsidR="00010F62" w:rsidRDefault="00010F62" w:rsidP="00010F62"/>
    <w:p w:rsidR="00010F62" w:rsidRDefault="00010F62" w:rsidP="00010F62"/>
    <w:p w:rsidR="00010F62" w:rsidRDefault="00010F62" w:rsidP="00010F62"/>
    <w:p w:rsidR="008353A2" w:rsidRDefault="008353A2"/>
    <w:sectPr w:rsidR="008353A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40B5" w:rsidRDefault="003040B5" w:rsidP="001310EC">
      <w:r>
        <w:separator/>
      </w:r>
    </w:p>
  </w:endnote>
  <w:endnote w:type="continuationSeparator" w:id="0">
    <w:p w:rsidR="003040B5" w:rsidRDefault="003040B5" w:rsidP="00131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40B5" w:rsidRDefault="003040B5" w:rsidP="001310EC">
      <w:r>
        <w:separator/>
      </w:r>
    </w:p>
  </w:footnote>
  <w:footnote w:type="continuationSeparator" w:id="0">
    <w:p w:rsidR="003040B5" w:rsidRDefault="003040B5" w:rsidP="001310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05262F"/>
    <w:multiLevelType w:val="hybridMultilevel"/>
    <w:tmpl w:val="5E80BEAA"/>
    <w:lvl w:ilvl="0" w:tplc="43B4C95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D5505BE"/>
    <w:multiLevelType w:val="hybridMultilevel"/>
    <w:tmpl w:val="C69E549C"/>
    <w:lvl w:ilvl="0" w:tplc="D22467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F62"/>
    <w:rsid w:val="00010F62"/>
    <w:rsid w:val="001310EC"/>
    <w:rsid w:val="003040B5"/>
    <w:rsid w:val="008353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893B13-5570-4B18-8F0F-635EA231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0F6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0F62"/>
    <w:pPr>
      <w:ind w:leftChars="200" w:left="480"/>
    </w:pPr>
  </w:style>
  <w:style w:type="character" w:styleId="a4">
    <w:name w:val="Hyperlink"/>
    <w:basedOn w:val="a0"/>
    <w:uiPriority w:val="99"/>
    <w:unhideWhenUsed/>
    <w:rsid w:val="00010F62"/>
    <w:rPr>
      <w:color w:val="0563C1" w:themeColor="hyperlink"/>
      <w:u w:val="single"/>
    </w:rPr>
  </w:style>
  <w:style w:type="table" w:styleId="a5">
    <w:name w:val="Table Grid"/>
    <w:basedOn w:val="a1"/>
    <w:uiPriority w:val="39"/>
    <w:rsid w:val="00010F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llowedHyperlink"/>
    <w:basedOn w:val="a0"/>
    <w:uiPriority w:val="99"/>
    <w:semiHidden/>
    <w:unhideWhenUsed/>
    <w:rsid w:val="00010F62"/>
    <w:rPr>
      <w:color w:val="954F72" w:themeColor="followedHyperlink"/>
      <w:u w:val="single"/>
    </w:rPr>
  </w:style>
  <w:style w:type="paragraph" w:styleId="a7">
    <w:name w:val="header"/>
    <w:basedOn w:val="a"/>
    <w:link w:val="a8"/>
    <w:uiPriority w:val="99"/>
    <w:unhideWhenUsed/>
    <w:rsid w:val="001310EC"/>
    <w:pPr>
      <w:tabs>
        <w:tab w:val="center" w:pos="4153"/>
        <w:tab w:val="right" w:pos="8306"/>
      </w:tabs>
      <w:snapToGrid w:val="0"/>
    </w:pPr>
    <w:rPr>
      <w:sz w:val="20"/>
      <w:szCs w:val="20"/>
    </w:rPr>
  </w:style>
  <w:style w:type="character" w:customStyle="1" w:styleId="a8">
    <w:name w:val="頁首 字元"/>
    <w:basedOn w:val="a0"/>
    <w:link w:val="a7"/>
    <w:uiPriority w:val="99"/>
    <w:rsid w:val="001310EC"/>
    <w:rPr>
      <w:sz w:val="20"/>
      <w:szCs w:val="20"/>
    </w:rPr>
  </w:style>
  <w:style w:type="paragraph" w:styleId="a9">
    <w:name w:val="footer"/>
    <w:basedOn w:val="a"/>
    <w:link w:val="aa"/>
    <w:uiPriority w:val="99"/>
    <w:unhideWhenUsed/>
    <w:rsid w:val="001310EC"/>
    <w:pPr>
      <w:tabs>
        <w:tab w:val="center" w:pos="4153"/>
        <w:tab w:val="right" w:pos="8306"/>
      </w:tabs>
      <w:snapToGrid w:val="0"/>
    </w:pPr>
    <w:rPr>
      <w:sz w:val="20"/>
      <w:szCs w:val="20"/>
    </w:rPr>
  </w:style>
  <w:style w:type="character" w:customStyle="1" w:styleId="aa">
    <w:name w:val="頁尾 字元"/>
    <w:basedOn w:val="a0"/>
    <w:link w:val="a9"/>
    <w:uiPriority w:val="99"/>
    <w:rsid w:val="001310E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rtfoliovisualizer.com/asset-correlations?s=y&amp;symbols=DTO%2C+ERX&amp;endDate=06%2F10%2F2018&amp;timePeriod=2&amp;numTradingDays=60" TargetMode="External"/><Relationship Id="rId13" Type="http://schemas.openxmlformats.org/officeDocument/2006/relationships/hyperlink" Target="https://www.portfoliovisualizer.com/asset-correlations?s=y&amp;symbols=UDOW%2C+DTO&amp;endDate=12%2F31%2F2017&amp;timePeriod=1&amp;numTradingDays=60" TargetMode="External"/><Relationship Id="rId18" Type="http://schemas.openxmlformats.org/officeDocument/2006/relationships/hyperlink" Target="https://www.portfoliovisualizer.com/asset-correlations?s=y&amp;symbols=UDOW%2C+DGAZ&amp;endDate=12%2F31%2F2017&amp;timePeriod=4&amp;numTradingDays=6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portfoliovisualizer.com/asset-correlations?s=y&amp;symbols=UDOW%2C+ERX&amp;endDate=05%2F31%2F2018&amp;timePeriod=4&amp;numTradingDays=60" TargetMode="External"/><Relationship Id="rId7" Type="http://schemas.openxmlformats.org/officeDocument/2006/relationships/hyperlink" Target="https://www.portfoliovisualizer.com/asset-correlations?s=y&amp;symbols=DTO%2C+ERX&amp;endDate=06%2F10%2F2018&amp;timePeriod=1&amp;numTradingDays=60" TargetMode="External"/><Relationship Id="rId12" Type="http://schemas.openxmlformats.org/officeDocument/2006/relationships/hyperlink" Target="https://www.portfoliovisualizer.com/asset-correlations?s=y&amp;symbols=ERX%2C+KOLD&amp;endDate=12%2F31%2F2017&amp;timePeriod=4&amp;numTradingDays=60" TargetMode="External"/><Relationship Id="rId17" Type="http://schemas.openxmlformats.org/officeDocument/2006/relationships/hyperlink" Target="https://www.portfoliovisualizer.com/asset-correlations?s=y&amp;symbols=UDOW%2C+DGAZ&amp;endDate=12%2F31%2F2017&amp;timePeriod=2&amp;numTradingDays=6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ortfoliovisualizer.com/asset-correlations?s=y&amp;symbols=UDOW%2C+DGAZ&amp;endDate=12%2F31%2F2017&amp;timePeriod=1&amp;numTradingDays=60" TargetMode="External"/><Relationship Id="rId20" Type="http://schemas.openxmlformats.org/officeDocument/2006/relationships/hyperlink" Target="https://www.portfoliovisualizer.com/asset-correlations?s=y&amp;symbols=UDOW%2C+ERX&amp;endDate=06%2F10%2F2018&amp;timePeriod=2&amp;numTradingDays=6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ortfoliovisualizer.com/asset-correlations?s=y&amp;symbols=ERX%2C+KOLD&amp;endDate=12%2F31%2F2017&amp;timePeriod=2&amp;numTradingDays=60" TargetMode="External"/><Relationship Id="rId24" Type="http://schemas.openxmlformats.org/officeDocument/2006/relationships/hyperlink" Target="https://www.portfoliovisualizer.com/asset-correlations?s=y&amp;symbols=KOLD%2C+DTO&amp;endDate=12%2F31%2F2017&amp;timePeriod=4&amp;numTradingDays=60" TargetMode="External"/><Relationship Id="rId5" Type="http://schemas.openxmlformats.org/officeDocument/2006/relationships/footnotes" Target="footnotes.xml"/><Relationship Id="rId15" Type="http://schemas.openxmlformats.org/officeDocument/2006/relationships/hyperlink" Target="https://www.portfoliovisualizer.com/asset-correlations?s=y&amp;symbols=UDOW%2C+DTO&amp;endDate=12%2F31%2F2017&amp;timePeriod=4&amp;numTradingDays=60" TargetMode="External"/><Relationship Id="rId23" Type="http://schemas.openxmlformats.org/officeDocument/2006/relationships/hyperlink" Target="https://www.portfoliovisualizer.com/asset-correlations?s=y&amp;symbols=KOLD%2C+DTO&amp;endDate=12%2F31%2F2017&amp;timePeriod=2&amp;numTradingDays=60" TargetMode="External"/><Relationship Id="rId10" Type="http://schemas.openxmlformats.org/officeDocument/2006/relationships/hyperlink" Target="https://www.portfoliovisualizer.com/asset-correlations?s=y&amp;symbols=ERX%2C+KOLD&amp;endDate=12%2F31%2F2017&amp;timePeriod=1&amp;numTradingDays=60" TargetMode="External"/><Relationship Id="rId19" Type="http://schemas.openxmlformats.org/officeDocument/2006/relationships/hyperlink" Target="https://www.portfoliovisualizer.com/asset-correlations?s=y&amp;symbols=UDOW%2C+ERX&amp;endDate=06%2F10%2F2018&amp;timePeriod=1&amp;numTradingDays=60" TargetMode="External"/><Relationship Id="rId4" Type="http://schemas.openxmlformats.org/officeDocument/2006/relationships/webSettings" Target="webSettings.xml"/><Relationship Id="rId9" Type="http://schemas.openxmlformats.org/officeDocument/2006/relationships/hyperlink" Target="https://www.portfoliovisualizer.com/asset-correlations?s=y&amp;symbols=DTO%2C+ERX&amp;endDate=05%2F31%2F2018&amp;timePeriod=4&amp;numTradingDays=60" TargetMode="External"/><Relationship Id="rId14" Type="http://schemas.openxmlformats.org/officeDocument/2006/relationships/hyperlink" Target="https://www.portfoliovisualizer.com/asset-correlations?s=y&amp;symbols=UDOW%2C+DTO&amp;endDate=12%2F31%2F2017&amp;timePeriod=2&amp;numTradingDays=60" TargetMode="External"/><Relationship Id="rId22" Type="http://schemas.openxmlformats.org/officeDocument/2006/relationships/hyperlink" Target="https://www.portfoliovisualizer.com/asset-correlations?s=y&amp;symbols=KOLD%2C+DTO&amp;endDate=12%2F31%2F2017&amp;timePeriod=1&amp;numTradingDays=6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1202</Words>
  <Characters>6858</Characters>
  <Application>Microsoft Office Word</Application>
  <DocSecurity>0</DocSecurity>
  <Lines>57</Lines>
  <Paragraphs>16</Paragraphs>
  <ScaleCrop>false</ScaleCrop>
  <Company/>
  <LinksUpToDate>false</LinksUpToDate>
  <CharactersWithSpaces>8044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Chen</dc:creator>
  <cp:keywords/>
  <dc:description/>
  <cp:lastModifiedBy>Albert Chen</cp:lastModifiedBy>
  <cp:revision>2</cp:revision>
  <dcterms:created xsi:type="dcterms:W3CDTF">2018-06-12T01:03:00Z</dcterms:created>
  <dcterms:modified xsi:type="dcterms:W3CDTF">2018-06-12T01:06:00Z</dcterms:modified>
</cp:coreProperties>
</file>