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2F" w:sz="4"/>
              <w:left w:val="single" w:color="1B6B2F" w:sz="4"/>
              <w:bottom w:val="single" w:color="1B6B2F" w:sz="4"/>
              <w:right w:val="single" w:color="1B6B2F" w:sz="4"/>
            </w:tcBorders>
            <w:shd w:fill="0D4A1F" w:val="clear"/>
            <w:tcMar>
              <w:top w:type="dxa" w:w="400"/>
              <w:left w:type="dxa" w:w="400"/>
              <w:bottom w:type="dxa" w:w="400"/>
              <w:right w:type="dxa" w:w="400"/>
            </w:tcMar>
          </w:tcPr>
          <w:p>
            <w:pPr>
              <w:spacing w:after="100" w:before="200"/>
              <w:jc w:val="center"/>
            </w:pPr>
            <w:r>
              <w:rPr>
                <w:rFonts w:ascii="Arial" w:cs="Arial" w:eastAsia="Arial" w:hAnsi="Arial"/>
                <w:sz w:val="80"/>
                <w:szCs w:val="80"/>
              </w:rPr>
              <w:t xml:space="preserve">🌴</w:t>
            </w:r>
          </w:p>
          <w:p>
            <w:pPr>
              <w:spacing w:after="100" w:before="100"/>
              <w:jc w:val="center"/>
            </w:pPr>
            <w:r>
              <w:rPr>
                <w:rFonts w:ascii="Arial" w:cs="Arial" w:eastAsia="Arial" w:hAnsi="Arial"/>
                <w:b/>
                <w:bCs/>
                <w:color w:val="F9A825"/>
                <w:sz w:val="56"/>
                <w:szCs w:val="56"/>
              </w:rPr>
              <w:t xml:space="preserve">AGROTECH PALM</w:t>
            </w:r>
          </w:p>
          <w:p>
            <w:pPr>
              <w:spacing w:after="200" w:before="60"/>
              <w:jc w:val="center"/>
            </w:pPr>
            <w:r>
              <w:rPr>
                <w:rFonts w:ascii="Arial" w:cs="Arial" w:eastAsia="Arial" w:hAnsi="Arial"/>
                <w:i/>
                <w:iCs/>
                <w:color w:val="FFFFFF"/>
                <w:sz w:val="32"/>
                <w:szCs w:val="32"/>
              </w:rPr>
              <w:t xml:space="preserve">Sistema Integral de Gestión Agrícola</w:t>
            </w:r>
          </w:p>
          <w:p>
            <w:pPr>
              <w:spacing w:after="80" w:before="60"/>
              <w:jc w:val="center"/>
            </w:pPr>
            <w:r>
              <w:rPr>
                <w:rFonts w:ascii="Arial" w:cs="Arial" w:eastAsia="Arial" w:hAnsi="Arial"/>
                <w:color w:val="F9A825"/>
                <w:sz w:val="20"/>
                <w:szCs w:val="20"/>
              </w:rPr>
              <w:t xml:space="preserve">━━━━━━━━━━━━━━━━━━━━━━━━━━━━━━━━━━━━━━━━━</w:t>
            </w:r>
          </w:p>
          <w:p>
            <w:pPr>
              <w:spacing w:after="80" w:before="80"/>
              <w:jc w:val="center"/>
            </w:pPr>
            <w:r>
              <w:rPr>
                <w:rFonts w:ascii="Arial" w:cs="Arial" w:eastAsia="Arial" w:hAnsi="Arial"/>
                <w:b/>
                <w:bCs/>
                <w:color w:val="FFFFFF"/>
                <w:sz w:val="28"/>
                <w:szCs w:val="28"/>
              </w:rPr>
              <w:t xml:space="preserve">PLAN DE DESARROLLO, CRONOGRAMA Y PRESUPUESTO</w:t>
            </w:r>
          </w:p>
          <w:p>
            <w:pPr>
              <w:spacing w:after="80" w:before="40"/>
              <w:jc w:val="center"/>
            </w:pPr>
            <w:r>
              <w:rPr>
                <w:rFonts w:ascii="Arial" w:cs="Arial" w:eastAsia="Arial" w:hAnsi="Arial"/>
                <w:color w:val="C8E6C9"/>
                <w:sz w:val="24"/>
                <w:szCs w:val="24"/>
              </w:rPr>
              <w:t xml:space="preserve">Cultivo de Palma de Aceite — Colombia y Centroamérica</w:t>
            </w:r>
          </w:p>
          <w:p>
            <w:pPr>
              <w:spacing w:after="80" w:before="60"/>
              <w:jc w:val="center"/>
            </w:pPr>
            <w:r>
              <w:rPr>
                <w:rFonts w:ascii="Arial" w:cs="Arial" w:eastAsia="Arial" w:hAnsi="Arial"/>
                <w:color w:val="F9A825"/>
                <w:sz w:val="20"/>
                <w:szCs w:val="20"/>
              </w:rPr>
              <w:t xml:space="preserve">━━━━━━━━━━━━━━━━━━━━━━━━━━━━━━━━━━━━━━━━━</w:t>
            </w:r>
          </w:p>
          <w:p>
            <w:pPr>
              <w:spacing w:after="80" w:before="80"/>
              <w:jc w:val="center"/>
            </w:pPr>
            <w:r>
              <w:rPr>
                <w:rFonts w:ascii="Arial" w:cs="Arial" w:eastAsia="Arial" w:hAnsi="Arial"/>
                <w:color w:val="C8E6C9"/>
                <w:sz w:val="22"/>
                <w:szCs w:val="22"/>
              </w:rPr>
              <w:t xml:space="preserve">32 Módulos  |  IoT &amp; Sensores  |  Cartografía SIG  |  NIIF</w:t>
            </w:r>
          </w:p>
          <w:p>
            <w:pPr>
              <w:spacing w:after="80" w:before="40"/>
              <w:jc w:val="center"/>
            </w:pPr>
            <w:r>
              <w:rPr>
                <w:rFonts w:ascii="Arial" w:cs="Arial" w:eastAsia="Arial" w:hAnsi="Arial"/>
                <w:color w:val="C8E6C9"/>
                <w:sz w:val="22"/>
                <w:szCs w:val="22"/>
              </w:rPr>
              <w:t xml:space="preserve">Seguimiento Vehicular  |  Red de Antenas Araña  |  IA Predictiva</w:t>
            </w:r>
          </w:p>
          <w:p>
            <w:pPr>
              <w:spacing w:after="60" w:before="60"/>
            </w:pPr>
            <w:r>
              <w:t xml:space="preserve"/>
            </w:r>
          </w:p>
          <w:p>
            <w:pPr>
              <w:jc w:val="center"/>
            </w:pPr>
            <w:r>
              <w:rPr>
                <w:rFonts w:ascii="Arial" w:cs="Arial" w:eastAsia="Arial" w:hAnsi="Arial"/>
                <w:color w:val="E8F5E9"/>
                <w:sz w:val="20"/>
                <w:szCs w:val="20"/>
              </w:rPr>
              <w:t xml:space="preserve">Versión 1.0  —  2025</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B6B2F" w:sz="4"/>
              <w:left w:val="single" w:color="1B6B2F" w:sz="4"/>
              <w:bottom w:val="single" w:color="1B6B2F" w:sz="4"/>
              <w:right w:val="single" w:color="1B6B2F" w:sz="4"/>
            </w:tcBorders>
            <w:shd w:fill="E8F5E9" w:val="clear"/>
            <w:tcMar>
              <w:top w:type="dxa" w:w="120"/>
              <w:left w:type="dxa" w:w="160"/>
              <w:bottom w:type="dxa" w:w="120"/>
              <w:right w:type="dxa" w:w="160"/>
            </w:tcMar>
          </w:tcPr>
          <w:p>
            <w:pPr>
              <w:jc w:val="center"/>
            </w:pPr>
            <w:r>
              <w:rPr>
                <w:rFonts w:ascii="Arial" w:cs="Arial" w:eastAsia="Arial" w:hAnsi="Arial"/>
                <w:b/>
                <w:bCs/>
                <w:color w:val="1B6B2F"/>
                <w:sz w:val="48"/>
                <w:szCs w:val="48"/>
              </w:rPr>
              <w:t xml:space="preserve">32</w:t>
            </w:r>
          </w:p>
          <w:p>
            <w:pPr>
              <w:jc w:val="center"/>
            </w:pPr>
            <w:r>
              <w:rPr>
                <w:rFonts w:ascii="Arial" w:cs="Arial" w:eastAsia="Arial" w:hAnsi="Arial"/>
                <w:b/>
                <w:bCs/>
                <w:color w:val="212121"/>
                <w:sz w:val="18"/>
                <w:szCs w:val="18"/>
              </w:rPr>
              <w:t xml:space="preserve">MÓDULOS</w:t>
            </w:r>
          </w:p>
          <w:p>
            <w:pPr>
              <w:jc w:val="center"/>
            </w:pPr>
            <w:r>
              <w:rPr>
                <w:rFonts w:ascii="Arial" w:cs="Arial" w:eastAsia="Arial" w:hAnsi="Arial"/>
                <w:color w:val="546E7A"/>
                <w:sz w:val="16"/>
                <w:szCs w:val="16"/>
              </w:rPr>
              <w:t xml:space="preserve">de Software</w:t>
            </w:r>
          </w:p>
        </w:tc>
        <w:tc>
          <w:tcPr>
            <w:tcW w:type="dxa" w:w="3360"/>
            <w:tcBorders>
              <w:top w:val="single" w:color="1B6B2F" w:sz="4"/>
              <w:left w:val="single" w:color="1B6B2F" w:sz="4"/>
              <w:bottom w:val="single" w:color="1B6B2F" w:sz="4"/>
              <w:right w:val="single" w:color="1B6B2F" w:sz="4"/>
            </w:tcBorders>
            <w:shd w:fill="FFF9C4" w:val="clear"/>
            <w:tcMar>
              <w:top w:type="dxa" w:w="120"/>
              <w:left w:type="dxa" w:w="160"/>
              <w:bottom w:type="dxa" w:w="120"/>
              <w:right w:type="dxa" w:w="160"/>
            </w:tcMar>
          </w:tcPr>
          <w:p>
            <w:pPr>
              <w:jc w:val="center"/>
            </w:pPr>
            <w:r>
              <w:rPr>
                <w:rFonts w:ascii="Arial" w:cs="Arial" w:eastAsia="Arial" w:hAnsi="Arial"/>
                <w:b/>
                <w:bCs/>
                <w:color w:val="B8860B"/>
                <w:sz w:val="48"/>
                <w:szCs w:val="48"/>
              </w:rPr>
              <w:t xml:space="preserve">24</w:t>
            </w:r>
          </w:p>
          <w:p>
            <w:pPr>
              <w:jc w:val="center"/>
            </w:pPr>
            <w:r>
              <w:rPr>
                <w:rFonts w:ascii="Arial" w:cs="Arial" w:eastAsia="Arial" w:hAnsi="Arial"/>
                <w:b/>
                <w:bCs/>
                <w:color w:val="212121"/>
                <w:sz w:val="18"/>
                <w:szCs w:val="18"/>
              </w:rPr>
              <w:t xml:space="preserve">MESES</w:t>
            </w:r>
          </w:p>
          <w:p>
            <w:pPr>
              <w:jc w:val="center"/>
            </w:pPr>
            <w:r>
              <w:rPr>
                <w:rFonts w:ascii="Arial" w:cs="Arial" w:eastAsia="Arial" w:hAnsi="Arial"/>
                <w:color w:val="546E7A"/>
                <w:sz w:val="16"/>
                <w:szCs w:val="16"/>
              </w:rPr>
              <w:t xml:space="preserve">de Desarrollo</w:t>
            </w:r>
          </w:p>
        </w:tc>
        <w:tc>
          <w:tcPr>
            <w:tcW w:type="dxa" w:w="3360"/>
            <w:tcBorders>
              <w:top w:val="single" w:color="1B6B2F" w:sz="4"/>
              <w:left w:val="single" w:color="1B6B2F" w:sz="4"/>
              <w:bottom w:val="single" w:color="1B6B2F" w:sz="4"/>
              <w:right w:val="single" w:color="1B6B2F" w:sz="4"/>
            </w:tcBorders>
            <w:shd w:fill="E3F2FD" w:val="clear"/>
            <w:tcMar>
              <w:top w:type="dxa" w:w="120"/>
              <w:left w:type="dxa" w:w="160"/>
              <w:bottom w:type="dxa" w:w="120"/>
              <w:right w:type="dxa" w:w="160"/>
            </w:tcMar>
          </w:tcPr>
          <w:p>
            <w:pPr>
              <w:jc w:val="center"/>
            </w:pPr>
            <w:r>
              <w:rPr>
                <w:rFonts w:ascii="Arial" w:cs="Arial" w:eastAsia="Arial" w:hAnsi="Arial"/>
                <w:b/>
                <w:bCs/>
                <w:color w:val="1565C0"/>
                <w:sz w:val="48"/>
                <w:szCs w:val="48"/>
              </w:rPr>
              <w:t xml:space="preserve">16+</w:t>
            </w:r>
          </w:p>
          <w:p>
            <w:pPr>
              <w:jc w:val="center"/>
            </w:pPr>
            <w:r>
              <w:rPr>
                <w:rFonts w:ascii="Arial" w:cs="Arial" w:eastAsia="Arial" w:hAnsi="Arial"/>
                <w:b/>
                <w:bCs/>
                <w:color w:val="212121"/>
                <w:sz w:val="18"/>
                <w:szCs w:val="18"/>
              </w:rPr>
              <w:t xml:space="preserve">EXPERTOS</w:t>
            </w:r>
          </w:p>
          <w:p>
            <w:pPr>
              <w:jc w:val="center"/>
            </w:pPr>
            <w:r>
              <w:rPr>
                <w:rFonts w:ascii="Arial" w:cs="Arial" w:eastAsia="Arial" w:hAnsi="Arial"/>
                <w:color w:val="546E7A"/>
                <w:sz w:val="16"/>
                <w:szCs w:val="16"/>
              </w:rPr>
              <w:t xml:space="preserve">en el Equipo</w:t>
            </w:r>
          </w:p>
        </w:tc>
      </w:tr>
    </w:tbl>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1. RESUMEN EJECUTIVO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VISIÓN DEL PROYECTO</w:t>
            </w:r>
          </w:p>
          <w:p>
            <w:pPr>
              <w:spacing w:after="40" w:before="40"/>
            </w:pPr>
            <w:r>
              <w:rPr>
                <w:rFonts w:ascii="Arial" w:cs="Arial" w:eastAsia="Arial" w:hAnsi="Arial"/>
                <w:color w:val="212121"/>
                <w:sz w:val="19"/>
                <w:szCs w:val="19"/>
              </w:rPr>
              <w:t xml:space="preserve">✦ Desarrollar el software agrícola más completo y tecnológico de Colombia y Centroamérica.</w:t>
            </w:r>
          </w:p>
          <w:p>
            <w:pPr>
              <w:spacing w:after="40" w:before="40"/>
            </w:pPr>
            <w:r>
              <w:rPr>
                <w:rFonts w:ascii="Arial" w:cs="Arial" w:eastAsia="Arial" w:hAnsi="Arial"/>
                <w:color w:val="212121"/>
                <w:sz w:val="19"/>
                <w:szCs w:val="19"/>
              </w:rPr>
              <w:t xml:space="preserve">✦ Plataforma 100% en la nube, accesible desde cualquier dispositivo (web, móvil, tablet, PC).</w:t>
            </w:r>
          </w:p>
          <w:p>
            <w:pPr>
              <w:spacing w:after="40" w:before="40"/>
            </w:pPr>
            <w:r>
              <w:rPr>
                <w:rFonts w:ascii="Arial" w:cs="Arial" w:eastAsia="Arial" w:hAnsi="Arial"/>
                <w:color w:val="212121"/>
                <w:sz w:val="19"/>
                <w:szCs w:val="19"/>
              </w:rPr>
              <w:t xml:space="preserve">✦ Integración total de IoT, sensores, cámaras, GPS, cartografía SIG y contabilidad NIIF.</w:t>
            </w:r>
          </w:p>
          <w:p>
            <w:pPr>
              <w:spacing w:after="40" w:before="40"/>
            </w:pPr>
            <w:r>
              <w:rPr>
                <w:rFonts w:ascii="Arial" w:cs="Arial" w:eastAsia="Arial" w:hAnsi="Arial"/>
                <w:color w:val="212121"/>
                <w:sz w:val="19"/>
                <w:szCs w:val="19"/>
              </w:rPr>
              <w:t xml:space="preserve">✦ Primer sistema agrícola colombiano con red de conectividad tipo 'antena araña' para zonas rurales.</w:t>
            </w:r>
          </w:p>
          <w:p>
            <w:pPr>
              <w:spacing w:after="40" w:before="40"/>
            </w:pPr>
            <w:r>
              <w:rPr>
                <w:rFonts w:ascii="Arial" w:cs="Arial" w:eastAsia="Arial" w:hAnsi="Arial"/>
                <w:color w:val="212121"/>
                <w:sz w:val="19"/>
                <w:szCs w:val="19"/>
              </w:rPr>
              <w:t xml:space="preserve">✦ Automatización completa del ciclo productivo de palma de aceite y cultivos en expansión.</w:t>
            </w:r>
          </w:p>
        </w:tc>
      </w:tr>
    </w:tbl>
    <w:p>
      <w:pPr>
        <w:spacing w:after="60" w:before="60"/>
      </w:pPr>
      <w:r>
        <w:t xml:space="preserve"/>
      </w:r>
    </w:p>
    <w:p>
      <w:pPr>
        <w:spacing w:after="80" w:before="80"/>
        <w:jc w:val="both"/>
      </w:pPr>
      <w:r>
        <w:rPr>
          <w:rFonts w:ascii="Arial" w:cs="Arial" w:eastAsia="Arial" w:hAnsi="Arial"/>
          <w:color w:val="212121"/>
          <w:sz w:val="20"/>
          <w:szCs w:val="20"/>
        </w:rPr>
        <w:t xml:space="preserve">AGROTECH PALM es una plataforma SaaS (Software como Servicio) de gestión agrícola integral diseñada específicamente para las condiciones del agro colombiano y centroamericano. El sistema parte de una hacienda de cultivo de palma de aceite como piloto tecnológico, para luego expandirse como el estándar de gestión para cualquier tipo de cultivo en la región.</w:t>
      </w:r>
    </w:p>
    <w:p>
      <w:pPr>
        <w:spacing w:after="60" w:before="60"/>
      </w:pPr>
      <w:r>
        <w:t xml:space="preserve"/>
      </w:r>
    </w:p>
    <w:p>
      <w:pPr>
        <w:spacing w:after="80" w:before="80"/>
        <w:jc w:val="both"/>
      </w:pPr>
      <w:r>
        <w:rPr>
          <w:rFonts w:ascii="Arial" w:cs="Arial" w:eastAsia="Arial" w:hAnsi="Arial"/>
          <w:color w:val="212121"/>
          <w:sz w:val="20"/>
          <w:szCs w:val="20"/>
        </w:rPr>
        <w:t xml:space="preserve">El proyecto incorpora 32 módulos de software organizados en 12 fases de desarrollo, cubriendo desde la autenticación de usuarios hasta la contabilidad agrícola con estándares internacionales NIIF (IFRS). Se complementa con infraestructura física de IoT (sensores de lluvia, humedad, suelo, temperatura), cámaras de vigilancia IP, seguimiento GPS vehicular y de empleados, y una red de antenas de malla (tipo araña) para garantizar conectividad en toda la hacienda.</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2600"/>
      </w:tblGrid>
      <w:tr>
        <w:tc>
          <w:tcPr>
            <w:tcW w:type="dxa" w:w="3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45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CANTIDAD</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de Software</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funcionales cubriendo todo el ciclo agrícola</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32 módulos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Fases de Desarrollo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Etapas de entrega incremental con valor funcional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12 fases</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Duración Total</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Tiempo de desarrollo, pruebas y despliegue</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24 meses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Equipo de Desarrollo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Profesionales especializados en el proyecto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16-18 personas</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Inversión en Software</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Desarrollo completo de la plataforma</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$480,000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Infraestructura IoT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Sensores, cámaras, antenas, GPS en hacienda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$85,000</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Infraestructura Cloud</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Servidores, CDN, seguridad (2 años)</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$48,000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INVERSIÓN TOTAL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Desarrollo + Hardware + Infraestructura + Operación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$613,000</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2. DESCRIPCIÓN Y ALCANCE DEL PROYECTO</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2.1 Objetivo General</w:t>
      </w:r>
    </w:p>
    <w:p>
      <w:pPr>
        <w:spacing w:after="80" w:before="80"/>
        <w:jc w:val="both"/>
      </w:pPr>
      <w:r>
        <w:rPr>
          <w:rFonts w:ascii="Arial" w:cs="Arial" w:eastAsia="Arial" w:hAnsi="Arial"/>
          <w:color w:val="212121"/>
          <w:sz w:val="20"/>
          <w:szCs w:val="20"/>
        </w:rPr>
        <w:t xml:space="preserve">Construir la plataforma de gestión agrícola más completa de Colombia y Centroamérica, que permita al propietario de la hacienda y su equipo controlar en tiempo real todos los aspectos del cultivo de palma de aceite: producción, costos, ingresos, egresos, logística, calidad, IoT, trazabilidad y contabilidad NIIF, desde cualquier dispositivo y en cualquier punto de la hacienda gracias a la red de antenas.</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2.2 Objetivos Específicos</w:t>
      </w:r>
    </w:p>
    <w:p>
      <w:pPr>
        <w:pStyle w:val="ListParagraph"/>
        <w:numPr>
          <w:ilvl w:val="0"/>
          <w:numId w:val="2"/>
        </w:numPr>
        <w:spacing w:after="40" w:before="40"/>
      </w:pPr>
      <w:r>
        <w:rPr>
          <w:rFonts w:ascii="Arial" w:cs="Arial" w:eastAsia="Arial" w:hAnsi="Arial"/>
          <w:color w:val="212121"/>
          <w:sz w:val="20"/>
          <w:szCs w:val="20"/>
        </w:rPr>
        <w:t xml:space="preserve">Digitalizar y centralizar 100% de las operaciones agrícolas de la hacienda.</w:t>
      </w:r>
    </w:p>
    <w:p>
      <w:pPr>
        <w:pStyle w:val="ListParagraph"/>
        <w:numPr>
          <w:ilvl w:val="0"/>
          <w:numId w:val="2"/>
        </w:numPr>
        <w:spacing w:after="40" w:before="40"/>
      </w:pPr>
      <w:r>
        <w:rPr>
          <w:rFonts w:ascii="Arial" w:cs="Arial" w:eastAsia="Arial" w:hAnsi="Arial"/>
          <w:color w:val="212121"/>
          <w:sz w:val="20"/>
          <w:szCs w:val="20"/>
        </w:rPr>
        <w:t xml:space="preserve">Garantizar conectividad en toda la hacienda mediante red de antenas de malla (araña).</w:t>
      </w:r>
    </w:p>
    <w:p>
      <w:pPr>
        <w:pStyle w:val="ListParagraph"/>
        <w:numPr>
          <w:ilvl w:val="0"/>
          <w:numId w:val="2"/>
        </w:numPr>
        <w:spacing w:after="40" w:before="40"/>
      </w:pPr>
      <w:r>
        <w:rPr>
          <w:rFonts w:ascii="Arial" w:cs="Arial" w:eastAsia="Arial" w:hAnsi="Arial"/>
          <w:color w:val="212121"/>
          <w:sz w:val="20"/>
          <w:szCs w:val="20"/>
        </w:rPr>
        <w:t xml:space="preserve">Integrar sensores IoT para monitoreo autónomo de clima, suelo, riego y ambiente.</w:t>
      </w:r>
    </w:p>
    <w:p>
      <w:pPr>
        <w:pStyle w:val="ListParagraph"/>
        <w:numPr>
          <w:ilvl w:val="0"/>
          <w:numId w:val="2"/>
        </w:numPr>
        <w:spacing w:after="40" w:before="40"/>
      </w:pPr>
      <w:r>
        <w:rPr>
          <w:rFonts w:ascii="Arial" w:cs="Arial" w:eastAsia="Arial" w:hAnsi="Arial"/>
          <w:color w:val="212121"/>
          <w:sz w:val="20"/>
          <w:szCs w:val="20"/>
        </w:rPr>
        <w:t xml:space="preserve">Implementar cartografía SIG con visualización de lotes, cultivos e incidencias en tiempo real.</w:t>
      </w:r>
    </w:p>
    <w:p>
      <w:pPr>
        <w:pStyle w:val="ListParagraph"/>
        <w:numPr>
          <w:ilvl w:val="0"/>
          <w:numId w:val="2"/>
        </w:numPr>
        <w:spacing w:after="40" w:before="40"/>
      </w:pPr>
      <w:r>
        <w:rPr>
          <w:rFonts w:ascii="Arial" w:cs="Arial" w:eastAsia="Arial" w:hAnsi="Arial"/>
          <w:color w:val="212121"/>
          <w:sz w:val="20"/>
          <w:szCs w:val="20"/>
        </w:rPr>
        <w:t xml:space="preserve">Controlar y rastrear vehículos, maquinaria y empleados con georreferenciación.</w:t>
      </w:r>
    </w:p>
    <w:p>
      <w:pPr>
        <w:pStyle w:val="ListParagraph"/>
        <w:numPr>
          <w:ilvl w:val="0"/>
          <w:numId w:val="2"/>
        </w:numPr>
        <w:spacing w:after="40" w:before="40"/>
      </w:pPr>
      <w:r>
        <w:rPr>
          <w:rFonts w:ascii="Arial" w:cs="Arial" w:eastAsia="Arial" w:hAnsi="Arial"/>
          <w:color w:val="212121"/>
          <w:sz w:val="20"/>
          <w:szCs w:val="20"/>
        </w:rPr>
        <w:t xml:space="preserve">Cumplir con normativa ICA, DIAN (factura electrónica) y estándares de certificación GlobalGAP.</w:t>
      </w:r>
    </w:p>
    <w:p>
      <w:pPr>
        <w:pStyle w:val="ListParagraph"/>
        <w:numPr>
          <w:ilvl w:val="0"/>
          <w:numId w:val="2"/>
        </w:numPr>
        <w:spacing w:after="40" w:before="40"/>
      </w:pPr>
      <w:r>
        <w:rPr>
          <w:rFonts w:ascii="Arial" w:cs="Arial" w:eastAsia="Arial" w:hAnsi="Arial"/>
          <w:color w:val="212121"/>
          <w:sz w:val="20"/>
          <w:szCs w:val="20"/>
        </w:rPr>
        <w:t xml:space="preserve">Implementar contabilidad agrícola completa con NIIF/IFRS.</w:t>
      </w:r>
    </w:p>
    <w:p>
      <w:pPr>
        <w:pStyle w:val="ListParagraph"/>
        <w:numPr>
          <w:ilvl w:val="0"/>
          <w:numId w:val="2"/>
        </w:numPr>
        <w:spacing w:after="40" w:before="40"/>
      </w:pPr>
      <w:r>
        <w:rPr>
          <w:rFonts w:ascii="Arial" w:cs="Arial" w:eastAsia="Arial" w:hAnsi="Arial"/>
          <w:color w:val="212121"/>
          <w:sz w:val="20"/>
          <w:szCs w:val="20"/>
        </w:rPr>
        <w:t xml:space="preserve">Posicionar el software como producto SaaS para comercialización en Colombia, Centroamérica y otros países.</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2.3 Principios de Diseño Tecnológico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PRINCIPIO</w:t>
            </w:r>
          </w:p>
        </w:tc>
        <w:tc>
          <w:tcPr>
            <w:tcW w:type="dxa" w:w="728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Cloud-First</w:t>
            </w:r>
          </w:p>
        </w:tc>
        <w:tc>
          <w:tcPr>
            <w:tcW w:type="dxa" w:w="7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en la nube — sin instalaciones en servidores locales de la hacienda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Offline-Ready</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Las apps móviles funcionan sin internet y sincronizan al reconectarse</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Mobile-First</w:t>
            </w:r>
          </w:p>
        </w:tc>
        <w:tc>
          <w:tcPr>
            <w:tcW w:type="dxa" w:w="7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Diseñado primero para celular y tablet, compatible con PC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API-First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Todas las funciones expuestas como API REST para integraciones futuras</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IoT-Native</w:t>
            </w:r>
          </w:p>
        </w:tc>
        <w:tc>
          <w:tcPr>
            <w:tcW w:type="dxa" w:w="7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Integración nativa con sensores, cámaras y dispositivos físicos desde el inicio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NIIF-Compliant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Contabilidad diseñada bajo estándares internacionales NIIF desde el núcleo</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Multi-Finca</w:t>
            </w:r>
          </w:p>
        </w:tc>
        <w:tc>
          <w:tcPr>
            <w:tcW w:type="dxa" w:w="72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Soporte nativo para múltiples haciendas y múltiples cultivos por tenant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Seguridad Bancaria</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Cifrado AES-256, JWT, HTTPS, auditoría de accesos en tiempo real</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3. ARQUITECTURA DE MÓDULOS — 32 MÓDULOS</w:t>
      </w:r>
    </w:p>
    <w:p>
      <w:pPr>
        <w:spacing w:after="60" w:before="60"/>
      </w:pPr>
      <w:r>
        <w:t xml:space="preserve"/>
      </w:r>
    </w:p>
    <w:p>
      <w:pPr>
        <w:spacing w:after="80" w:before="80"/>
        <w:jc w:val="both"/>
      </w:pPr>
      <w:r>
        <w:rPr>
          <w:rFonts w:ascii="Arial" w:cs="Arial" w:eastAsia="Arial" w:hAnsi="Arial"/>
          <w:color w:val="212121"/>
          <w:sz w:val="20"/>
          <w:szCs w:val="20"/>
        </w:rPr>
        <w:t xml:space="preserve">La plataforma AGROTECH PALM se organiza en 32 módulos distribuidos en 8 grupos funcionales. Los primeros 26 módulos corresponden al núcleo productivo-agronómico-financiero ya documentado. Los módulos 27-32 son los nuevos componentes tecnológicos avanzados incorporados a la propuesta.</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1 — BASE DEL SISTEMA (Módulos 1-3)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01</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Autenticación y Usuarios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Login JWT, 7 roles, multi-finca, invitaciones, seguridad bcrypt, auditoría de accesos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Fincas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Registro de haciendas, coordenadas GPS, selector global, dashboard por finca</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03</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Lotes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División en unidades productivas, estados, historial, ficha técnica, polígono SIG</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2 — NÚCLEO PRODUCTIVO (Módulos 4-11)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04</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Cultivos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Catálogo agronómico, registro de siembra, estadios BBCH, seguimiento fenológico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Labores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Planificación, asignación, ejecución, costos reales, calendario, alertas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06</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Insumos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Aplicaciones fitosanitarias, carencias, trazabilidad ICA, descuento automático inventario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Cosechas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Producción por lote, rendimiento kg/ha, código de trazabilidad QR, destino</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08</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Monitoreo de Cultivos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Visitas campo, plagas, enfermedades, estrés fisiológico, trampas, cuaderno digital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09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Clima y Meteorología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Open-Meteo API, estación propia, DGA, balance hídrico, alertas climáticas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Gestión de Riego</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Programación, registro ejecución, balance hídrico, eficiencia, costos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Rotación de Cultivos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Historial por lote, planificador próximo ciclo, reglas agronómicas, alertas monocultivo</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3 — RECURSOS Y OPERACIONES (Módulos 12-16)</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12</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Recurso Humano</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Trabajadores, asistencia, jornadas, liquidación automática, vinculación a finanzas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Maquinaria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Registro equipos, uso por labor, mantenimiento preventivo, disponibilidad, alertas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14</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Inventario</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Stock en tiempo real, entradas/salidas, alertas mínimos, vencimientos, valorización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Calidad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Análisis de suelo, clasificación cosecha, certificaciones GlobalGAP, ICA, orgánico</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16</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Semillero/Vivero</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Germinación, seguimiento plántulas, trasplante, trazabilidad origen-lote</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4 — TRAZABILIDAD Y CUMPLIMIENTO (Módulo 17)</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17</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Cuaderno Fitosanitario</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Registro oficial ICA, flujo automático desde insumos, QR trazabilidad, exportación PDF legal</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5 — FINANZAS Y COMERCIAL (Módulos 18-21)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Finanzas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Costos automáticos, ingresos, rentabilidad por lote, flujo de caja, punto equilibrio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Facturación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Clientes, facturas venta/compra, DIAN electrónica, cartera, reportes tributarios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Logística</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Despachos, transporte, seguimiento, remisiones PDF, devoluciones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Marketplace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Publicación excedentes, compradores, precios SIPSA, negociación digital</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6 — ANALÍTICA E INTELIGENCIA (Módulos 22-24)</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22</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Reportes y Analítica</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Reportes producción, financieros, agronómicos, recursos — PDF y Excel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IA Insights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Recomendación siembra, predicción rendimiento, alerta predictiva plagas, optimización fertilización</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24</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Auditoría</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Log automático de todas las acciones, consulta con filtros, exportación, firma digital</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GRUPO 7 — CONFIGURACIÓN Y UX (Módulos 25-26)</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9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6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FUNCIONALIDAD CLAVE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25</w:t>
            </w:r>
          </w:p>
        </w:tc>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Ajustes</w:t>
            </w:r>
          </w:p>
        </w:tc>
        <w:tc>
          <w:tcPr>
            <w:tcW w:type="dxa" w:w="6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Configuración finca, unidades, catálogos personalizables, notificaciones, integraciones DIAN/ICA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Dashboard Central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KPIs en tiempo real, estado lotes, alertas consolidadas, clima, acceso rápido</w:t>
            </w:r>
          </w:p>
        </w:tc>
      </w:tr>
    </w:tbl>
    <w:p>
      <w:pPr>
        <w:spacing w:after="60" w:before="60"/>
      </w:pPr>
      <w:r>
        <w:t xml:space="preserve"/>
      </w:r>
    </w:p>
    <w:p>
      <w:r>
        <w:br w:type="page"/>
      </w:r>
    </w:p>
    <w:p>
      <w:pPr>
        <w:pStyle w:val="Heading2"/>
        <w:shd w:fill="1B6B2F" w:val="clear"/>
        <w:spacing w:after="160" w:before="300"/>
        <w:ind w:left="140"/>
      </w:pPr>
      <w:r>
        <w:rPr>
          <w:rFonts w:ascii="Arial" w:cs="Arial" w:eastAsia="Arial" w:hAnsi="Arial"/>
          <w:b/>
          <w:bCs/>
          <w:color w:val="FFFFFF"/>
          <w:sz w:val="26"/>
          <w:szCs w:val="26"/>
        </w:rPr>
        <w:t xml:space="preserve">GRUPO 8 — MÓDULOS TECNOLÓGICOS AVANZADOS (Módulos 27-32) — NUEVOS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FFF9C4"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 MÓDULOS DIFERENCIADORES — POSICIONAMIENTO LÍDER EN COLOMBIA Y CENTROAMÉRICA</w:t>
            </w:r>
          </w:p>
          <w:p>
            <w:pPr>
              <w:spacing w:after="40" w:before="40"/>
            </w:pPr>
            <w:r>
              <w:rPr>
                <w:rFonts w:ascii="Arial" w:cs="Arial" w:eastAsia="Arial" w:hAnsi="Arial"/>
                <w:color w:val="212121"/>
                <w:sz w:val="19"/>
                <w:szCs w:val="19"/>
              </w:rPr>
              <w:t xml:space="preserve">✦ Estos 6 módulos nuevos convierten a AGROTECH PALM en el software agrícola más avanzado tecnológicamente de la región.</w:t>
            </w:r>
          </w:p>
          <w:p>
            <w:pPr>
              <w:spacing w:after="40" w:before="40"/>
            </w:pPr>
            <w:r>
              <w:rPr>
                <w:rFonts w:ascii="Arial" w:cs="Arial" w:eastAsia="Arial" w:hAnsi="Arial"/>
                <w:color w:val="212121"/>
                <w:sz w:val="19"/>
                <w:szCs w:val="19"/>
              </w:rPr>
              <w:t xml:space="preserve">✦ Ningún competidor colombiano actual integra todos estos componentes en una sola plataforma.</w:t>
            </w:r>
          </w:p>
          <w:p>
            <w:pPr>
              <w:spacing w:after="40" w:before="40"/>
            </w:pPr>
            <w:r>
              <w:rPr>
                <w:rFonts w:ascii="Arial" w:cs="Arial" w:eastAsia="Arial" w:hAnsi="Arial"/>
                <w:color w:val="212121"/>
                <w:sz w:val="19"/>
                <w:szCs w:val="19"/>
              </w:rPr>
              <w:t xml:space="preserve">✦ Representan la ventaja competitiva sostenible del producto en el mercado.</w:t>
            </w:r>
          </w:p>
        </w:tc>
      </w:tr>
    </w:tbl>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27 — Cartografía SIG y Visor Geoespacial</w:t>
      </w:r>
    </w:p>
    <w:p>
      <w:pPr>
        <w:spacing w:after="80" w:before="80"/>
        <w:jc w:val="both"/>
      </w:pPr>
      <w:r>
        <w:rPr>
          <w:rFonts w:ascii="Arial" w:cs="Arial" w:eastAsia="Arial" w:hAnsi="Arial"/>
          <w:color w:val="212121"/>
          <w:sz w:val="20"/>
          <w:szCs w:val="20"/>
        </w:rPr>
        <w:t xml:space="preserve">Plataforma de mapas interactivos para visualizar en tiempo real toda la información georreferenciada de la hacienda.</w:t>
      </w:r>
    </w:p>
    <w:p>
      <w:pPr>
        <w:pStyle w:val="ListParagraph"/>
        <w:numPr>
          <w:ilvl w:val="0"/>
          <w:numId w:val="2"/>
        </w:numPr>
        <w:spacing w:after="40" w:before="40"/>
      </w:pPr>
      <w:r>
        <w:rPr>
          <w:rFonts w:ascii="Arial" w:cs="Arial" w:eastAsia="Arial" w:hAnsi="Arial"/>
          <w:color w:val="212121"/>
          <w:sz w:val="20"/>
          <w:szCs w:val="20"/>
        </w:rPr>
        <w:t xml:space="preserve">Visor de mapas con capas: Google Satellite, OpenStreetMap, imágenes drone, NDVI</w:t>
      </w:r>
    </w:p>
    <w:p>
      <w:pPr>
        <w:pStyle w:val="ListParagraph"/>
        <w:numPr>
          <w:ilvl w:val="0"/>
          <w:numId w:val="2"/>
        </w:numPr>
        <w:spacing w:after="40" w:before="40"/>
      </w:pPr>
      <w:r>
        <w:rPr>
          <w:rFonts w:ascii="Arial" w:cs="Arial" w:eastAsia="Arial" w:hAnsi="Arial"/>
          <w:color w:val="212121"/>
          <w:sz w:val="20"/>
          <w:szCs w:val="20"/>
        </w:rPr>
        <w:t xml:space="preserve">Polígonos de lotes dibujados y editables con área calculada automáticamente</w:t>
      </w:r>
    </w:p>
    <w:p>
      <w:pPr>
        <w:pStyle w:val="ListParagraph"/>
        <w:numPr>
          <w:ilvl w:val="0"/>
          <w:numId w:val="2"/>
        </w:numPr>
        <w:spacing w:after="40" w:before="40"/>
      </w:pPr>
      <w:r>
        <w:rPr>
          <w:rFonts w:ascii="Arial" w:cs="Arial" w:eastAsia="Arial" w:hAnsi="Arial"/>
          <w:color w:val="212121"/>
          <w:sz w:val="20"/>
          <w:szCs w:val="20"/>
        </w:rPr>
        <w:t xml:space="preserve">Capas temáticas: estado de lotes (colores por cultivo/estado), incidencias fitosanitarias, puntos de monitoreo</w:t>
      </w:r>
    </w:p>
    <w:p>
      <w:pPr>
        <w:pStyle w:val="ListParagraph"/>
        <w:numPr>
          <w:ilvl w:val="0"/>
          <w:numId w:val="2"/>
        </w:numPr>
        <w:spacing w:after="40" w:before="40"/>
      </w:pPr>
      <w:r>
        <w:rPr>
          <w:rFonts w:ascii="Arial" w:cs="Arial" w:eastAsia="Arial" w:hAnsi="Arial"/>
          <w:color w:val="212121"/>
          <w:sz w:val="20"/>
          <w:szCs w:val="20"/>
        </w:rPr>
        <w:t xml:space="preserve">Visualización de rutas de vehículos y posición de empleados en tiempo real</w:t>
      </w:r>
    </w:p>
    <w:p>
      <w:pPr>
        <w:pStyle w:val="ListParagraph"/>
        <w:numPr>
          <w:ilvl w:val="0"/>
          <w:numId w:val="2"/>
        </w:numPr>
        <w:spacing w:after="40" w:before="40"/>
      </w:pPr>
      <w:r>
        <w:rPr>
          <w:rFonts w:ascii="Arial" w:cs="Arial" w:eastAsia="Arial" w:hAnsi="Arial"/>
          <w:color w:val="212121"/>
          <w:sz w:val="20"/>
          <w:szCs w:val="20"/>
        </w:rPr>
        <w:t xml:space="preserve">Carga de imágenes georeferenciadas desde campo (fotos con coordenadas GPS)</w:t>
      </w:r>
    </w:p>
    <w:p>
      <w:pPr>
        <w:pStyle w:val="ListParagraph"/>
        <w:numPr>
          <w:ilvl w:val="0"/>
          <w:numId w:val="2"/>
        </w:numPr>
        <w:spacing w:after="40" w:before="40"/>
      </w:pPr>
      <w:r>
        <w:rPr>
          <w:rFonts w:ascii="Arial" w:cs="Arial" w:eastAsia="Arial" w:hAnsi="Arial"/>
          <w:color w:val="212121"/>
          <w:sz w:val="20"/>
          <w:szCs w:val="20"/>
        </w:rPr>
        <w:t xml:space="preserve">Integración con drones: carga de ortomosaicos y mapas NDVI para análisis de vigor del cultivo</w:t>
      </w:r>
    </w:p>
    <w:p>
      <w:pPr>
        <w:pStyle w:val="ListParagraph"/>
        <w:numPr>
          <w:ilvl w:val="0"/>
          <w:numId w:val="2"/>
        </w:numPr>
        <w:spacing w:after="40" w:before="40"/>
      </w:pPr>
      <w:r>
        <w:rPr>
          <w:rFonts w:ascii="Arial" w:cs="Arial" w:eastAsia="Arial" w:hAnsi="Arial"/>
          <w:color w:val="212121"/>
          <w:sz w:val="20"/>
          <w:szCs w:val="20"/>
        </w:rPr>
        <w:t xml:space="preserve">Exportación de mapas como PNG/PDF para informes técnicos</w:t>
      </w:r>
    </w:p>
    <w:p>
      <w:pPr>
        <w:pStyle w:val="ListParagraph"/>
        <w:numPr>
          <w:ilvl w:val="0"/>
          <w:numId w:val="2"/>
        </w:numPr>
        <w:spacing w:after="40" w:before="40"/>
      </w:pPr>
      <w:r>
        <w:rPr>
          <w:rFonts w:ascii="Arial" w:cs="Arial" w:eastAsia="Arial" w:hAnsi="Arial"/>
          <w:color w:val="212121"/>
          <w:sz w:val="20"/>
          <w:szCs w:val="20"/>
        </w:rPr>
        <w:t xml:space="preserve">Compatible con estándares OGC: WMS, WFS, GeoJSON, KML</w:t>
      </w:r>
    </w:p>
    <w:p>
      <w:pPr>
        <w:pStyle w:val="ListParagraph"/>
        <w:numPr>
          <w:ilvl w:val="0"/>
          <w:numId w:val="2"/>
        </w:numPr>
        <w:spacing w:after="40" w:before="40"/>
      </w:pPr>
      <w:r>
        <w:rPr>
          <w:rFonts w:ascii="Arial" w:cs="Arial" w:eastAsia="Arial" w:hAnsi="Arial"/>
          <w:color w:val="212121"/>
          <w:sz w:val="20"/>
          <w:szCs w:val="20"/>
        </w:rPr>
        <w:t xml:space="preserve">Integración con IGAC (Instituto Geográfico Agustín Codazzi) para cartografía oficial Colombia</w:t>
      </w:r>
    </w:p>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28 — IoT: Sensores, Estaciones y Automatización</w:t>
      </w:r>
    </w:p>
    <w:p>
      <w:pPr>
        <w:spacing w:after="80" w:before="80"/>
        <w:jc w:val="both"/>
      </w:pPr>
      <w:r>
        <w:rPr>
          <w:rFonts w:ascii="Arial" w:cs="Arial" w:eastAsia="Arial" w:hAnsi="Arial"/>
          <w:color w:val="212121"/>
          <w:sz w:val="20"/>
          <w:szCs w:val="20"/>
        </w:rPr>
        <w:t xml:space="preserve">Integración con dispositivos físicos IoT para monitoreo autónomo y automatización de la hacienda.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760"/>
      </w:tblGrid>
      <w:tr>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TIPO DE SENSOR</w:t>
            </w:r>
          </w:p>
        </w:tc>
        <w:tc>
          <w:tcPr>
            <w:tcW w:type="dxa" w:w="3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DATO MEDIDO</w:t>
            </w:r>
          </w:p>
        </w:tc>
        <w:tc>
          <w:tcPr>
            <w:tcW w:type="dxa" w:w="4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USO EN SISTEMA</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Pluviómetro (lluvia)</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mm precipitación acumulada en tiempo real</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Actualiza módulo clima, activa alertas, ajusta balance hídrico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 suelo (humedad)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humedad volumétrica a 20cm y 40cm profundidad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Activa/desactiva riego automáticamente, alerta déficit hídrico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Sensor temperatura suelo</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 temperatura rizosférica</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Correlación con fenología y plagas del suelo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 ambiental (DHT22)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Temperatura y humedad relativa del aire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Complementa datos climáticos, alertas fitosanitarias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Piranómetro</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Radiación solar (W/m²)</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Cálculo evapotranspiración (ET₀), balance energético cultivo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Anemómetro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Velocidad y dirección del viento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Alertas de no aplicación agroquímicos, riesgo de volcamiento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Sensor nivel agua</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cm nivel en canales y reservorios</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Gestión del recurso hídrico, alertas sequía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Caudalímetro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Litros por segundo en sistemas de riego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Medición exacta agua aplicada sin estimación manual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Sensor CO₂</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ppm CO₂ en invernaderos y semilleros</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Control ambiental en viveros y poscosecha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Electroválvulas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Apertura/cierre remoto sistemas riego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Automatización total del riego desde la app</w:t>
            </w:r>
          </w:p>
        </w:tc>
      </w:tr>
    </w:tbl>
    <w:p>
      <w:pPr>
        <w:spacing w:after="60" w:before="60"/>
      </w:pPr>
      <w:r>
        <w:t xml:space="preserve"/>
      </w:r>
    </w:p>
    <w:p>
      <w:pPr>
        <w:pStyle w:val="ListParagraph"/>
        <w:numPr>
          <w:ilvl w:val="0"/>
          <w:numId w:val="2"/>
        </w:numPr>
        <w:spacing w:after="40" w:before="40"/>
      </w:pPr>
      <w:r>
        <w:rPr>
          <w:rFonts w:ascii="Arial" w:cs="Arial" w:eastAsia="Arial" w:hAnsi="Arial"/>
          <w:color w:val="212121"/>
          <w:sz w:val="20"/>
          <w:szCs w:val="20"/>
        </w:rPr>
        <w:t xml:space="preserve">Panel de control IoT en tiempo real: lecturas de todos los sensores en una sola pantalla</w:t>
      </w:r>
    </w:p>
    <w:p>
      <w:pPr>
        <w:pStyle w:val="ListParagraph"/>
        <w:numPr>
          <w:ilvl w:val="0"/>
          <w:numId w:val="2"/>
        </w:numPr>
        <w:spacing w:after="40" w:before="40"/>
      </w:pPr>
      <w:r>
        <w:rPr>
          <w:rFonts w:ascii="Arial" w:cs="Arial" w:eastAsia="Arial" w:hAnsi="Arial"/>
          <w:color w:val="212121"/>
          <w:sz w:val="20"/>
          <w:szCs w:val="20"/>
        </w:rPr>
        <w:t xml:space="preserve">Historial de datos IoT almacenado indefinidamente con gráficas de tendencias</w:t>
      </w:r>
    </w:p>
    <w:p>
      <w:pPr>
        <w:pStyle w:val="ListParagraph"/>
        <w:numPr>
          <w:ilvl w:val="0"/>
          <w:numId w:val="2"/>
        </w:numPr>
        <w:spacing w:after="40" w:before="40"/>
      </w:pPr>
      <w:r>
        <w:rPr>
          <w:rFonts w:ascii="Arial" w:cs="Arial" w:eastAsia="Arial" w:hAnsi="Arial"/>
          <w:color w:val="212121"/>
          <w:sz w:val="20"/>
          <w:szCs w:val="20"/>
        </w:rPr>
        <w:t xml:space="preserve">Reglas de automatización configurables: 'Si humedad suelo &lt; 40% → abrir electroválvula zona A'</w:t>
      </w:r>
    </w:p>
    <w:p>
      <w:pPr>
        <w:pStyle w:val="ListParagraph"/>
        <w:numPr>
          <w:ilvl w:val="0"/>
          <w:numId w:val="2"/>
        </w:numPr>
        <w:spacing w:after="40" w:before="40"/>
      </w:pPr>
      <w:r>
        <w:rPr>
          <w:rFonts w:ascii="Arial" w:cs="Arial" w:eastAsia="Arial" w:hAnsi="Arial"/>
          <w:color w:val="212121"/>
          <w:sz w:val="20"/>
          <w:szCs w:val="20"/>
        </w:rPr>
        <w:t xml:space="preserve">Protocolo de comunicación: MQTT sobre 4G/WiFi/LoRa según cobertura de la zona</w:t>
      </w:r>
    </w:p>
    <w:p>
      <w:pPr>
        <w:pStyle w:val="ListParagraph"/>
        <w:numPr>
          <w:ilvl w:val="0"/>
          <w:numId w:val="2"/>
        </w:numPr>
        <w:spacing w:after="40" w:before="40"/>
      </w:pPr>
      <w:r>
        <w:rPr>
          <w:rFonts w:ascii="Arial" w:cs="Arial" w:eastAsia="Arial" w:hAnsi="Arial"/>
          <w:color w:val="212121"/>
          <w:sz w:val="20"/>
          <w:szCs w:val="20"/>
        </w:rPr>
        <w:t xml:space="preserve">Dashboard de alertas IoT con prioridad: crítica, alta, media, informativa</w:t>
      </w:r>
    </w:p>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29 — Seguimiento Vehicular y Maquinaria GPS</w:t>
      </w:r>
    </w:p>
    <w:p>
      <w:pPr>
        <w:spacing w:after="80" w:before="80"/>
        <w:jc w:val="both"/>
      </w:pPr>
      <w:r>
        <w:rPr>
          <w:rFonts w:ascii="Arial" w:cs="Arial" w:eastAsia="Arial" w:hAnsi="Arial"/>
          <w:color w:val="212121"/>
          <w:sz w:val="20"/>
          <w:szCs w:val="20"/>
        </w:rPr>
        <w:t xml:space="preserve">Sistema de rastreo GPS en tiempo real de todos los vehículos y maquinaria de la hacienda.</w:t>
      </w:r>
    </w:p>
    <w:p>
      <w:pPr>
        <w:pStyle w:val="ListParagraph"/>
        <w:numPr>
          <w:ilvl w:val="0"/>
          <w:numId w:val="2"/>
        </w:numPr>
        <w:spacing w:after="40" w:before="40"/>
      </w:pPr>
      <w:r>
        <w:rPr>
          <w:rFonts w:ascii="Arial" w:cs="Arial" w:eastAsia="Arial" w:hAnsi="Arial"/>
          <w:color w:val="212121"/>
          <w:sz w:val="20"/>
          <w:szCs w:val="20"/>
        </w:rPr>
        <w:t xml:space="preserve">Dispositivo GPS instalado en cada tractor, camión, camioneta y moto de la hacienda</w:t>
      </w:r>
    </w:p>
    <w:p>
      <w:pPr>
        <w:pStyle w:val="ListParagraph"/>
        <w:numPr>
          <w:ilvl w:val="0"/>
          <w:numId w:val="2"/>
        </w:numPr>
        <w:spacing w:after="40" w:before="40"/>
      </w:pPr>
      <w:r>
        <w:rPr>
          <w:rFonts w:ascii="Arial" w:cs="Arial" w:eastAsia="Arial" w:hAnsi="Arial"/>
          <w:color w:val="212121"/>
          <w:sz w:val="20"/>
          <w:szCs w:val="20"/>
        </w:rPr>
        <w:t xml:space="preserve">Visualización en mapa del módulo 27 con posición en tiempo real de cada vehículo</w:t>
      </w:r>
    </w:p>
    <w:p>
      <w:pPr>
        <w:pStyle w:val="ListParagraph"/>
        <w:numPr>
          <w:ilvl w:val="0"/>
          <w:numId w:val="2"/>
        </w:numPr>
        <w:spacing w:after="40" w:before="40"/>
      </w:pPr>
      <w:r>
        <w:rPr>
          <w:rFonts w:ascii="Arial" w:cs="Arial" w:eastAsia="Arial" w:hAnsi="Arial"/>
          <w:color w:val="212121"/>
          <w:sz w:val="20"/>
          <w:szCs w:val="20"/>
        </w:rPr>
        <w:t xml:space="preserve">Historial de rutas: recorrido completo de cada vehículo por día con hora y velocidad</w:t>
      </w:r>
    </w:p>
    <w:p>
      <w:pPr>
        <w:pStyle w:val="ListParagraph"/>
        <w:numPr>
          <w:ilvl w:val="0"/>
          <w:numId w:val="2"/>
        </w:numPr>
        <w:spacing w:after="40" w:before="40"/>
      </w:pPr>
      <w:r>
        <w:rPr>
          <w:rFonts w:ascii="Arial" w:cs="Arial" w:eastAsia="Arial" w:hAnsi="Arial"/>
          <w:color w:val="212121"/>
          <w:sz w:val="20"/>
          <w:szCs w:val="20"/>
        </w:rPr>
        <w:t xml:space="preserve">Verificación de labores asignadas: el sistema muestra si el tractor estuvo en el lote asignado</w:t>
      </w:r>
    </w:p>
    <w:p>
      <w:pPr>
        <w:pStyle w:val="ListParagraph"/>
        <w:numPr>
          <w:ilvl w:val="0"/>
          <w:numId w:val="2"/>
        </w:numPr>
        <w:spacing w:after="40" w:before="40"/>
      </w:pPr>
      <w:r>
        <w:rPr>
          <w:rFonts w:ascii="Arial" w:cs="Arial" w:eastAsia="Arial" w:hAnsi="Arial"/>
          <w:color w:val="212121"/>
          <w:sz w:val="20"/>
          <w:szCs w:val="20"/>
        </w:rPr>
        <w:t xml:space="preserve">Alerta de velocidad excesiva: notificación al administrador si un vehículo supera límite configurado</w:t>
      </w:r>
    </w:p>
    <w:p>
      <w:pPr>
        <w:pStyle w:val="ListParagraph"/>
        <w:numPr>
          <w:ilvl w:val="0"/>
          <w:numId w:val="2"/>
        </w:numPr>
        <w:spacing w:after="40" w:before="40"/>
      </w:pPr>
      <w:r>
        <w:rPr>
          <w:rFonts w:ascii="Arial" w:cs="Arial" w:eastAsia="Arial" w:hAnsi="Arial"/>
          <w:color w:val="212121"/>
          <w:sz w:val="20"/>
          <w:szCs w:val="20"/>
        </w:rPr>
        <w:t xml:space="preserve">Control de geocercas: alerta si un vehículo sale del perímetro autorizado de la hacienda</w:t>
      </w:r>
    </w:p>
    <w:p>
      <w:pPr>
        <w:pStyle w:val="ListParagraph"/>
        <w:numPr>
          <w:ilvl w:val="0"/>
          <w:numId w:val="2"/>
        </w:numPr>
        <w:spacing w:after="40" w:before="40"/>
      </w:pPr>
      <w:r>
        <w:rPr>
          <w:rFonts w:ascii="Arial" w:cs="Arial" w:eastAsia="Arial" w:hAnsi="Arial"/>
          <w:color w:val="212121"/>
          <w:sz w:val="20"/>
          <w:szCs w:val="20"/>
        </w:rPr>
        <w:t xml:space="preserve">Reporte de horas motor: integración con el módulo 13 (maquinaria) para mantenimiento</w:t>
      </w:r>
    </w:p>
    <w:p>
      <w:pPr>
        <w:pStyle w:val="ListParagraph"/>
        <w:numPr>
          <w:ilvl w:val="0"/>
          <w:numId w:val="2"/>
        </w:numPr>
        <w:spacing w:after="40" w:before="40"/>
      </w:pPr>
      <w:r>
        <w:rPr>
          <w:rFonts w:ascii="Arial" w:cs="Arial" w:eastAsia="Arial" w:hAnsi="Arial"/>
          <w:color w:val="212121"/>
          <w:sz w:val="20"/>
          <w:szCs w:val="20"/>
        </w:rPr>
        <w:t xml:space="preserve">Consumo de combustible estimado por recorrido: distancia × consumo base del equipo</w:t>
      </w:r>
    </w:p>
    <w:p>
      <w:pPr>
        <w:pStyle w:val="ListParagraph"/>
        <w:numPr>
          <w:ilvl w:val="0"/>
          <w:numId w:val="2"/>
        </w:numPr>
        <w:spacing w:after="40" w:before="40"/>
      </w:pPr>
      <w:r>
        <w:rPr>
          <w:rFonts w:ascii="Arial" w:cs="Arial" w:eastAsia="Arial" w:hAnsi="Arial"/>
          <w:color w:val="212121"/>
          <w:sz w:val="20"/>
          <w:szCs w:val="20"/>
        </w:rPr>
        <w:t xml:space="preserve">Comparativo semanal: km recorridos vs. labores completadas en cada zona</w:t>
      </w:r>
    </w:p>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30 — Control y Seguimiento de Empleados en Campo</w:t>
      </w:r>
    </w:p>
    <w:p>
      <w:pPr>
        <w:spacing w:after="80" w:before="80"/>
        <w:jc w:val="both"/>
      </w:pPr>
      <w:r>
        <w:rPr>
          <w:rFonts w:ascii="Arial" w:cs="Arial" w:eastAsia="Arial" w:hAnsi="Arial"/>
          <w:color w:val="212121"/>
          <w:sz w:val="20"/>
          <w:szCs w:val="20"/>
        </w:rPr>
        <w:t xml:space="preserve">Sistema de georreferenciación de la actividad diaria de todos los empleados de la hacienda.</w:t>
      </w:r>
    </w:p>
    <w:p>
      <w:pPr>
        <w:pStyle w:val="ListParagraph"/>
        <w:numPr>
          <w:ilvl w:val="0"/>
          <w:numId w:val="2"/>
        </w:numPr>
        <w:spacing w:after="40" w:before="40"/>
      </w:pPr>
      <w:r>
        <w:rPr>
          <w:rFonts w:ascii="Arial" w:cs="Arial" w:eastAsia="Arial" w:hAnsi="Arial"/>
          <w:color w:val="212121"/>
          <w:sz w:val="20"/>
          <w:szCs w:val="20"/>
        </w:rPr>
        <w:t xml:space="preserve">Aplicación móvil para empleados (Android/iOS): app liviana, funciona con poca señal</w:t>
      </w:r>
    </w:p>
    <w:p>
      <w:pPr>
        <w:pStyle w:val="ListParagraph"/>
        <w:numPr>
          <w:ilvl w:val="0"/>
          <w:numId w:val="2"/>
        </w:numPr>
        <w:spacing w:after="40" w:before="40"/>
      </w:pPr>
      <w:r>
        <w:rPr>
          <w:rFonts w:ascii="Arial" w:cs="Arial" w:eastAsia="Arial" w:hAnsi="Arial"/>
          <w:color w:val="212121"/>
          <w:sz w:val="20"/>
          <w:szCs w:val="20"/>
        </w:rPr>
        <w:t xml:space="preserve">Check-in de inicio de labor: empleado selecciona la labor asignada y registra su inicio</w:t>
      </w:r>
    </w:p>
    <w:p>
      <w:pPr>
        <w:pStyle w:val="ListParagraph"/>
        <w:numPr>
          <w:ilvl w:val="0"/>
          <w:numId w:val="2"/>
        </w:numPr>
        <w:spacing w:after="40" w:before="40"/>
      </w:pPr>
      <w:r>
        <w:rPr>
          <w:rFonts w:ascii="Arial" w:cs="Arial" w:eastAsia="Arial" w:hAnsi="Arial"/>
          <w:color w:val="212121"/>
          <w:sz w:val="20"/>
          <w:szCs w:val="20"/>
        </w:rPr>
        <w:t xml:space="preserve">Georreferenciación automática: el GPS del celular registra la posición al iniciar y finalizar la labor</w:t>
      </w:r>
    </w:p>
    <w:p>
      <w:pPr>
        <w:pStyle w:val="ListParagraph"/>
        <w:numPr>
          <w:ilvl w:val="0"/>
          <w:numId w:val="2"/>
        </w:numPr>
        <w:spacing w:after="40" w:before="40"/>
      </w:pPr>
      <w:r>
        <w:rPr>
          <w:rFonts w:ascii="Arial" w:cs="Arial" w:eastAsia="Arial" w:hAnsi="Arial"/>
          <w:color w:val="212121"/>
          <w:sz w:val="20"/>
          <w:szCs w:val="20"/>
        </w:rPr>
        <w:t xml:space="preserve">Grabación del área trabajada: mientras el empleado se desplaza en el lote, el sistema dibuja el polígono recorrido</w:t>
      </w:r>
    </w:p>
    <w:p>
      <w:pPr>
        <w:pStyle w:val="ListParagraph"/>
        <w:numPr>
          <w:ilvl w:val="0"/>
          <w:numId w:val="2"/>
        </w:numPr>
        <w:spacing w:after="40" w:before="40"/>
      </w:pPr>
      <w:r>
        <w:rPr>
          <w:rFonts w:ascii="Arial" w:cs="Arial" w:eastAsia="Arial" w:hAnsi="Arial"/>
          <w:color w:val="212121"/>
          <w:sz w:val="20"/>
          <w:szCs w:val="20"/>
        </w:rPr>
        <w:t xml:space="preserve">Check-out de fin de labor: el empleado cierra la labor y el sistema calcula el área cubierta</w:t>
      </w:r>
    </w:p>
    <w:p>
      <w:pPr>
        <w:pStyle w:val="ListParagraph"/>
        <w:numPr>
          <w:ilvl w:val="0"/>
          <w:numId w:val="2"/>
        </w:numPr>
        <w:spacing w:after="40" w:before="40"/>
      </w:pPr>
      <w:r>
        <w:rPr>
          <w:rFonts w:ascii="Arial" w:cs="Arial" w:eastAsia="Arial" w:hAnsi="Arial"/>
          <w:color w:val="212121"/>
          <w:sz w:val="20"/>
          <w:szCs w:val="20"/>
        </w:rPr>
        <w:t xml:space="preserve">Verificación de presencia: el administrador puede ver en el mapa dónde está cada empleado en tiempo real</w:t>
      </w:r>
    </w:p>
    <w:p>
      <w:pPr>
        <w:pStyle w:val="ListParagraph"/>
        <w:numPr>
          <w:ilvl w:val="0"/>
          <w:numId w:val="2"/>
        </w:numPr>
        <w:spacing w:after="40" w:before="40"/>
      </w:pPr>
      <w:r>
        <w:rPr>
          <w:rFonts w:ascii="Arial" w:cs="Arial" w:eastAsia="Arial" w:hAnsi="Arial"/>
          <w:color w:val="212121"/>
          <w:sz w:val="20"/>
          <w:szCs w:val="20"/>
        </w:rPr>
        <w:t xml:space="preserve">Historial de labores por empleado: qué hizo, en qué lote, en qué horario, cuánta área cubrió</w:t>
      </w:r>
    </w:p>
    <w:p>
      <w:pPr>
        <w:pStyle w:val="ListParagraph"/>
        <w:numPr>
          <w:ilvl w:val="0"/>
          <w:numId w:val="2"/>
        </w:numPr>
        <w:spacing w:after="40" w:before="40"/>
      </w:pPr>
      <w:r>
        <w:rPr>
          <w:rFonts w:ascii="Arial" w:cs="Arial" w:eastAsia="Arial" w:hAnsi="Arial"/>
          <w:color w:val="212121"/>
          <w:sz w:val="20"/>
          <w:szCs w:val="20"/>
        </w:rPr>
        <w:t xml:space="preserve">Integración con módulo 12 (RRHH): las horas georeferenciadas alimentan directamente la liquidación de nómina</w:t>
      </w:r>
    </w:p>
    <w:p>
      <w:pPr>
        <w:pStyle w:val="ListParagraph"/>
        <w:numPr>
          <w:ilvl w:val="0"/>
          <w:numId w:val="2"/>
        </w:numPr>
        <w:spacing w:after="40" w:before="40"/>
      </w:pPr>
      <w:r>
        <w:rPr>
          <w:rFonts w:ascii="Arial" w:cs="Arial" w:eastAsia="Arial" w:hAnsi="Arial"/>
          <w:color w:val="212121"/>
          <w:sz w:val="20"/>
          <w:szCs w:val="20"/>
        </w:rPr>
        <w:t xml:space="preserve">Control de jornadas sin conexión: si no hay señal, la app guarda datos localmente y sincroniza al reconectarse</w:t>
      </w:r>
    </w:p>
    <w:p>
      <w:pPr>
        <w:pStyle w:val="ListParagraph"/>
        <w:numPr>
          <w:ilvl w:val="0"/>
          <w:numId w:val="2"/>
        </w:numPr>
        <w:spacing w:after="40" w:before="40"/>
      </w:pPr>
      <w:r>
        <w:rPr>
          <w:rFonts w:ascii="Arial" w:cs="Arial" w:eastAsia="Arial" w:hAnsi="Arial"/>
          <w:color w:val="212121"/>
          <w:sz w:val="20"/>
          <w:szCs w:val="20"/>
        </w:rPr>
        <w:t xml:space="preserve">Foto de evidencia de labor: el empleado puede adjuntar foto con GPS automático desde la app</w:t>
      </w:r>
    </w:p>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31 — Vigilancia y Seguridad Perimetral</w:t>
      </w:r>
    </w:p>
    <w:p>
      <w:pPr>
        <w:spacing w:after="80" w:before="80"/>
        <w:jc w:val="both"/>
      </w:pPr>
      <w:r>
        <w:rPr>
          <w:rFonts w:ascii="Arial" w:cs="Arial" w:eastAsia="Arial" w:hAnsi="Arial"/>
          <w:color w:val="212121"/>
          <w:sz w:val="20"/>
          <w:szCs w:val="20"/>
        </w:rPr>
        <w:t xml:space="preserve">Sistema integrado de cámaras IP para vigilancia de la hacienda, conectado a la plataforma central.</w:t>
      </w:r>
    </w:p>
    <w:p>
      <w:pPr>
        <w:pStyle w:val="ListParagraph"/>
        <w:numPr>
          <w:ilvl w:val="0"/>
          <w:numId w:val="2"/>
        </w:numPr>
        <w:spacing w:after="40" w:before="40"/>
      </w:pPr>
      <w:r>
        <w:rPr>
          <w:rFonts w:ascii="Arial" w:cs="Arial" w:eastAsia="Arial" w:hAnsi="Arial"/>
          <w:color w:val="212121"/>
          <w:sz w:val="20"/>
          <w:szCs w:val="20"/>
        </w:rPr>
        <w:t xml:space="preserve">Cámaras IP HD (1080p o 4K) instaladas en puntos estratégicos: entradas, bodegas, plantas, lotes</w:t>
      </w:r>
    </w:p>
    <w:p>
      <w:pPr>
        <w:pStyle w:val="ListParagraph"/>
        <w:numPr>
          <w:ilvl w:val="0"/>
          <w:numId w:val="2"/>
        </w:numPr>
        <w:spacing w:after="40" w:before="40"/>
      </w:pPr>
      <w:r>
        <w:rPr>
          <w:rFonts w:ascii="Arial" w:cs="Arial" w:eastAsia="Arial" w:hAnsi="Arial"/>
          <w:color w:val="212121"/>
          <w:sz w:val="20"/>
          <w:szCs w:val="20"/>
        </w:rPr>
        <w:t xml:space="preserve">Transmisión de video en vivo accesible desde la plataforma web y app móvil</w:t>
      </w:r>
    </w:p>
    <w:p>
      <w:pPr>
        <w:pStyle w:val="ListParagraph"/>
        <w:numPr>
          <w:ilvl w:val="0"/>
          <w:numId w:val="2"/>
        </w:numPr>
        <w:spacing w:after="40" w:before="40"/>
      </w:pPr>
      <w:r>
        <w:rPr>
          <w:rFonts w:ascii="Arial" w:cs="Arial" w:eastAsia="Arial" w:hAnsi="Arial"/>
          <w:color w:val="212121"/>
          <w:sz w:val="20"/>
          <w:szCs w:val="20"/>
        </w:rPr>
        <w:t xml:space="preserve">Grabación continua 24/7 almacenada en NVR local + respaldo en la nube</w:t>
      </w:r>
    </w:p>
    <w:p>
      <w:pPr>
        <w:pStyle w:val="ListParagraph"/>
        <w:numPr>
          <w:ilvl w:val="0"/>
          <w:numId w:val="2"/>
        </w:numPr>
        <w:spacing w:after="40" w:before="40"/>
      </w:pPr>
      <w:r>
        <w:rPr>
          <w:rFonts w:ascii="Arial" w:cs="Arial" w:eastAsia="Arial" w:hAnsi="Arial"/>
          <w:color w:val="212121"/>
          <w:sz w:val="20"/>
          <w:szCs w:val="20"/>
        </w:rPr>
        <w:t xml:space="preserve">Detección de movimiento inteligente con alertas push al administrador</w:t>
      </w:r>
    </w:p>
    <w:p>
      <w:pPr>
        <w:pStyle w:val="ListParagraph"/>
        <w:numPr>
          <w:ilvl w:val="0"/>
          <w:numId w:val="2"/>
        </w:numPr>
        <w:spacing w:after="40" w:before="40"/>
      </w:pPr>
      <w:r>
        <w:rPr>
          <w:rFonts w:ascii="Arial" w:cs="Arial" w:eastAsia="Arial" w:hAnsi="Arial"/>
          <w:color w:val="212121"/>
          <w:sz w:val="20"/>
          <w:szCs w:val="20"/>
        </w:rPr>
        <w:t xml:space="preserve">Acceso remoto al video en tiempo real desde cualquier dispositivo autorizado</w:t>
      </w:r>
    </w:p>
    <w:p>
      <w:pPr>
        <w:pStyle w:val="ListParagraph"/>
        <w:numPr>
          <w:ilvl w:val="0"/>
          <w:numId w:val="2"/>
        </w:numPr>
        <w:spacing w:after="40" w:before="40"/>
      </w:pPr>
      <w:r>
        <w:rPr>
          <w:rFonts w:ascii="Arial" w:cs="Arial" w:eastAsia="Arial" w:hAnsi="Arial"/>
          <w:color w:val="212121"/>
          <w:sz w:val="20"/>
          <w:szCs w:val="20"/>
        </w:rPr>
        <w:t xml:space="preserve">Historial de grabaciones consultable con búsqueda por fecha/hora/cámara</w:t>
      </w:r>
    </w:p>
    <w:p>
      <w:pPr>
        <w:pStyle w:val="ListParagraph"/>
        <w:numPr>
          <w:ilvl w:val="0"/>
          <w:numId w:val="2"/>
        </w:numPr>
        <w:spacing w:after="40" w:before="40"/>
      </w:pPr>
      <w:r>
        <w:rPr>
          <w:rFonts w:ascii="Arial" w:cs="Arial" w:eastAsia="Arial" w:hAnsi="Arial"/>
          <w:color w:val="212121"/>
          <w:sz w:val="20"/>
          <w:szCs w:val="20"/>
        </w:rPr>
        <w:t xml:space="preserve">Integración con control de acceso: cámara en portería con reconocimiento de placas</w:t>
      </w:r>
    </w:p>
    <w:p>
      <w:pPr>
        <w:pStyle w:val="ListParagraph"/>
        <w:numPr>
          <w:ilvl w:val="0"/>
          <w:numId w:val="2"/>
        </w:numPr>
        <w:spacing w:after="40" w:before="40"/>
      </w:pPr>
      <w:r>
        <w:rPr>
          <w:rFonts w:ascii="Arial" w:cs="Arial" w:eastAsia="Arial" w:hAnsi="Arial"/>
          <w:color w:val="212121"/>
          <w:sz w:val="20"/>
          <w:szCs w:val="20"/>
        </w:rPr>
        <w:t xml:space="preserve">Notificación de intrusión nocturna con imagen del evento</w:t>
      </w:r>
    </w:p>
    <w:p>
      <w:pPr>
        <w:pStyle w:val="ListParagraph"/>
        <w:numPr>
          <w:ilvl w:val="0"/>
          <w:numId w:val="2"/>
        </w:numPr>
        <w:spacing w:after="40" w:before="40"/>
      </w:pPr>
      <w:r>
        <w:rPr>
          <w:rFonts w:ascii="Arial" w:cs="Arial" w:eastAsia="Arial" w:hAnsi="Arial"/>
          <w:color w:val="212121"/>
          <w:sz w:val="20"/>
          <w:szCs w:val="20"/>
        </w:rPr>
        <w:t xml:space="preserve">Cámaras PTZ (Pan-Tilt-Zoom) para zonas amplias: control remoto de dirección y zoom</w:t>
      </w:r>
    </w:p>
    <w:p>
      <w:pPr>
        <w:spacing w:after="60" w:before="60"/>
      </w:pPr>
      <w:r>
        <w:t xml:space="preserve"/>
      </w:r>
    </w:p>
    <w:p>
      <w:pPr>
        <w:pStyle w:val="Heading3"/>
        <w:pBdr>
          <w:bottom w:val="single" w:color="C8E6C9" w:sz="2"/>
        </w:pBdr>
        <w:spacing w:after="120" w:before="200"/>
      </w:pPr>
      <w:r>
        <w:rPr>
          <w:rFonts w:ascii="Arial" w:cs="Arial" w:eastAsia="Arial" w:hAnsi="Arial"/>
          <w:b/>
          <w:bCs/>
          <w:color w:val="0D4A1F"/>
          <w:sz w:val="24"/>
          <w:szCs w:val="24"/>
        </w:rPr>
        <w:t xml:space="preserve">Módulo 32 — Contabilidad Agrícola NIIF (IFRS)</w:t>
      </w:r>
    </w:p>
    <w:p>
      <w:pPr>
        <w:spacing w:after="80" w:before="80"/>
        <w:jc w:val="both"/>
      </w:pPr>
      <w:r>
        <w:rPr>
          <w:rFonts w:ascii="Arial" w:cs="Arial" w:eastAsia="Arial" w:hAnsi="Arial"/>
          <w:color w:val="212121"/>
          <w:sz w:val="20"/>
          <w:szCs w:val="20"/>
        </w:rPr>
        <w:t xml:space="preserve">Módulo de contabilidad profesional diseñado específicamente para empresas agrícolas bajo normas NIIF/IFRS, con especial énfasis en NIC 41 (Agricultura) y NIIF 13 (Valor Razonable).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7760"/>
      </w:tblGrid>
      <w:tr>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COMPONENTE NIIF</w:t>
            </w:r>
          </w:p>
        </w:tc>
        <w:tc>
          <w:tcPr>
            <w:tcW w:type="dxa" w:w="7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APLICACIÓN EN LA PLATAFORMA</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NIC 41 — Agricultura</w:t>
            </w:r>
          </w:p>
        </w:tc>
        <w:tc>
          <w:tcPr>
            <w:tcW w:type="dxa" w:w="7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Valoración de activos biológicos (palma de aceite) al valor razonable. Registro de ganancias/pérdidas por cambio en valor razonable. Diferenciación activos biológicos consumibles vs. productores.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NIC 16 — Propiedades, Planta y Equipo</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Registro y depreciación de maquinaria agrícola, infraestructura, vehículos. Método línea recta y unidades de producción.</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NIC 2 — Inventarios</w:t>
            </w:r>
          </w:p>
        </w:tc>
        <w:tc>
          <w:tcPr>
            <w:tcW w:type="dxa" w:w="7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Valoración de insumos y producción agrícola en bodega al menor de: costo o valor neto de realización.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NIC 37 — Provisiones</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Registro de provisiones por litigios laborales, contingencias ambientales, restauración de suelos.</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NIIF 15 — Ingresos</w:t>
            </w:r>
          </w:p>
        </w:tc>
        <w:tc>
          <w:tcPr>
            <w:tcW w:type="dxa" w:w="7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Reconocimiento de ingresos por ventas de cosecha según transferencia del control al comprador.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NIIF 16 — Arrendamientos</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Registro de arrendamientos de tierras y maquinaria como activo por derecho de uso.</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Plan de Cuentas PUC Agrícola</w:t>
            </w:r>
          </w:p>
        </w:tc>
        <w:tc>
          <w:tcPr>
            <w:tcW w:type="dxa" w:w="7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Plan de cuentas adaptado al sector agrícola colombiano con codificación PUC.</w:t>
            </w:r>
          </w:p>
        </w:tc>
      </w:tr>
    </w:tbl>
    <w:p>
      <w:pPr>
        <w:spacing w:after="60" w:before="60"/>
      </w:pPr>
      <w:r>
        <w:t xml:space="preserve"/>
      </w:r>
    </w:p>
    <w:p>
      <w:pPr>
        <w:pStyle w:val="ListParagraph"/>
        <w:numPr>
          <w:ilvl w:val="0"/>
          <w:numId w:val="2"/>
        </w:numPr>
        <w:spacing w:after="40" w:before="40"/>
      </w:pPr>
      <w:r>
        <w:rPr>
          <w:rFonts w:ascii="Arial" w:cs="Arial" w:eastAsia="Arial" w:hAnsi="Arial"/>
          <w:color w:val="212121"/>
          <w:sz w:val="20"/>
          <w:szCs w:val="20"/>
        </w:rPr>
        <w:t xml:space="preserve">Libro diario, libro mayor, balance de comprobación automáticos</w:t>
      </w:r>
    </w:p>
    <w:p>
      <w:pPr>
        <w:pStyle w:val="ListParagraph"/>
        <w:numPr>
          <w:ilvl w:val="0"/>
          <w:numId w:val="2"/>
        </w:numPr>
        <w:spacing w:after="40" w:before="40"/>
      </w:pPr>
      <w:r>
        <w:rPr>
          <w:rFonts w:ascii="Arial" w:cs="Arial" w:eastAsia="Arial" w:hAnsi="Arial"/>
          <w:color w:val="212121"/>
          <w:sz w:val="20"/>
          <w:szCs w:val="20"/>
        </w:rPr>
        <w:t xml:space="preserve">Estado de situación financiera (Balance General NIIF)</w:t>
      </w:r>
    </w:p>
    <w:p>
      <w:pPr>
        <w:pStyle w:val="ListParagraph"/>
        <w:numPr>
          <w:ilvl w:val="0"/>
          <w:numId w:val="2"/>
        </w:numPr>
        <w:spacing w:after="40" w:before="40"/>
      </w:pPr>
      <w:r>
        <w:rPr>
          <w:rFonts w:ascii="Arial" w:cs="Arial" w:eastAsia="Arial" w:hAnsi="Arial"/>
          <w:color w:val="212121"/>
          <w:sz w:val="20"/>
          <w:szCs w:val="20"/>
        </w:rPr>
        <w:t xml:space="preserve">Estado de resultados integral (P&amp;G con ORI — Otro Resultado Integral)</w:t>
      </w:r>
    </w:p>
    <w:p>
      <w:pPr>
        <w:pStyle w:val="ListParagraph"/>
        <w:numPr>
          <w:ilvl w:val="0"/>
          <w:numId w:val="2"/>
        </w:numPr>
        <w:spacing w:after="40" w:before="40"/>
      </w:pPr>
      <w:r>
        <w:rPr>
          <w:rFonts w:ascii="Arial" w:cs="Arial" w:eastAsia="Arial" w:hAnsi="Arial"/>
          <w:color w:val="212121"/>
          <w:sz w:val="20"/>
          <w:szCs w:val="20"/>
        </w:rPr>
        <w:t xml:space="preserve">Estado de cambios en el patrimonio</w:t>
      </w:r>
    </w:p>
    <w:p>
      <w:pPr>
        <w:pStyle w:val="ListParagraph"/>
        <w:numPr>
          <w:ilvl w:val="0"/>
          <w:numId w:val="2"/>
        </w:numPr>
        <w:spacing w:after="40" w:before="40"/>
      </w:pPr>
      <w:r>
        <w:rPr>
          <w:rFonts w:ascii="Arial" w:cs="Arial" w:eastAsia="Arial" w:hAnsi="Arial"/>
          <w:color w:val="212121"/>
          <w:sz w:val="20"/>
          <w:szCs w:val="20"/>
        </w:rPr>
        <w:t xml:space="preserve">Estado de flujos de efectivo (método directo e indirecto)</w:t>
      </w:r>
    </w:p>
    <w:p>
      <w:pPr>
        <w:pStyle w:val="ListParagraph"/>
        <w:numPr>
          <w:ilvl w:val="0"/>
          <w:numId w:val="2"/>
        </w:numPr>
        <w:spacing w:after="40" w:before="40"/>
      </w:pPr>
      <w:r>
        <w:rPr>
          <w:rFonts w:ascii="Arial" w:cs="Arial" w:eastAsia="Arial" w:hAnsi="Arial"/>
          <w:color w:val="212121"/>
          <w:sz w:val="20"/>
          <w:szCs w:val="20"/>
        </w:rPr>
        <w:t xml:space="preserve">Notas a los estados financieros — plantillas automáticas por NIIF aplicable</w:t>
      </w:r>
    </w:p>
    <w:p>
      <w:pPr>
        <w:pStyle w:val="ListParagraph"/>
        <w:numPr>
          <w:ilvl w:val="0"/>
          <w:numId w:val="2"/>
        </w:numPr>
        <w:spacing w:after="40" w:before="40"/>
      </w:pPr>
      <w:r>
        <w:rPr>
          <w:rFonts w:ascii="Arial" w:cs="Arial" w:eastAsia="Arial" w:hAnsi="Arial"/>
          <w:color w:val="212121"/>
          <w:sz w:val="20"/>
          <w:szCs w:val="20"/>
        </w:rPr>
        <w:t xml:space="preserve">Integración total con módulos 18 (Finanzas) y 19 (Facturación) — sin doble digitación</w:t>
      </w:r>
    </w:p>
    <w:p>
      <w:pPr>
        <w:pStyle w:val="ListParagraph"/>
        <w:numPr>
          <w:ilvl w:val="0"/>
          <w:numId w:val="2"/>
        </w:numPr>
        <w:spacing w:after="40" w:before="40"/>
      </w:pPr>
      <w:r>
        <w:rPr>
          <w:rFonts w:ascii="Arial" w:cs="Arial" w:eastAsia="Arial" w:hAnsi="Arial"/>
          <w:color w:val="212121"/>
          <w:sz w:val="20"/>
          <w:szCs w:val="20"/>
        </w:rPr>
        <w:t xml:space="preserve">Exportación a Excel y PDF con formato de presentación a Revisor Fiscal / Auditor Externo</w:t>
      </w:r>
    </w:p>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4. INFRAESTRUCTURA DE CONECTIVIDAD — RED DE ANTENAS ARAÑA</w:t>
      </w:r>
    </w:p>
    <w:p>
      <w:pPr>
        <w:spacing w:after="60" w:before="60"/>
      </w:pPr>
      <w:r>
        <w:t xml:space="preserve"/>
      </w:r>
    </w:p>
    <w:p>
      <w:pPr>
        <w:spacing w:after="80" w:before="80"/>
        <w:jc w:val="both"/>
      </w:pPr>
      <w:r>
        <w:rPr>
          <w:rFonts w:ascii="Arial" w:cs="Arial" w:eastAsia="Arial" w:hAnsi="Arial"/>
          <w:color w:val="212121"/>
          <w:sz w:val="20"/>
          <w:szCs w:val="20"/>
        </w:rPr>
        <w:t xml:space="preserve">Una de las mayores barreras tecnológicas en haciendas agrícolas es la falta de conectividad en todos los puntos del cultivo. AGROTECH PALM resuelve esto mediante una red de malla inalámbrica tipo 'araña' que garantiza señal WiFi/4G en toda la hacienda.</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4.1 Diseño de la Red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2760"/>
      </w:tblGrid>
      <w:tr>
        <w:tc>
          <w:tcPr>
            <w:tcW w:type="dxa" w:w="1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3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FUNCIÓN</w:t>
            </w:r>
          </w:p>
        </w:tc>
        <w:tc>
          <w:tcPr>
            <w:tcW w:type="dxa" w:w="2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Nodo Central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Servidor Edge + Router Mikrotik</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Hub principal de la red, conexión a internet por fibra o 4G dedicado</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Todo el sistema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Antenas Punto-Punto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Ubiquiti airMAX o Mimosa B5c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Enlace de larga distancia hasta 10 km entre puntos principales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Eje principal de la finca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Antenas Sectoriales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Ubiquiti Rocket 5AC Lite + sectorial</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Distribución WiFi en 120° de sector, alcance 1-3 km por unidad</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Zonas productivas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Access Points Campo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Ubiquiti UAP-AC-M (outdoor)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Cobertura WiFi local en bodega, plantas, garajes, portería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200-400 m radio</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Nodos LoRa</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LoRaWAN 868 MHz</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Conectividad sensores IoT en zonas sin WiFi — sin batería (solar)</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2-5 km por nodo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Gateway 4G LTE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Router industrial 4G con SIM dual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Respaldo de conectividad si falla el enlace principal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Todo el sistema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Panel Solar + Batería</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Panel 100W + batería 12V 100Ah</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Alimentación autónoma de nodos remotos sin electricidad</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Nodos de campo</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4.2 Topología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ESTRUCTURA DE LA RED ARAÑA — 3 NIVELES</w:t>
            </w:r>
          </w:p>
          <w:p>
            <w:pPr>
              <w:spacing w:after="40" w:before="40"/>
            </w:pPr>
            <w:r>
              <w:rPr>
                <w:rFonts w:ascii="Arial" w:cs="Arial" w:eastAsia="Arial" w:hAnsi="Arial"/>
                <w:color w:val="212121"/>
                <w:sz w:val="19"/>
                <w:szCs w:val="19"/>
              </w:rPr>
              <w:t xml:space="preserve">✦ NIVEL 1 — COLUMNA VERTEBRAL: Enlace punto-punto desde el casco de la hacienda hasta los puntos más altos del terreno. Velocidad: 300-500 Mbps. Equipos Ubiquiti airFiber o Mimosa B5c.</w:t>
            </w:r>
          </w:p>
          <w:p>
            <w:pPr>
              <w:spacing w:after="40" w:before="40"/>
            </w:pPr>
            <w:r>
              <w:rPr>
                <w:rFonts w:ascii="Arial" w:cs="Arial" w:eastAsia="Arial" w:hAnsi="Arial"/>
                <w:color w:val="212121"/>
                <w:sz w:val="19"/>
                <w:szCs w:val="19"/>
              </w:rPr>
              <w:t xml:space="preserve">✦ NIVEL 2 — DISTRIBUCIÓN SECTORIAL: Antenas sectoriales en los puntos altos cubren 360° del cultivo dividido en sectores. Cada sector maneja una zona de lotes. Velocidad por sector: 100-200 Mbps.</w:t>
            </w:r>
          </w:p>
          <w:p>
            <w:pPr>
              <w:spacing w:after="40" w:before="40"/>
            </w:pPr>
            <w:r>
              <w:rPr>
                <w:rFonts w:ascii="Arial" w:cs="Arial" w:eastAsia="Arial" w:hAnsi="Arial"/>
                <w:color w:val="212121"/>
                <w:sz w:val="19"/>
                <w:szCs w:val="19"/>
              </w:rPr>
              <w:t xml:space="preserve">✦ NIVEL 3 — ACCESO LOCAL: Access points outdoor en bodegas, plantas de beneficio, garajes, portería y puntos de trabajo. Cobertura WiFi para celulares, tablets y dispositivos IoT.</w:t>
            </w:r>
          </w:p>
          <w:p>
            <w:pPr>
              <w:spacing w:after="40" w:before="40"/>
            </w:pPr>
            <w:r>
              <w:rPr>
                <w:rFonts w:ascii="Arial" w:cs="Arial" w:eastAsia="Arial" w:hAnsi="Arial"/>
                <w:color w:val="212121"/>
                <w:sz w:val="19"/>
                <w:szCs w:val="19"/>
              </w:rPr>
              <w:t xml:space="preserve">✦ NIVEL PARALELO — LORA IoT: Red independiente de baja potencia para sensores de campo que no necesitan alta velocidad pero sí larga autonomía y alcance.</w:t>
            </w:r>
          </w:p>
        </w:tc>
      </w:tr>
    </w:tbl>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760"/>
      </w:tblGrid>
      <w:tr>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ZONA DE LA HACIENDA</w:t>
            </w:r>
          </w:p>
        </w:tc>
        <w:tc>
          <w:tcPr>
            <w:tcW w:type="dxa" w:w="3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SOLUCIÓN RECOMENDADA</w:t>
            </w:r>
          </w:p>
        </w:tc>
        <w:tc>
          <w:tcPr>
            <w:tcW w:type="dxa" w:w="4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DISPOSITIVOS CUBIERTOS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Casco principal / oficinas</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WiFi interior AP Ubiquiti + cableado Cat6</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PC, impresoras, NVR cámaras, servidor local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Bodega de insumos / almacén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AP outdoor Ubiquiti UAP-AC-M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Tablets inventario, lectores código barras, cámaras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Planta de beneficio / procesamiento</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AP outdoor + Ethernet industrial</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Básculas, impresoras tickets, tablets supervisión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Garaje / taller maquinaria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AP outdoor Ubiquiti</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Tablets mantenimiento, cámaras, GPS vehículos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Portería / acceso</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AP outdoor + cámara IP LPR</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Control acceso, reconocimiento placas, visitantes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Lotes de cultivo (palma)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Nodos LoRa + antenas sectoriales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Sensores suelo, pluviómetros, tablets campo, celulares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Torres de vigilancia / puntos altos</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Antena sectorial Rocket 5AC</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Repetidoras de señal, cámaras PTZ panorámicas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Zonas remotas sin electricidad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Nodo LoRa solar autónomo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Sensores IoT, pluviómetros, alarmas perimetrales</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4.3 Presupuesto Red de Antenas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000"/>
        <w:gridCol w:w="2060"/>
      </w:tblGrid>
      <w:tr>
        <w:tc>
          <w:tcPr>
            <w:tcW w:type="dxa" w:w="3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ÍTEM</w:t>
            </w:r>
          </w:p>
        </w:tc>
        <w:tc>
          <w:tcPr>
            <w:tcW w:type="dxa" w:w="1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 UNIT. USD</w:t>
            </w:r>
          </w:p>
        </w:tc>
        <w:tc>
          <w:tcPr>
            <w:tcW w:type="dxa" w:w="20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TOTAL USD</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Ubiquiti airFiber 5 (enlace P2P backbone)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 pares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$450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Ubiquiti Rocket 5AC + antena sectorial 120°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$2,280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Ubiquiti UAP-AC-M (AP outdoor lotes/bodegas)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12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$150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Gateway LoRaWAN (concentrador sensores IoT)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$1,050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sensores LoRa campo (suelo, lluvia, temperatura)</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$120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$2,400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Router industrial 4G LTE con SIM dual (respaldo)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$560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Switches PoE managed 8/16 puertos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$1,200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Gabinetes metálicos outdoor IP67 con UPS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$1,440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Paneles solares 100W + batería 12V/100Ah (nodos remotos)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 kits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$250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$1,500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Cableado Cat6 outdoor + accesorios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500m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$3.5/m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$1,750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Torres metálicas para antenas (3-6m)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 torres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$1,600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Instalación, configuración y puesta en marcha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 proyecto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$6,000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$6,000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TOTAL RED DE ANTENAS ARAÑA</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$23,380</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5. PRESUPUESTO DE INFRAESTRUCTURA IoT Y SEGURIDAD</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5.1 Sensores y Estaciones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000"/>
        <w:gridCol w:w="2060"/>
      </w:tblGrid>
      <w:tr>
        <w:tc>
          <w:tcPr>
            <w:tcW w:type="dxa" w:w="3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ÍTEM</w:t>
            </w:r>
          </w:p>
        </w:tc>
        <w:tc>
          <w:tcPr>
            <w:tcW w:type="dxa" w:w="1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 UNIT. USD</w:t>
            </w:r>
          </w:p>
        </w:tc>
        <w:tc>
          <w:tcPr>
            <w:tcW w:type="dxa" w:w="20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TOTAL USD</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Estación meteorológica completa (Davis/Onset HOBO)</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$3,600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 de humedad de suelo capacitivo + temperatura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 puntos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$2,700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Pluviómetro digital de balancín con transmisión MQTT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$280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$1,120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 nivel de agua (reservorios y canales)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$880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Caudalímetro ultrasónico (sistemas de riego)</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$320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$1,920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Electroválvulas solenoides para automatización riego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 zonas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$1,200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Dispositivos GPS vehicular (tractores + vehículos)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$1,440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Servidor IoT Edge (Raspberry Pi 4 industrial + UPS)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$1,050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Concentrador MQTT + broker local (Mosquitto)</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 instalación</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TOTAL SENSORES Y IoT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$14,710</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5.2 Sistema de Vigilancia y Cámaras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000"/>
        <w:gridCol w:w="2060"/>
      </w:tblGrid>
      <w:tr>
        <w:tc>
          <w:tcPr>
            <w:tcW w:type="dxa" w:w="3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ÍTEM</w:t>
            </w:r>
          </w:p>
        </w:tc>
        <w:tc>
          <w:tcPr>
            <w:tcW w:type="dxa" w:w="1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 UNIT. USD</w:t>
            </w:r>
          </w:p>
        </w:tc>
        <w:tc>
          <w:tcPr>
            <w:tcW w:type="dxa" w:w="20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TOTAL USD</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Cámaras IP outdoor FullHD 1080p (Dahua/Hikvision)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16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$2,880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Cámaras PTZ 4K con zoom óptico 30x (zonas amplias)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$2,480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Cámara LPR (reconocimiento de matrículas) portería</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 unidades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$850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$1,700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NVR 32 canales 4K con RAID (grabación local)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 unidades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$1,200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$2,400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Disco duro NAS 8TB para almacenamiento local video</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 discos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Almacenamiento cloud video (backup 30 días)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Anual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$1,800/año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Software VMS (Video Management System) licencia</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 licencia</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$1,500</w:t>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$1,500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Instalación, cableado y configuración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 proyecto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$4,500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$4,500</w:t>
            </w:r>
          </w:p>
        </w:tc>
      </w:tr>
      <w:tr>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TOTAL VIGILANCIA Y CÁMARAS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$18,060</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5.3 Resumen Infraestructura Física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0"/>
        <w:gridCol w:w="4360"/>
      </w:tblGrid>
      <w:tr>
        <w:tc>
          <w:tcPr>
            <w:tcW w:type="dxa" w:w="6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43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COSTO USD</w:t>
            </w:r>
          </w:p>
        </w:tc>
      </w:tr>
      <w:tr>
        <w:tc>
          <w:tcPr>
            <w:tcW w:type="dxa" w:w="6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Red de Antenas Araña (conectividad toda la hacienda)</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$23,380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Sensores IoT y Estaciones Meteorológicas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$14,710</w:t>
            </w:r>
          </w:p>
        </w:tc>
      </w:tr>
      <w:tr>
        <w:tc>
          <w:tcPr>
            <w:tcW w:type="dxa" w:w="6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Sistema de Vigilancia y Cámaras IP</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$18,060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Servidor Cloud Principal (AWS/GCP — 2 años)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$28,800</w:t>
            </w:r>
          </w:p>
        </w:tc>
      </w:tr>
      <w:tr>
        <w:tc>
          <w:tcPr>
            <w:tcW w:type="dxa" w:w="6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CDN, Backup, Seguridad Cloud (2 años)</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$9,600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Contingencia y Gastos Imprevistos (10%)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$9,455</w:t>
            </w:r>
          </w:p>
        </w:tc>
      </w:tr>
      <w:tr>
        <w:tc>
          <w:tcPr>
            <w:tcW w:type="dxa" w:w="6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TOTAL INFRAESTRUCTURA</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$104,005</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6. EQUIPO DE DESARROLLO</w:t>
      </w:r>
    </w:p>
    <w:p>
      <w:pPr>
        <w:spacing w:after="60" w:before="60"/>
      </w:pPr>
      <w:r>
        <w:t xml:space="preserve"/>
      </w:r>
    </w:p>
    <w:p>
      <w:pPr>
        <w:spacing w:after="80" w:before="80"/>
        <w:jc w:val="both"/>
      </w:pPr>
      <w:r>
        <w:rPr>
          <w:rFonts w:ascii="Arial" w:cs="Arial" w:eastAsia="Arial" w:hAnsi="Arial"/>
          <w:color w:val="212121"/>
          <w:sz w:val="20"/>
          <w:szCs w:val="20"/>
        </w:rPr>
        <w:t xml:space="preserve">El proyecto requiere un equipo multidisciplinar de 16-18 profesionales con experiencia en desarrollo de software agrícola, IoT, cartografía y sistemas financieros.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600"/>
        <w:gridCol w:w="1500"/>
        <w:gridCol w:w="1660"/>
      </w:tblGrid>
      <w:tr>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3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PERFIL REQUERIDO</w:t>
            </w:r>
          </w:p>
        </w:tc>
        <w:tc>
          <w:tcPr>
            <w:tcW w:type="dxa" w:w="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CANT.</w:t>
            </w:r>
          </w:p>
        </w:tc>
        <w:tc>
          <w:tcPr>
            <w:tcW w:type="dxa" w:w="1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SALARIO/MES USD</w:t>
            </w:r>
          </w:p>
        </w:tc>
        <w:tc>
          <w:tcPr>
            <w:tcW w:type="dxa" w:w="16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DEDICACIÓN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Director de Proyecto (PM)</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PMP o Scrum Master, experiencia en software agro</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$6,500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Arquitecto de Software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Senior, microservicios, cloud AWS/GCP, APIs REST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$7,000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Tech Lead Backend</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Node.js/Python, PostgreSQL/PostGIS, MQTT, IoT</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$6,000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Desarrolladores Backend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Node.js, Django o FastAPI, base de datos, APIs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$4,500 c/u</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Tech Lead Frontend</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React/Vue.js, Leaflet/MapLibre SIG, responsive</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$5,500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Desarrolladores Frontend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React o Vue.js, diseño responsivo, gráficas D3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$3,800 c/u</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Desarrolladores Móvil</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React Native o Flutter, GPS, offline, BLE/IoT</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$4,500 c/u</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Especialista GIS/SIG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PostGIS, QGIS, Leaflet, GeoServer, OGC standards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$5,000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fases 2-7</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Especialista IoT</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MQTT, LoRa, Raspberry Pi, electrónica básica, firmware</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$5,500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fases 3-8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Científico de Datos / IA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Python, scikit-learn, modelos predictivos agro, ML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$5,500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fases 5-9</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Especialista NIIF/Contabilidad</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NIIF agro, NIC 41, PUC colombiano, ERPs</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$4,500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70% — fases 7-12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DevOps / Cloud Engineer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AWS/GCP, Docker, Kubernetes, CI/CD, seguridad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$5,500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QA Lead + Ingenieros QA</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Pruebas automatizadas, seguridad, penetración</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$3,200 c/u</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UX/UI Designer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Figma, diseño agrícola, mobile-first, accesibilidad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$3,500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 24 meses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Soporte Técnico IoT/Red</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Redes, instalación antenas, mantenimiento hardware</w:t>
            </w:r>
          </w:p>
        </w:tc>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$2,800</w:t>
            </w:r>
          </w:p>
        </w:tc>
        <w:tc>
          <w:tcPr>
            <w:tcW w:type="dxa" w:w="1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50% — todo el proyecto</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6.1 Costos del Equipo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PERÍODO</w:t>
            </w:r>
          </w:p>
        </w:tc>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EQUIPO ACTIVO (personas)</w:t>
            </w:r>
          </w:p>
        </w:tc>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COSTO MENSUAL TOTAL</w:t>
            </w:r>
          </w:p>
        </w:tc>
        <w:tc>
          <w:tcPr>
            <w:tcW w:type="dxa" w:w="21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SUBTOTAL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1-6 (Fase inicial)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 personas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$56,000/mes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$336,000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7-12 (Núcleo IoT/GIS)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 personas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$75,000/mes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$450,000</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13-18 (IA y finanzas)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16 personas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$78,000/mes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$468,000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19-24 (NIIF y cierre)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14 personas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$65,000/mes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$390,000</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TOTAL EQUIPO 24 MESES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$1,644,000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FFF9C4"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NOTA IMPORTANTE SOBRE EL PRESUPUESTO DE EQUIPO</w:t>
            </w:r>
          </w:p>
          <w:p>
            <w:pPr>
              <w:spacing w:after="40" w:before="40"/>
            </w:pPr>
            <w:r>
              <w:rPr>
                <w:rFonts w:ascii="Arial" w:cs="Arial" w:eastAsia="Arial" w:hAnsi="Arial"/>
                <w:color w:val="212121"/>
                <w:sz w:val="19"/>
                <w:szCs w:val="19"/>
              </w:rPr>
              <w:t xml:space="preserve">✦ El costo del equipo es el ítem más grande del proyecto (como en todo desarrollo de software de alta complejidad).</w:t>
            </w:r>
          </w:p>
          <w:p>
            <w:pPr>
              <w:spacing w:after="40" w:before="40"/>
            </w:pPr>
            <w:r>
              <w:rPr>
                <w:rFonts w:ascii="Arial" w:cs="Arial" w:eastAsia="Arial" w:hAnsi="Arial"/>
                <w:color w:val="212121"/>
                <w:sz w:val="19"/>
                <w:szCs w:val="19"/>
              </w:rPr>
              <w:t xml:space="preserve">✦ Se puede reducir significativamente contratando el equipo en Colombia donde los salarios son 40-60% menores que en EE.UU.</w:t>
            </w:r>
          </w:p>
          <w:p>
            <w:pPr>
              <w:spacing w:after="40" w:before="40"/>
            </w:pPr>
            <w:r>
              <w:rPr>
                <w:rFonts w:ascii="Arial" w:cs="Arial" w:eastAsia="Arial" w:hAnsi="Arial"/>
                <w:color w:val="212121"/>
                <w:sz w:val="19"/>
                <w:szCs w:val="19"/>
              </w:rPr>
              <w:t xml:space="preserve">✦ Con equipo 100% colombiano senior el costo total del equipo puede estar entre USD $480,000 y $620,000 (24 meses).</w:t>
            </w:r>
          </w:p>
          <w:p>
            <w:pPr>
              <w:spacing w:after="40" w:before="40"/>
            </w:pPr>
            <w:r>
              <w:rPr>
                <w:rFonts w:ascii="Arial" w:cs="Arial" w:eastAsia="Arial" w:hAnsi="Arial"/>
                <w:color w:val="212121"/>
                <w:sz w:val="19"/>
                <w:szCs w:val="19"/>
              </w:rPr>
              <w:t xml:space="preserve">✦ La recomendación es un modelo híbrido: dirección y arquitectura local, desarrollo distribuido (Colombia + outsourcing).</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7. PRESUPUESTO Y COSTOS TOTALES DEL PROYECTO</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7.1 Escenario Recomendado — Equipo Mixto Colombia + Outsourcing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680"/>
        <w:gridCol w:w="1080"/>
      </w:tblGrid>
      <w:tr>
        <w:tc>
          <w:tcPr>
            <w:tcW w:type="dxa" w:w="2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CATEGORÍA DE COSTO</w:t>
            </w:r>
          </w:p>
        </w:tc>
        <w:tc>
          <w:tcPr>
            <w:tcW w:type="dxa" w:w="4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68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COSTO USD</w:t>
            </w:r>
          </w:p>
        </w:tc>
        <w:tc>
          <w:tcPr>
            <w:tcW w:type="dxa" w:w="108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 DEL TOTAL</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Desarrollo de Software</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Equipo completo 24 meses (salarios, herramientas, licencias)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$520,000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Infraestructura Cloud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AWS/GCP servidores, CDN, backups, seguridad (3 años)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$43,200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Red de Antenas Araña</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Equipos, instalación y configuración completa hacienda</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$23,380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Sistema IoT y Sensores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Estaciones, sensores suelo, caudalímetros, electroválvulas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$14,710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Sistema de Vigilancia</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Cámaras IP, NVR, software VMS, instalación</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$18,060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GPS Vehicular y Móvil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Dispositivos GPS, app empleados, servidores tracking</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$12,500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Licencias y APIs terceros</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Google Maps, DIAN, ICA, SIPSA, Open-Meteo Pro (3 años)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$18,000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UX/UI y Diseño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Prototipado, pruebas de usuario, guía de estilos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QA y Seguridad</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Pruebas penetración, certificación seguridad, auditoría código</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$22,000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Capacitación y Documentación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Manuales, videos tutoriales, capacitación in-situ en hacienda</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$15,000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Legal y Registro</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Registro software DNDA Colombia, marca, términos de uso</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$8,000</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Gestión de Proyecto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Scrum, herramientas PM, viáticos, coordinación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$28,000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Contingencia (15%)</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Imprevistos técnicos, cambios de alcance, retrabajo</w:t>
            </w:r>
          </w:p>
        </w:tc>
        <w:tc>
          <w:tcPr>
            <w:tcW w:type="dxa" w:w="1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$107,828</w:t>
            </w:r>
          </w:p>
        </w:tc>
        <w:tc>
          <w:tcPr>
            <w:tcW w:type="dxa" w:w="10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INVERSIÓN TOTAL DEL PROYECTO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COSTO COMPLETO DEL PROYECTO FUNCIONAL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$848,678</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7.2 Tres Escenarios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2200"/>
        <w:gridCol w:w="1060"/>
      </w:tblGrid>
      <w:tr>
        <w:tc>
          <w:tcPr>
            <w:tcW w:type="dxa" w:w="1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ESCENARIO</w:t>
            </w:r>
          </w:p>
        </w:tc>
        <w:tc>
          <w:tcPr>
            <w:tcW w:type="dxa" w:w="4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INVERSIÓN TOTAL</w:t>
            </w:r>
          </w:p>
        </w:tc>
        <w:tc>
          <w:tcPr>
            <w:tcW w:type="dxa" w:w="10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PLAZO</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BÁSICO</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Solo software (módulos 1-26), sin IoT físico ni antenas, cloud mínimo</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$320,000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18 meses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INTERMEDIO ⭐ RECOMENDADO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Software completo (32 módulos) + red antenas + IoT básico + cámaras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$610,000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22 meses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COMPLETO PREMIUM</w:t>
            </w:r>
          </w:p>
        </w:tc>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Todo lo anterior + IA avanzada + drones + LiDAR + laboratorio digital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$950,000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28 meses</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7.3 Inversión por Fase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600"/>
        <w:gridCol w:w="1960"/>
      </w:tblGrid>
      <w:tr>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1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PERÍODO</w:t>
            </w:r>
          </w:p>
        </w:tc>
        <w:tc>
          <w:tcPr>
            <w:tcW w:type="dxa" w:w="3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MÓDULOS ENTREGADOS</w:t>
            </w:r>
          </w:p>
        </w:tc>
        <w:tc>
          <w:tcPr>
            <w:tcW w:type="dxa" w:w="1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COSTO FASE USD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0 — Infraestructura</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1-2</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Arquitectura, servidores, CI/CD, red antenas (inicio)</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$45,000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1 — Base del Sistema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2-4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Módulos 1, 2, 3 (Usuarios, Fincas, Lotes)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$55,000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2 — Núcleo Productivo</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4-8</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4 al 11 (Cultivos, Labores, Insumos, Riego...)</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3 — Recursos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7-11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Módulos 12 al 16 (RRHH, Maquinaria, Inventario, Calidad)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$80,000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4 — Trazabilidad ICA</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10-12</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 17 (Cuaderno Fitosanitario oficial)</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5 — IoT y Sensores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6-13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 28 — Hardware + software integración sensores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$55,000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6 — Cartografía SIG</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9-15</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 27 — Visor GIS, polígonos, capas, NDVI</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$65,000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7 — Finanzas y Comercio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11-15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Módulos 18 al 21 (Finanzas, Factura DIAN, Logística)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$75,000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8 — GPS y Empleados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11-16</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29, 30 (Seguimiento vehículos y empleados)</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$50,000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9 — Vigilancia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10-14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 31 — Cámaras, VMS, alertas, hardware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$38,000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10 — IA y Analítica</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15-20</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22, 23, 24 (Reportes, IA, Auditoría)</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$70,000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FASE 11 — Contabilidad NIIF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Meses 18-23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 32 — Contabilidad agrícola completa NIIF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$65,000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FASE 12 — QA, Cierre y Lanzamiento</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Meses 20-24</w:t>
            </w:r>
          </w:p>
        </w:tc>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25, 26, pruebas finales, capacitación, despliegue</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TOTAL PROYECTO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$783,000</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8. CRONOGRAMA DE ACTIVIDADES — 24 MESES</w:t>
      </w:r>
    </w:p>
    <w:p>
      <w:pPr>
        <w:spacing w:after="60" w:before="60"/>
      </w:pPr>
      <w:r>
        <w:t xml:space="preserve"/>
      </w:r>
    </w:p>
    <w:p>
      <w:pPr>
        <w:spacing w:after="80" w:before="80"/>
        <w:jc w:val="both"/>
      </w:pPr>
      <w:r>
        <w:rPr>
          <w:rFonts w:ascii="Arial" w:cs="Arial" w:eastAsia="Arial" w:hAnsi="Arial"/>
          <w:color w:val="212121"/>
          <w:sz w:val="20"/>
          <w:szCs w:val="20"/>
        </w:rPr>
        <w:t xml:space="preserve">El proyecto se ejecuta en metodología Scrum con sprints de 2 semanas. Cada fase entrega valor funcional incremental, de modo que la hacienda puede empezar a usar el sistema desde el mes 4.</w:t>
      </w:r>
    </w:p>
    <w:p>
      <w:pPr>
        <w:spacing w:after="60" w:before="60"/>
      </w:pPr>
      <w:r>
        <w:t xml:space="preserve"/>
      </w:r>
    </w:p>
    <w:p>
      <w:pPr>
        <w:spacing w:after="120" w:before="160"/>
      </w:pPr>
      <w:r>
        <w:rPr>
          <w:rFonts w:ascii="Arial" w:cs="Arial" w:eastAsia="Arial" w:hAnsi="Arial"/>
          <w:b/>
          <w:bCs/>
          <w:color w:val="0D4A1F"/>
          <w:sz w:val="22"/>
          <w:szCs w:val="22"/>
        </w:rPr>
        <w:t xml:space="preserve">DIAGRAMA GANTT — FASES DEL PROYECTO (24 MESES)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8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gridCol w:w="370"/>
      </w:tblGrid>
      <w:tr>
        <w:tc>
          <w:tcPr>
            <w:tcW w:type="dxa" w:w="2480"/>
            <w:tcBorders>
              <w:top w:val="single" w:color="CCCCCC" w:sz="1"/>
              <w:left w:val="single" w:color="CCCCCC" w:sz="1"/>
              <w:bottom w:val="single" w:color="CCCCCC" w:sz="1"/>
              <w:right w:val="single" w:color="CCCCCC" w:sz="1"/>
            </w:tcBorders>
            <w:shd w:fill="0D4A1F" w:val="clear"/>
            <w:tcMar>
              <w:top w:type="dxa" w:w="60"/>
              <w:left w:type="dxa" w:w="100"/>
              <w:bottom w:type="dxa" w:w="60"/>
              <w:right w:type="dxa" w:w="100"/>
            </w:tcMar>
          </w:tcPr>
          <w:p>
            <w:r>
              <w:rPr>
                <w:rFonts w:ascii="Arial" w:cs="Arial" w:eastAsia="Arial" w:hAnsi="Arial"/>
                <w:b/>
                <w:bCs/>
                <w:color w:val="FFFFFF"/>
                <w:sz w:val="16"/>
                <w:szCs w:val="16"/>
              </w:rPr>
              <w:t xml:space="preserve">FASE / ACTIVIDAD</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M3</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M4</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M5</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M6</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M7</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M8</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M9</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M10</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M11</w:t>
            </w:r>
          </w:p>
        </w:tc>
        <w:tc>
          <w:tcPr>
            <w:tcW w:type="dxa" w:w="370"/>
            <w:tcBorders>
              <w:top w:val="single" w:color="CCCCCC" w:sz="1"/>
              <w:left w:val="single" w:color="CCCCCC" w:sz="1"/>
              <w:bottom w:val="single" w:color="CCCCCC" w:sz="1"/>
              <w:right w:val="single" w:color="CCCCCC" w:sz="1"/>
            </w:tcBorders>
            <w:shd w:fill="1B5E20"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M12</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M13</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M14</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M15</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M16</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M17</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M18</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M19</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M20</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M21</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M22</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M23</w:t>
            </w:r>
          </w:p>
        </w:tc>
        <w:tc>
          <w:tcPr>
            <w:tcW w:type="dxa" w:w="370"/>
            <w:tcBorders>
              <w:top w:val="single" w:color="CCCCCC" w:sz="1"/>
              <w:left w:val="single" w:color="CCCCCC" w:sz="1"/>
              <w:bottom w:val="single" w:color="CCCCCC" w:sz="1"/>
              <w:right w:val="single" w:color="CCCCCC" w:sz="1"/>
            </w:tcBorders>
            <w:shd w:fill="0D3B14"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M24</w:t>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0 — Infraestructura y Arquitectura</w:t>
            </w:r>
          </w:p>
        </w:tc>
        <w:tc>
          <w:tcPr>
            <w:tcW w:type="dxa" w:w="370"/>
            <w:tcBorders>
              <w:top w:val="single" w:color="CCCCCC" w:sz="1"/>
              <w:left w:val="single" w:color="CCCCCC" w:sz="1"/>
              <w:bottom w:val="single" w:color="CCCCCC" w:sz="1"/>
              <w:right w:val="single" w:color="CCCCCC" w:sz="1"/>
            </w:tcBorders>
            <w:shd w:fill="1565C0" w:val="clear"/>
            <w:tcMar>
              <w:top w:type="dxa" w:w="50"/>
              <w:left w:type="dxa" w:w="0"/>
              <w:bottom w:type="dxa" w:w="50"/>
              <w:right w:type="dxa" w:w="0"/>
            </w:tcMar>
          </w:tcPr>
          <w:p>
            <w:r>
              <w:rPr>
                <w:color w:val="1565C0"/>
                <w:sz w:val="14"/>
                <w:szCs w:val="14"/>
              </w:rPr>
              <w:t xml:space="preserve">█</w:t>
            </w:r>
          </w:p>
        </w:tc>
        <w:tc>
          <w:tcPr>
            <w:tcW w:type="dxa" w:w="370"/>
            <w:tcBorders>
              <w:top w:val="single" w:color="CCCCCC" w:sz="1"/>
              <w:left w:val="single" w:color="CCCCCC" w:sz="1"/>
              <w:bottom w:val="single" w:color="CCCCCC" w:sz="1"/>
              <w:right w:val="single" w:color="CCCCCC" w:sz="1"/>
            </w:tcBorders>
            <w:shd w:fill="1565C0" w:val="clear"/>
            <w:tcMar>
              <w:top w:type="dxa" w:w="50"/>
              <w:left w:type="dxa" w:w="0"/>
              <w:bottom w:type="dxa" w:w="50"/>
              <w:right w:type="dxa" w:w="0"/>
            </w:tcMar>
          </w:tcPr>
          <w:p>
            <w:r>
              <w:rPr>
                <w:color w:val="1565C0"/>
                <w:sz w:val="14"/>
                <w:szCs w:val="14"/>
              </w:rPr>
              <w:t xml:space="preserve">█</w:t>
            </w:r>
          </w:p>
        </w:tc>
        <w:tc>
          <w:tcPr>
            <w:tcW w:type="dxa" w:w="370"/>
            <w:tcBorders>
              <w:top w:val="single" w:color="CCCCCC" w:sz="1"/>
              <w:left w:val="single" w:color="CCCCCC" w:sz="1"/>
              <w:bottom w:val="single" w:color="CCCCCC" w:sz="1"/>
              <w:right w:val="single" w:color="CCCCCC" w:sz="1"/>
            </w:tcBorders>
            <w:shd w:fill="1565C0" w:val="clear"/>
            <w:tcMar>
              <w:top w:type="dxa" w:w="50"/>
              <w:left w:type="dxa" w:w="0"/>
              <w:bottom w:type="dxa" w:w="50"/>
              <w:right w:type="dxa" w:w="0"/>
            </w:tcMar>
          </w:tcPr>
          <w:p>
            <w:r>
              <w:rPr>
                <w:color w:val="1565C0"/>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1 — Módulos Base (Usuarios, Fincas, Lotes)</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1B6B2F" w:val="clear"/>
            <w:tcMar>
              <w:top w:type="dxa" w:w="50"/>
              <w:left w:type="dxa" w:w="0"/>
              <w:bottom w:type="dxa" w:w="50"/>
              <w:right w:type="dxa" w:w="0"/>
            </w:tcMar>
          </w:tcPr>
          <w:p>
            <w:r>
              <w:rPr>
                <w:color w:val="1B6B2F"/>
                <w:sz w:val="14"/>
                <w:szCs w:val="14"/>
              </w:rPr>
              <w:t xml:space="preserve">█</w:t>
            </w:r>
          </w:p>
        </w:tc>
        <w:tc>
          <w:tcPr>
            <w:tcW w:type="dxa" w:w="370"/>
            <w:tcBorders>
              <w:top w:val="single" w:color="CCCCCC" w:sz="1"/>
              <w:left w:val="single" w:color="CCCCCC" w:sz="1"/>
              <w:bottom w:val="single" w:color="CCCCCC" w:sz="1"/>
              <w:right w:val="single" w:color="CCCCCC" w:sz="1"/>
            </w:tcBorders>
            <w:shd w:fill="1B6B2F" w:val="clear"/>
            <w:tcMar>
              <w:top w:type="dxa" w:w="50"/>
              <w:left w:type="dxa" w:w="0"/>
              <w:bottom w:type="dxa" w:w="50"/>
              <w:right w:type="dxa" w:w="0"/>
            </w:tcMar>
          </w:tcPr>
          <w:p>
            <w:r>
              <w:rPr>
                <w:color w:val="1B6B2F"/>
                <w:sz w:val="14"/>
                <w:szCs w:val="14"/>
              </w:rPr>
              <w:t xml:space="preserve">█</w:t>
            </w:r>
          </w:p>
        </w:tc>
        <w:tc>
          <w:tcPr>
            <w:tcW w:type="dxa" w:w="370"/>
            <w:tcBorders>
              <w:top w:val="single" w:color="CCCCCC" w:sz="1"/>
              <w:left w:val="single" w:color="CCCCCC" w:sz="1"/>
              <w:bottom w:val="single" w:color="CCCCCC" w:sz="1"/>
              <w:right w:val="single" w:color="CCCCCC" w:sz="1"/>
            </w:tcBorders>
            <w:shd w:fill="1B6B2F" w:val="clear"/>
            <w:tcMar>
              <w:top w:type="dxa" w:w="50"/>
              <w:left w:type="dxa" w:w="0"/>
              <w:bottom w:type="dxa" w:w="50"/>
              <w:right w:type="dxa" w:w="0"/>
            </w:tcMar>
          </w:tcPr>
          <w:p>
            <w:r>
              <w:rPr>
                <w:color w:val="1B6B2F"/>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2 — Núcleo Productivo (Módulos 4–11)</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2E7D32" w:val="clear"/>
            <w:tcMar>
              <w:top w:type="dxa" w:w="50"/>
              <w:left w:type="dxa" w:w="0"/>
              <w:bottom w:type="dxa" w:w="50"/>
              <w:right w:type="dxa" w:w="0"/>
            </w:tcMar>
          </w:tcPr>
          <w:p>
            <w:r>
              <w:rPr>
                <w:color w:val="2E7D32"/>
                <w:sz w:val="14"/>
                <w:szCs w:val="14"/>
              </w:rPr>
              <w:t xml:space="preserve">█</w:t>
            </w:r>
          </w:p>
        </w:tc>
        <w:tc>
          <w:tcPr>
            <w:tcW w:type="dxa" w:w="370"/>
            <w:tcBorders>
              <w:top w:val="single" w:color="CCCCCC" w:sz="1"/>
              <w:left w:val="single" w:color="CCCCCC" w:sz="1"/>
              <w:bottom w:val="single" w:color="CCCCCC" w:sz="1"/>
              <w:right w:val="single" w:color="CCCCCC" w:sz="1"/>
            </w:tcBorders>
            <w:shd w:fill="2E7D32" w:val="clear"/>
            <w:tcMar>
              <w:top w:type="dxa" w:w="50"/>
              <w:left w:type="dxa" w:w="0"/>
              <w:bottom w:type="dxa" w:w="50"/>
              <w:right w:type="dxa" w:w="0"/>
            </w:tcMar>
          </w:tcPr>
          <w:p>
            <w:r>
              <w:rPr>
                <w:color w:val="2E7D32"/>
                <w:sz w:val="14"/>
                <w:szCs w:val="14"/>
              </w:rPr>
              <w:t xml:space="preserve">█</w:t>
            </w:r>
          </w:p>
        </w:tc>
        <w:tc>
          <w:tcPr>
            <w:tcW w:type="dxa" w:w="370"/>
            <w:tcBorders>
              <w:top w:val="single" w:color="CCCCCC" w:sz="1"/>
              <w:left w:val="single" w:color="CCCCCC" w:sz="1"/>
              <w:bottom w:val="single" w:color="CCCCCC" w:sz="1"/>
              <w:right w:val="single" w:color="CCCCCC" w:sz="1"/>
            </w:tcBorders>
            <w:shd w:fill="2E7D32" w:val="clear"/>
            <w:tcMar>
              <w:top w:type="dxa" w:w="50"/>
              <w:left w:type="dxa" w:w="0"/>
              <w:bottom w:type="dxa" w:w="50"/>
              <w:right w:type="dxa" w:w="0"/>
            </w:tcMar>
          </w:tcPr>
          <w:p>
            <w:r>
              <w:rPr>
                <w:color w:val="2E7D32"/>
                <w:sz w:val="14"/>
                <w:szCs w:val="14"/>
              </w:rPr>
              <w:t xml:space="preserve">█</w:t>
            </w:r>
          </w:p>
        </w:tc>
        <w:tc>
          <w:tcPr>
            <w:tcW w:type="dxa" w:w="370"/>
            <w:tcBorders>
              <w:top w:val="single" w:color="CCCCCC" w:sz="1"/>
              <w:left w:val="single" w:color="CCCCCC" w:sz="1"/>
              <w:bottom w:val="single" w:color="CCCCCC" w:sz="1"/>
              <w:right w:val="single" w:color="CCCCCC" w:sz="1"/>
            </w:tcBorders>
            <w:shd w:fill="2E7D32" w:val="clear"/>
            <w:tcMar>
              <w:top w:type="dxa" w:w="50"/>
              <w:left w:type="dxa" w:w="0"/>
              <w:bottom w:type="dxa" w:w="50"/>
              <w:right w:type="dxa" w:w="0"/>
            </w:tcMar>
          </w:tcPr>
          <w:p>
            <w:r>
              <w:rPr>
                <w:color w:val="2E7D32"/>
                <w:sz w:val="14"/>
                <w:szCs w:val="14"/>
              </w:rPr>
              <w:t xml:space="preserve">█</w:t>
            </w:r>
          </w:p>
        </w:tc>
        <w:tc>
          <w:tcPr>
            <w:tcW w:type="dxa" w:w="370"/>
            <w:tcBorders>
              <w:top w:val="single" w:color="CCCCCC" w:sz="1"/>
              <w:left w:val="single" w:color="CCCCCC" w:sz="1"/>
              <w:bottom w:val="single" w:color="CCCCCC" w:sz="1"/>
              <w:right w:val="single" w:color="CCCCCC" w:sz="1"/>
            </w:tcBorders>
            <w:shd w:fill="2E7D32" w:val="clear"/>
            <w:tcMar>
              <w:top w:type="dxa" w:w="50"/>
              <w:left w:type="dxa" w:w="0"/>
              <w:bottom w:type="dxa" w:w="50"/>
              <w:right w:type="dxa" w:w="0"/>
            </w:tcMar>
          </w:tcPr>
          <w:p>
            <w:r>
              <w:rPr>
                <w:color w:val="2E7D32"/>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3 — Recursos y Operaciones (Módulos 12–16)</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388E3C" w:val="clear"/>
            <w:tcMar>
              <w:top w:type="dxa" w:w="50"/>
              <w:left w:type="dxa" w:w="0"/>
              <w:bottom w:type="dxa" w:w="50"/>
              <w:right w:type="dxa" w:w="0"/>
            </w:tcMar>
          </w:tcPr>
          <w:p>
            <w:r>
              <w:rPr>
                <w:color w:val="388E3C"/>
                <w:sz w:val="14"/>
                <w:szCs w:val="14"/>
              </w:rPr>
              <w:t xml:space="preserve">█</w:t>
            </w:r>
          </w:p>
        </w:tc>
        <w:tc>
          <w:tcPr>
            <w:tcW w:type="dxa" w:w="370"/>
            <w:tcBorders>
              <w:top w:val="single" w:color="CCCCCC" w:sz="1"/>
              <w:left w:val="single" w:color="CCCCCC" w:sz="1"/>
              <w:bottom w:val="single" w:color="CCCCCC" w:sz="1"/>
              <w:right w:val="single" w:color="CCCCCC" w:sz="1"/>
            </w:tcBorders>
            <w:shd w:fill="388E3C" w:val="clear"/>
            <w:tcMar>
              <w:top w:type="dxa" w:w="50"/>
              <w:left w:type="dxa" w:w="0"/>
              <w:bottom w:type="dxa" w:w="50"/>
              <w:right w:type="dxa" w:w="0"/>
            </w:tcMar>
          </w:tcPr>
          <w:p>
            <w:r>
              <w:rPr>
                <w:color w:val="388E3C"/>
                <w:sz w:val="14"/>
                <w:szCs w:val="14"/>
              </w:rPr>
              <w:t xml:space="preserve">█</w:t>
            </w:r>
          </w:p>
        </w:tc>
        <w:tc>
          <w:tcPr>
            <w:tcW w:type="dxa" w:w="370"/>
            <w:tcBorders>
              <w:top w:val="single" w:color="CCCCCC" w:sz="1"/>
              <w:left w:val="single" w:color="CCCCCC" w:sz="1"/>
              <w:bottom w:val="single" w:color="CCCCCC" w:sz="1"/>
              <w:right w:val="single" w:color="CCCCCC" w:sz="1"/>
            </w:tcBorders>
            <w:shd w:fill="388E3C" w:val="clear"/>
            <w:tcMar>
              <w:top w:type="dxa" w:w="50"/>
              <w:left w:type="dxa" w:w="0"/>
              <w:bottom w:type="dxa" w:w="50"/>
              <w:right w:type="dxa" w:w="0"/>
            </w:tcMar>
          </w:tcPr>
          <w:p>
            <w:r>
              <w:rPr>
                <w:color w:val="388E3C"/>
                <w:sz w:val="14"/>
                <w:szCs w:val="14"/>
              </w:rPr>
              <w:t xml:space="preserve">█</w:t>
            </w:r>
          </w:p>
        </w:tc>
        <w:tc>
          <w:tcPr>
            <w:tcW w:type="dxa" w:w="370"/>
            <w:tcBorders>
              <w:top w:val="single" w:color="CCCCCC" w:sz="1"/>
              <w:left w:val="single" w:color="CCCCCC" w:sz="1"/>
              <w:bottom w:val="single" w:color="CCCCCC" w:sz="1"/>
              <w:right w:val="single" w:color="CCCCCC" w:sz="1"/>
            </w:tcBorders>
            <w:shd w:fill="388E3C" w:val="clear"/>
            <w:tcMar>
              <w:top w:type="dxa" w:w="50"/>
              <w:left w:type="dxa" w:w="0"/>
              <w:bottom w:type="dxa" w:w="50"/>
              <w:right w:type="dxa" w:w="0"/>
            </w:tcMar>
          </w:tcPr>
          <w:p>
            <w:r>
              <w:rPr>
                <w:color w:val="388E3C"/>
                <w:sz w:val="14"/>
                <w:szCs w:val="14"/>
              </w:rPr>
              <w:t xml:space="preserve">█</w:t>
            </w:r>
          </w:p>
        </w:tc>
        <w:tc>
          <w:tcPr>
            <w:tcW w:type="dxa" w:w="370"/>
            <w:tcBorders>
              <w:top w:val="single" w:color="CCCCCC" w:sz="1"/>
              <w:left w:val="single" w:color="CCCCCC" w:sz="1"/>
              <w:bottom w:val="single" w:color="CCCCCC" w:sz="1"/>
              <w:right w:val="single" w:color="CCCCCC" w:sz="1"/>
            </w:tcBorders>
            <w:shd w:fill="388E3C" w:val="clear"/>
            <w:tcMar>
              <w:top w:type="dxa" w:w="50"/>
              <w:left w:type="dxa" w:w="0"/>
              <w:bottom w:type="dxa" w:w="50"/>
              <w:right w:type="dxa" w:w="0"/>
            </w:tcMar>
          </w:tcPr>
          <w:p>
            <w:r>
              <w:rPr>
                <w:color w:val="388E3C"/>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4 — Trazabilidad ICA (Módulo 17)</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43A047" w:val="clear"/>
            <w:tcMar>
              <w:top w:type="dxa" w:w="50"/>
              <w:left w:type="dxa" w:w="0"/>
              <w:bottom w:type="dxa" w:w="50"/>
              <w:right w:type="dxa" w:w="0"/>
            </w:tcMar>
          </w:tcPr>
          <w:p>
            <w:r>
              <w:rPr>
                <w:color w:val="43A047"/>
                <w:sz w:val="14"/>
                <w:szCs w:val="14"/>
              </w:rPr>
              <w:t xml:space="preserve">█</w:t>
            </w:r>
          </w:p>
        </w:tc>
        <w:tc>
          <w:tcPr>
            <w:tcW w:type="dxa" w:w="370"/>
            <w:tcBorders>
              <w:top w:val="single" w:color="CCCCCC" w:sz="1"/>
              <w:left w:val="single" w:color="CCCCCC" w:sz="1"/>
              <w:bottom w:val="single" w:color="CCCCCC" w:sz="1"/>
              <w:right w:val="single" w:color="CCCCCC" w:sz="1"/>
            </w:tcBorders>
            <w:shd w:fill="43A047" w:val="clear"/>
            <w:tcMar>
              <w:top w:type="dxa" w:w="50"/>
              <w:left w:type="dxa" w:w="0"/>
              <w:bottom w:type="dxa" w:w="50"/>
              <w:right w:type="dxa" w:w="0"/>
            </w:tcMar>
          </w:tcPr>
          <w:p>
            <w:r>
              <w:rPr>
                <w:color w:val="43A047"/>
                <w:sz w:val="14"/>
                <w:szCs w:val="14"/>
              </w:rPr>
              <w:t xml:space="preserve">█</w:t>
            </w:r>
          </w:p>
        </w:tc>
        <w:tc>
          <w:tcPr>
            <w:tcW w:type="dxa" w:w="370"/>
            <w:tcBorders>
              <w:top w:val="single" w:color="CCCCCC" w:sz="1"/>
              <w:left w:val="single" w:color="CCCCCC" w:sz="1"/>
              <w:bottom w:val="single" w:color="CCCCCC" w:sz="1"/>
              <w:right w:val="single" w:color="CCCCCC" w:sz="1"/>
            </w:tcBorders>
            <w:shd w:fill="43A047" w:val="clear"/>
            <w:tcMar>
              <w:top w:type="dxa" w:w="50"/>
              <w:left w:type="dxa" w:w="0"/>
              <w:bottom w:type="dxa" w:w="50"/>
              <w:right w:type="dxa" w:w="0"/>
            </w:tcMar>
          </w:tcPr>
          <w:p>
            <w:r>
              <w:rPr>
                <w:color w:val="43A047"/>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5 — Finanzas y Comercial (Módulos 18–21)</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689F38" w:val="clear"/>
            <w:tcMar>
              <w:top w:type="dxa" w:w="50"/>
              <w:left w:type="dxa" w:w="0"/>
              <w:bottom w:type="dxa" w:w="50"/>
              <w:right w:type="dxa" w:w="0"/>
            </w:tcMar>
          </w:tcPr>
          <w:p>
            <w:r>
              <w:rPr>
                <w:color w:val="689F38"/>
                <w:sz w:val="14"/>
                <w:szCs w:val="14"/>
              </w:rPr>
              <w:t xml:space="preserve">█</w:t>
            </w:r>
          </w:p>
        </w:tc>
        <w:tc>
          <w:tcPr>
            <w:tcW w:type="dxa" w:w="370"/>
            <w:tcBorders>
              <w:top w:val="single" w:color="CCCCCC" w:sz="1"/>
              <w:left w:val="single" w:color="CCCCCC" w:sz="1"/>
              <w:bottom w:val="single" w:color="CCCCCC" w:sz="1"/>
              <w:right w:val="single" w:color="CCCCCC" w:sz="1"/>
            </w:tcBorders>
            <w:shd w:fill="689F38" w:val="clear"/>
            <w:tcMar>
              <w:top w:type="dxa" w:w="50"/>
              <w:left w:type="dxa" w:w="0"/>
              <w:bottom w:type="dxa" w:w="50"/>
              <w:right w:type="dxa" w:w="0"/>
            </w:tcMar>
          </w:tcPr>
          <w:p>
            <w:r>
              <w:rPr>
                <w:color w:val="689F38"/>
                <w:sz w:val="14"/>
                <w:szCs w:val="14"/>
              </w:rPr>
              <w:t xml:space="preserve">█</w:t>
            </w:r>
          </w:p>
        </w:tc>
        <w:tc>
          <w:tcPr>
            <w:tcW w:type="dxa" w:w="370"/>
            <w:tcBorders>
              <w:top w:val="single" w:color="CCCCCC" w:sz="1"/>
              <w:left w:val="single" w:color="CCCCCC" w:sz="1"/>
              <w:bottom w:val="single" w:color="CCCCCC" w:sz="1"/>
              <w:right w:val="single" w:color="CCCCCC" w:sz="1"/>
            </w:tcBorders>
            <w:shd w:fill="689F38" w:val="clear"/>
            <w:tcMar>
              <w:top w:type="dxa" w:w="50"/>
              <w:left w:type="dxa" w:w="0"/>
              <w:bottom w:type="dxa" w:w="50"/>
              <w:right w:type="dxa" w:w="0"/>
            </w:tcMar>
          </w:tcPr>
          <w:p>
            <w:r>
              <w:rPr>
                <w:color w:val="689F38"/>
                <w:sz w:val="14"/>
                <w:szCs w:val="14"/>
              </w:rPr>
              <w:t xml:space="preserve">█</w:t>
            </w:r>
          </w:p>
        </w:tc>
        <w:tc>
          <w:tcPr>
            <w:tcW w:type="dxa" w:w="370"/>
            <w:tcBorders>
              <w:top w:val="single" w:color="CCCCCC" w:sz="1"/>
              <w:left w:val="single" w:color="CCCCCC" w:sz="1"/>
              <w:bottom w:val="single" w:color="CCCCCC" w:sz="1"/>
              <w:right w:val="single" w:color="CCCCCC" w:sz="1"/>
            </w:tcBorders>
            <w:shd w:fill="689F38" w:val="clear"/>
            <w:tcMar>
              <w:top w:type="dxa" w:w="50"/>
              <w:left w:type="dxa" w:w="0"/>
              <w:bottom w:type="dxa" w:w="50"/>
              <w:right w:type="dxa" w:w="0"/>
            </w:tcMar>
          </w:tcPr>
          <w:p>
            <w:r>
              <w:rPr>
                <w:color w:val="689F38"/>
                <w:sz w:val="14"/>
                <w:szCs w:val="14"/>
              </w:rPr>
              <w:t xml:space="preserve">█</w:t>
            </w:r>
          </w:p>
        </w:tc>
        <w:tc>
          <w:tcPr>
            <w:tcW w:type="dxa" w:w="370"/>
            <w:tcBorders>
              <w:top w:val="single" w:color="CCCCCC" w:sz="1"/>
              <w:left w:val="single" w:color="CCCCCC" w:sz="1"/>
              <w:bottom w:val="single" w:color="CCCCCC" w:sz="1"/>
              <w:right w:val="single" w:color="CCCCCC" w:sz="1"/>
            </w:tcBorders>
            <w:shd w:fill="689F38" w:val="clear"/>
            <w:tcMar>
              <w:top w:type="dxa" w:w="50"/>
              <w:left w:type="dxa" w:w="0"/>
              <w:bottom w:type="dxa" w:w="50"/>
              <w:right w:type="dxa" w:w="0"/>
            </w:tcMar>
          </w:tcPr>
          <w:p>
            <w:r>
              <w:rPr>
                <w:color w:val="689F38"/>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6 — IoT, Sensores y Cámaras</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57C00" w:val="clear"/>
            <w:tcMar>
              <w:top w:type="dxa" w:w="50"/>
              <w:left w:type="dxa" w:w="0"/>
              <w:bottom w:type="dxa" w:w="50"/>
              <w:right w:type="dxa" w:w="0"/>
            </w:tcMar>
          </w:tcPr>
          <w:p>
            <w:r>
              <w:rPr>
                <w:color w:val="F57C00"/>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7 — Cartografía y SIG (GIS)</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6A1B9A" w:val="clear"/>
            <w:tcMar>
              <w:top w:type="dxa" w:w="50"/>
              <w:left w:type="dxa" w:w="0"/>
              <w:bottom w:type="dxa" w:w="50"/>
              <w:right w:type="dxa" w:w="0"/>
            </w:tcMar>
          </w:tcPr>
          <w:p>
            <w:r>
              <w:rPr>
                <w:color w:val="6A1B9A"/>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8 — Seguimiento Vehicular y Empleados</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C62828" w:val="clear"/>
            <w:tcMar>
              <w:top w:type="dxa" w:w="50"/>
              <w:left w:type="dxa" w:w="0"/>
              <w:bottom w:type="dxa" w:w="50"/>
              <w:right w:type="dxa" w:w="0"/>
            </w:tcMar>
          </w:tcPr>
          <w:p>
            <w:r>
              <w:rPr>
                <w:color w:val="C62828"/>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9 — Red de Antenas Araña</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00838F" w:val="clear"/>
            <w:tcMar>
              <w:top w:type="dxa" w:w="50"/>
              <w:left w:type="dxa" w:w="0"/>
              <w:bottom w:type="dxa" w:w="50"/>
              <w:right w:type="dxa" w:w="0"/>
            </w:tcMar>
          </w:tcPr>
          <w:p>
            <w:r>
              <w:rPr>
                <w:color w:val="00838F"/>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10 — IA Insights y Analítica (22–23)</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4527A0" w:val="clear"/>
            <w:tcMar>
              <w:top w:type="dxa" w:w="50"/>
              <w:left w:type="dxa" w:w="0"/>
              <w:bottom w:type="dxa" w:w="50"/>
              <w:right w:type="dxa" w:w="0"/>
            </w:tcMar>
          </w:tcPr>
          <w:p>
            <w:r>
              <w:rPr>
                <w:color w:val="4527A0"/>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11 — Contabilidad Agrícola NIIF (Módulo 32)</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558B2F" w:val="clear"/>
            <w:tcMar>
              <w:top w:type="dxa" w:w="50"/>
              <w:left w:type="dxa" w:w="0"/>
              <w:bottom w:type="dxa" w:w="50"/>
              <w:right w:type="dxa" w:w="0"/>
            </w:tcMar>
          </w:tcPr>
          <w:p>
            <w:r>
              <w:rPr>
                <w:color w:val="558B2F"/>
                <w:sz w:val="14"/>
                <w:szCs w:val="14"/>
              </w:rPr>
              <w:t xml:space="preserve">█</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FASE 12 — Auditoría, Ajustes, Dashboard Final</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37474F" w:val="clear"/>
            <w:tcMar>
              <w:top w:type="dxa" w:w="50"/>
              <w:left w:type="dxa" w:w="0"/>
              <w:bottom w:type="dxa" w:w="50"/>
              <w:right w:type="dxa" w:w="0"/>
            </w:tcMar>
          </w:tcPr>
          <w:p>
            <w:r>
              <w:rPr>
                <w:color w:val="37474F"/>
                <w:sz w:val="14"/>
                <w:szCs w:val="14"/>
              </w:rPr>
              <w:t xml:space="preserve">█</w:t>
            </w:r>
          </w:p>
        </w:tc>
        <w:tc>
          <w:tcPr>
            <w:tcW w:type="dxa" w:w="370"/>
            <w:tcBorders>
              <w:top w:val="single" w:color="CCCCCC" w:sz="1"/>
              <w:left w:val="single" w:color="CCCCCC" w:sz="1"/>
              <w:bottom w:val="single" w:color="CCCCCC" w:sz="1"/>
              <w:right w:val="single" w:color="CCCCCC" w:sz="1"/>
            </w:tcBorders>
            <w:shd w:fill="37474F" w:val="clear"/>
            <w:tcMar>
              <w:top w:type="dxa" w:w="50"/>
              <w:left w:type="dxa" w:w="0"/>
              <w:bottom w:type="dxa" w:w="50"/>
              <w:right w:type="dxa" w:w="0"/>
            </w:tcMar>
          </w:tcPr>
          <w:p>
            <w:r>
              <w:rPr>
                <w:color w:val="37474F"/>
                <w:sz w:val="14"/>
                <w:szCs w:val="14"/>
              </w:rPr>
              <w:t xml:space="preserve">█</w:t>
            </w:r>
          </w:p>
        </w:tc>
        <w:tc>
          <w:tcPr>
            <w:tcW w:type="dxa" w:w="370"/>
            <w:tcBorders>
              <w:top w:val="single" w:color="CCCCCC" w:sz="1"/>
              <w:left w:val="single" w:color="CCCCCC" w:sz="1"/>
              <w:bottom w:val="single" w:color="CCCCCC" w:sz="1"/>
              <w:right w:val="single" w:color="CCCCCC" w:sz="1"/>
            </w:tcBorders>
            <w:shd w:fill="37474F" w:val="clear"/>
            <w:tcMar>
              <w:top w:type="dxa" w:w="50"/>
              <w:left w:type="dxa" w:w="0"/>
              <w:bottom w:type="dxa" w:w="50"/>
              <w:right w:type="dxa" w:w="0"/>
            </w:tcMar>
          </w:tcPr>
          <w:p>
            <w:r>
              <w:rPr>
                <w:color w:val="37474F"/>
                <w:sz w:val="14"/>
                <w:szCs w:val="14"/>
              </w:rPr>
              <w:t xml:space="preserve">█</w:t>
            </w:r>
          </w:p>
        </w:tc>
        <w:tc>
          <w:tcPr>
            <w:tcW w:type="dxa" w:w="370"/>
            <w:tcBorders>
              <w:top w:val="single" w:color="CCCCCC" w:sz="1"/>
              <w:left w:val="single" w:color="CCCCCC" w:sz="1"/>
              <w:bottom w:val="single" w:color="CCCCCC" w:sz="1"/>
              <w:right w:val="single" w:color="CCCCCC" w:sz="1"/>
            </w:tcBorders>
            <w:shd w:fill="37474F" w:val="clear"/>
            <w:tcMar>
              <w:top w:type="dxa" w:w="50"/>
              <w:left w:type="dxa" w:w="0"/>
              <w:bottom w:type="dxa" w:w="50"/>
              <w:right w:type="dxa" w:w="0"/>
            </w:tcMar>
          </w:tcPr>
          <w:p>
            <w:r>
              <w:rPr>
                <w:color w:val="37474F"/>
                <w:sz w:val="14"/>
                <w:szCs w:val="14"/>
              </w:rPr>
              <w:t xml:space="preserve">█</w:t>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QA, Pruebas y Certificación de Seguridad</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c>
          <w:tcPr>
            <w:tcW w:type="dxa" w:w="370"/>
            <w:tcBorders>
              <w:top w:val="single" w:color="CCCCCC" w:sz="1"/>
              <w:left w:val="single" w:color="CCCCCC" w:sz="1"/>
              <w:bottom w:val="single" w:color="CCCCCC" w:sz="1"/>
              <w:right w:val="single" w:color="CCCCCC" w:sz="1"/>
            </w:tcBorders>
            <w:shd w:fill="795548" w:val="clear"/>
            <w:tcMar>
              <w:top w:type="dxa" w:w="50"/>
              <w:left w:type="dxa" w:w="0"/>
              <w:bottom w:type="dxa" w:w="50"/>
              <w:right w:type="dxa" w:w="0"/>
            </w:tcMar>
          </w:tcPr>
          <w:p>
            <w:r>
              <w:rPr>
                <w:color w:val="795548"/>
                <w:sz w:val="14"/>
                <w:szCs w:val="14"/>
              </w:rPr>
              <w:t xml:space="preserve">█</w:t>
            </w:r>
          </w:p>
        </w:tc>
      </w:tr>
      <w:tr>
        <w:tc>
          <w:tcPr>
            <w:tcW w:type="dxa" w:w="248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212121"/>
                <w:sz w:val="15"/>
                <w:szCs w:val="15"/>
              </w:rPr>
              <w:t xml:space="preserve">Capacitación y Despliegue Producción</w:t>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FFFFFF" w:val="clear"/>
            <w:tcMar>
              <w:top w:type="dxa" w:w="50"/>
              <w:left w:type="dxa" w:w="0"/>
              <w:bottom w:type="dxa" w:w="50"/>
              <w:right w:type="dxa" w:w="0"/>
            </w:tcMar>
          </w:tcPr>
          <w:p>
            <w:r>
              <w:rPr>
                <w:color w:val="FFFFFF"/>
                <w:sz w:val="14"/>
                <w:szCs w:val="14"/>
              </w:rPr>
              <w:t xml:space="preserve"/>
            </w:r>
          </w:p>
        </w:tc>
        <w:tc>
          <w:tcPr>
            <w:tcW w:type="dxa" w:w="370"/>
            <w:tcBorders>
              <w:top w:val="single" w:color="CCCCCC" w:sz="1"/>
              <w:left w:val="single" w:color="CCCCCC" w:sz="1"/>
              <w:bottom w:val="single" w:color="CCCCCC" w:sz="1"/>
              <w:right w:val="single" w:color="CCCCCC" w:sz="1"/>
            </w:tcBorders>
            <w:shd w:fill="00796B" w:val="clear"/>
            <w:tcMar>
              <w:top w:type="dxa" w:w="50"/>
              <w:left w:type="dxa" w:w="0"/>
              <w:bottom w:type="dxa" w:w="50"/>
              <w:right w:type="dxa" w:w="0"/>
            </w:tcMar>
          </w:tcPr>
          <w:p>
            <w:r>
              <w:rPr>
                <w:color w:val="00796B"/>
                <w:sz w:val="14"/>
                <w:szCs w:val="14"/>
              </w:rPr>
              <w:t xml:space="preserve">█</w:t>
            </w:r>
          </w:p>
        </w:tc>
        <w:tc>
          <w:tcPr>
            <w:tcW w:type="dxa" w:w="370"/>
            <w:tcBorders>
              <w:top w:val="single" w:color="CCCCCC" w:sz="1"/>
              <w:left w:val="single" w:color="CCCCCC" w:sz="1"/>
              <w:bottom w:val="single" w:color="CCCCCC" w:sz="1"/>
              <w:right w:val="single" w:color="CCCCCC" w:sz="1"/>
            </w:tcBorders>
            <w:shd w:fill="00796B" w:val="clear"/>
            <w:tcMar>
              <w:top w:type="dxa" w:w="50"/>
              <w:left w:type="dxa" w:w="0"/>
              <w:bottom w:type="dxa" w:w="50"/>
              <w:right w:type="dxa" w:w="0"/>
            </w:tcMar>
          </w:tcPr>
          <w:p>
            <w:r>
              <w:rPr>
                <w:color w:val="00796B"/>
                <w:sz w:val="14"/>
                <w:szCs w:val="14"/>
              </w:rPr>
              <w:t xml:space="preserve">█</w:t>
            </w:r>
          </w:p>
        </w:tc>
        <w:tc>
          <w:tcPr>
            <w:tcW w:type="dxa" w:w="370"/>
            <w:tcBorders>
              <w:top w:val="single" w:color="CCCCCC" w:sz="1"/>
              <w:left w:val="single" w:color="CCCCCC" w:sz="1"/>
              <w:bottom w:val="single" w:color="CCCCCC" w:sz="1"/>
              <w:right w:val="single" w:color="CCCCCC" w:sz="1"/>
            </w:tcBorders>
            <w:shd w:fill="00796B" w:val="clear"/>
            <w:tcMar>
              <w:top w:type="dxa" w:w="50"/>
              <w:left w:type="dxa" w:w="0"/>
              <w:bottom w:type="dxa" w:w="50"/>
              <w:right w:type="dxa" w:w="0"/>
            </w:tcMar>
          </w:tcPr>
          <w:p>
            <w:r>
              <w:rPr>
                <w:color w:val="00796B"/>
                <w:sz w:val="14"/>
                <w:szCs w:val="14"/>
              </w:rPr>
              <w:t xml:space="preserve">█</w:t>
            </w:r>
          </w:p>
        </w:tc>
      </w:tr>
    </w:tbl>
    <w:p>
      <w:pPr>
        <w:spacing w:after="60" w:before="60"/>
      </w:pPr>
      <w:r>
        <w:t xml:space="preserve"/>
      </w:r>
    </w:p>
    <w:p>
      <w:pPr>
        <w:spacing w:after="80" w:before="80"/>
        <w:jc w:val="both"/>
      </w:pPr>
      <w:r>
        <w:rPr>
          <w:rFonts w:ascii="Arial" w:cs="Arial" w:eastAsia="Arial" w:hAnsi="Arial"/>
          <w:color w:val="212121"/>
          <w:sz w:val="20"/>
          <w:szCs w:val="20"/>
        </w:rPr>
        <w:t xml:space="preserve">Colores: Azul=Infraestructura | Verde=Software Agronómico | Naranja=IoT | Morado=GIS | Rojo=Tracking | Cian=Red Antenas | Violeta=IA | Verde oscuro=NIIF | Gris=QA | Teal=Capacitación</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8.1 Hitos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MES</w:t>
            </w:r>
          </w:p>
        </w:tc>
        <w:tc>
          <w:tcPr>
            <w:tcW w:type="dxa" w:w="25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HITO</w:t>
            </w:r>
          </w:p>
        </w:tc>
        <w:tc>
          <w:tcPr>
            <w:tcW w:type="dxa" w:w="60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2</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Kick-off Técnico</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Arquitectura definida, entornos dev/staging/prod listos, red antenas iniciada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 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Primer MVP Funcional</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Usuarios, Fincas y Lotes operativos — equipo puede empezar a usar el sistema</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8</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Núcleo Agronómico Activo</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4-11 completos — gestión de cultivos, labores, insumos y riego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 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Red Antenas Completa</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Toda la hacienda con conectividad WiFi y LoRa operativa</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12</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Recursos y Trazabilidad</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RRHH, Maquinaria, Inventario y Cuaderno Fitosanitario activos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 14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IoT y GIS en Producción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Sensores en campo enviando datos, mapa SIG con lotes de la hacienda</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16</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GPS y Empleados Activos</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Seguimiento de vehículos y empleados georeferenciados operativo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 18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Sistema Financiero Completo</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Finanzas, Facturación DIAN, Logística y Marketplace activos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20</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IA y Analítica</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Reportes avanzados e IA predictiva de plagas y rendimiento activa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Mes 23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Contabilidad NIIF</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 de contabilidad agrícola NIIF completamente operativo</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Mes 24</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LANZAMIENTO OFICIAL</w:t>
            </w:r>
          </w:p>
        </w:tc>
        <w:tc>
          <w:tcPr>
            <w:tcW w:type="dxa" w:w="6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Sistema completo en producción, capacitación finalizada, soporte activo</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9. MODELO DE NEGOCIO Y PRECIOS — CUÁNTO COBRAR</w:t>
      </w:r>
    </w:p>
    <w:p>
      <w:pPr>
        <w:spacing w:after="60" w:before="60"/>
      </w:pPr>
      <w:r>
        <w:t xml:space="preserve"/>
      </w:r>
    </w:p>
    <w:p>
      <w:pPr>
        <w:spacing w:after="80" w:before="80"/>
        <w:jc w:val="both"/>
      </w:pPr>
      <w:r>
        <w:rPr>
          <w:rFonts w:ascii="Arial" w:cs="Arial" w:eastAsia="Arial" w:hAnsi="Arial"/>
          <w:color w:val="212121"/>
          <w:sz w:val="20"/>
          <w:szCs w:val="20"/>
        </w:rPr>
        <w:t xml:space="preserve">Este es uno de los aspectos más críticos del proyecto. Un precio muy bajo destruye la rentabilidad y la percepción de calidad. Un precio muy alto reduce el mercado. El modelo recomendado es SaaS (Suscripción mensual/anual) por tiers, que es el estándar global para software agrícola.</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9.1 Análisis de Precios del Mercado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4360"/>
      </w:tblGrid>
      <w:tr>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COMPETIDOR</w:t>
            </w:r>
          </w:p>
        </w:tc>
        <w:tc>
          <w:tcPr>
            <w:tcW w:type="dxa" w:w="1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PAÍS</w:t>
            </w:r>
          </w:p>
        </w:tc>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 APROX.</w:t>
            </w:r>
          </w:p>
        </w:tc>
        <w:tc>
          <w:tcPr>
            <w:tcW w:type="dxa" w:w="43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MÓDULOS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Trimble Ag Software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EE.UU./Global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$200-800 USD/mes</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Gestión campo básica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Climate FieldView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EE.UU./Global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$120-500 USD/mes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Clima, datos campo</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Agromonitoring</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Global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$150-400 USD/mes</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Satélite, NDVI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AgroWin / Sigefa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Colombia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$80-300 USD/mes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Gestión básica</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Syngenta Digital</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Global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$300-1,200 USD/mes</w:t>
            </w:r>
          </w:p>
        </w:tc>
        <w:tc>
          <w:tcPr>
            <w:tcW w:type="dxa" w:w="4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Gestión agronómica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AGROTECH PALM (propuesta)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Colombia/CAM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$250-1,500 USD/mes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32 módulos completos + IoT</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9.2 Planes de Suscripción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400"/>
        <w:gridCol w:w="2760"/>
      </w:tblGrid>
      <w:tr>
        <w:tc>
          <w:tcPr>
            <w:tcW w:type="dxa" w:w="1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PERFIL DEL CLIENTE</w:t>
            </w:r>
          </w:p>
        </w:tc>
        <w:tc>
          <w:tcPr>
            <w:tcW w:type="dxa" w:w="1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PRECIO/MES</w:t>
            </w:r>
          </w:p>
        </w:tc>
        <w:tc>
          <w:tcPr>
            <w:tcW w:type="dxa" w:w="1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PRECIO/AÑO</w:t>
            </w:r>
          </w:p>
        </w:tc>
        <w:tc>
          <w:tcPr>
            <w:tcW w:type="dxa" w:w="2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INCLUYE</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SEMILLA</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Pequeño productor, &lt;50 ha, 1 finca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$120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$1,200</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1-11, 3 usuarios, 10 lotes, sin IoT, soporte email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CULTIVO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Mediano productor, 50-500 ha, hasta 3 fincas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$350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$3,500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Módulos 1-22, 15 usuarios, 50 lotes, IoT básico, soporte chat</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PALMA ⭐</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Haciendas grandes, 500-5000 ha, multi-finca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$750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$7,500</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1-31, usuarios ilimitados, IoT completo, GIS, GPS, NIIF parcial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EMPRESARIAL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Grupos empresariales, &gt;5000 ha, exportadores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$1,500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$15,000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32 módulos completos, NIIF, IA avanzada, API, SLA 99.9%, soporte dedicado</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IMPLEMENTACIÓN INICIAL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Pago único por instalación/configuración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$2,500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Un solo pago</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Setup, migración datos, capacitación 3 días in-situ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ADDON RED ANTENAS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Por proyecto de conectividad hacienda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USD $15,000-35,000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Un solo pago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Diseño, equipos, instalación y garantía 1 año hardware</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9.3 Proyección de Ingresos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AÑO</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CLIENTES PLAN SEMILLA</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CLIENTES PLAN CULTIVO</w:t>
            </w:r>
          </w:p>
        </w:tc>
        <w:tc>
          <w:tcPr>
            <w:tcW w:type="dxa" w:w="2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CLIENTES PALMA/EMP.</w:t>
            </w:r>
          </w:p>
        </w:tc>
        <w:tc>
          <w:tcPr>
            <w:tcW w:type="dxa" w:w="1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INGRESOS ANUALES USD</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Año 1 (lanzamiento)</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10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 (piloto hacienda)</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Año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35 clientes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20 clientes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 clientes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$380,000</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Año 3</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80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50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 clientes</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$890,000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Año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150 clientes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100 clientes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45 clientes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$1,800,000</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Año 5 (escala regional)</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300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200 clientes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90 clientes</w:t>
            </w:r>
          </w:p>
        </w:tc>
        <w:tc>
          <w:tcPr>
            <w:tcW w:type="dxa" w:w="1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$3,500,000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PUNTO DE EQUILIBRIO DEL PROYECTO</w:t>
            </w:r>
          </w:p>
          <w:p>
            <w:pPr>
              <w:spacing w:after="40" w:before="40"/>
            </w:pPr>
            <w:r>
              <w:rPr>
                <w:rFonts w:ascii="Arial" w:cs="Arial" w:eastAsia="Arial" w:hAnsi="Arial"/>
                <w:color w:val="212121"/>
                <w:sz w:val="19"/>
                <w:szCs w:val="19"/>
              </w:rPr>
              <w:t xml:space="preserve">✦ Con la inversión total de USD $848,678 y el modelo de precios propuesto:</w:t>
            </w:r>
          </w:p>
          <w:p>
            <w:pPr>
              <w:spacing w:after="40" w:before="40"/>
            </w:pPr>
            <w:r>
              <w:rPr>
                <w:rFonts w:ascii="Arial" w:cs="Arial" w:eastAsia="Arial" w:hAnsi="Arial"/>
                <w:color w:val="212121"/>
                <w:sz w:val="19"/>
                <w:szCs w:val="19"/>
              </w:rPr>
              <w:t xml:space="preserve">✦ El proyecto alcanza el punto de equilibrio en el mes 30 (con 60 clientes activos de todos los planes).</w:t>
            </w:r>
          </w:p>
          <w:p>
            <w:pPr>
              <w:spacing w:after="40" w:before="40"/>
            </w:pPr>
            <w:r>
              <w:rPr>
                <w:rFonts w:ascii="Arial" w:cs="Arial" w:eastAsia="Arial" w:hAnsi="Arial"/>
                <w:color w:val="212121"/>
                <w:sz w:val="19"/>
                <w:szCs w:val="19"/>
              </w:rPr>
              <w:t xml:space="preserve">✦ A partir del año 4, el margen neto estimado es del 55-65% (software SaaS tiene costos marginales muy bajos).</w:t>
            </w:r>
          </w:p>
          <w:p>
            <w:pPr>
              <w:spacing w:after="40" w:before="40"/>
            </w:pPr>
            <w:r>
              <w:rPr>
                <w:rFonts w:ascii="Arial" w:cs="Arial" w:eastAsia="Arial" w:hAnsi="Arial"/>
                <w:color w:val="212121"/>
                <w:sz w:val="19"/>
                <w:szCs w:val="19"/>
              </w:rPr>
              <w:t xml:space="preserve">✦ La hacienda piloto amortiza su inversión en hardware IoT en 3-4 años por reducción de costos operativos.</w:t>
            </w:r>
          </w:p>
          <w:p>
            <w:pPr>
              <w:spacing w:after="40" w:before="40"/>
            </w:pPr>
            <w:r>
              <w:rPr>
                <w:rFonts w:ascii="Arial" w:cs="Arial" w:eastAsia="Arial" w:hAnsi="Arial"/>
                <w:color w:val="212121"/>
                <w:sz w:val="19"/>
                <w:szCs w:val="19"/>
              </w:rPr>
              <w:t xml:space="preserve">✦ RECOMENDACIÓN: El gerente del proyecto puede aprobar el plan con confianza de retorno en 3 años.</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10. STACK TECNOLÓGICO</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360"/>
      </w:tblGrid>
      <w:tr>
        <w:tc>
          <w:tcPr>
            <w:tcW w:type="dxa" w:w="2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TECNOLOGÍA ELEGIDA</w:t>
            </w:r>
          </w:p>
        </w:tc>
        <w:tc>
          <w:tcPr>
            <w:tcW w:type="dxa" w:w="53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JUSTIFICACIÓN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Backend API</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Node.js + NestJS o Python + FastAPI</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Alto rendimiento, ecosistema maduro, ideal para APIs en tiempo real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Base de datos principal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PostgreSQL 16 + extensión PostGIS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ACID, JSON nativo, PostGIS para datos geoespaciales SIG</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Base de datos tiempo real IoT</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InfluxDB o TimescaleDB</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Optimizada para series temporales — datos de sensores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Caché y sesiones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Redis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Sesiones JWT, caché de queries frecuentes, pub/sub tiempo real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Frontend Web</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React 18 + TypeScript + Vite</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Ecosistema más maduro, rendimiento, componentes reutilizables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Mapas y SIG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MapLibre GL + Leaflet + GeoServer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Open source, soporte LoD, tiles vectoriales, polígonos interactivos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App Móvil</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React Native (iOS + Android)</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Un solo código para las dos plataformas, acceso GPS/cámara nativo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IoT Broker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MQTT con Eclipse Mosquitto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Protocolo liviano ideal para sensores de campo con poca señal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IA y Machine Learning</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Python + scikit-learn + TensorFlow Lite</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Modelos predictivos de plagas, rendimiento, recomendaciones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Infraestructura Cloud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AWS (ECS, RDS, S3, CloudFront, IoT Core)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Escalabilidad global, disponibilidad 99.99%, servicios IoT nativos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CI/CD y DevOps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GitHub Actions + Docker + Kubernetes</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Despliegues automáticos, contenedores, escalado horizontal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Seguridad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Auth0 o Keycloak + WAF + cifrado AES-256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Autenticación empresarial, protección ataques, datos cifrados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Video Streaming</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AWS Kinesis Video Streams + WebRTC</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Streaming de cámaras en tiempo real desde la plataforma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Notificaciones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Firebase Cloud Messaging + WhatsApp API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Push notifications móviles + WhatsApp para alertas críticas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Factura Electrónica</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Integración DIAN API Colombia</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Facturación electrónica oficial Colombia desde la plataforma</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11. VENTAJAS COMPETITIVAS — POR QUÉ SERÁ EL MEJOR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VENTAJA</w:t>
            </w:r>
          </w:p>
        </w:tc>
        <w:tc>
          <w:tcPr>
            <w:tcW w:type="dxa" w:w="4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DETALLE</w:t>
            </w:r>
          </w:p>
        </w:tc>
        <w:tc>
          <w:tcPr>
            <w:tcW w:type="dxa" w:w="21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COMPETIDORES TIENEN ESTO?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32 módulos integrados</w:t>
            </w:r>
          </w:p>
        </w:tc>
        <w:tc>
          <w:tcPr>
            <w:tcW w:type="dxa" w:w="4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Único sistema que cubre desde labores hasta contabilidad NIIF sin salir de la plataforma</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Red de antenas araña propia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Solución de conectividad específica para zonas rurales sin señal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IoT nativo agricola Colombia</w:t>
            </w:r>
          </w:p>
        </w:tc>
        <w:tc>
          <w:tcPr>
            <w:tcW w:type="dxa" w:w="4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Sensores calibrados para condiciones tropicales colombianas + palma de aceite</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Seguimiento GPS empleados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Georreferenciación de labores de campo con poligono del área trabajada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Contabilidad NIIF agrícola</w:t>
            </w:r>
          </w:p>
        </w:tc>
        <w:tc>
          <w:tcPr>
            <w:tcW w:type="dxa" w:w="4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NIC 41 nativa para activos biológicos — única en Colombia para palma</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Cartografía SIG integrada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Visor de mapas con NDVI de drones, polígonos de lotes, incidencias en mapa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Parcial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Cuaderno fitosanitario ICA</w:t>
            </w:r>
          </w:p>
        </w:tc>
        <w:tc>
          <w:tcPr>
            <w:tcW w:type="dxa" w:w="4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Documento legal oficial ICA generado automáticamente desde aplicaciones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Parcial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Marketplace productor-comprador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Canal de venta digital directo sin intermediarios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No</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Offline-ready en campo</w:t>
            </w:r>
          </w:p>
        </w:tc>
        <w:tc>
          <w:tcPr>
            <w:tcW w:type="dxa" w:w="4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App móvil funciona sin internet — sincroniza al volver a zona de cobertura</w:t>
            </w:r>
          </w:p>
        </w:tc>
        <w:tc>
          <w:tcPr>
            <w:tcW w:type="dxa" w:w="2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Parcial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SaaS Colombia con DIAN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Integración nativa con factura electrónica DIAN y precios SIPSA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 No</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12. GESTIÓN DE RIESGOS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c>
          <w:tcPr>
            <w:tcW w:type="dxa" w:w="24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RIESGO</w:t>
            </w:r>
          </w:p>
        </w:tc>
        <w:tc>
          <w:tcPr>
            <w:tcW w:type="dxa" w:w="12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PROBABILIDAD</w:t>
            </w:r>
          </w:p>
        </w:tc>
        <w:tc>
          <w:tcPr>
            <w:tcW w:type="dxa" w:w="10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47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MITIGACIÓN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Retraso en desarrollo IoT por hardware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Media</w:t>
            </w:r>
          </w:p>
        </w:tc>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Alto</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Comprar hardware con 3 meses de anticipación. Proveedor local + importación paralela.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Cambios regulatorios DIAN/ICA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Baja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Medio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Mantener capa de abstracción para integraciones. Suscripción a boletines DIAN.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Problemas de conectividad en zonas remotas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Media</w:t>
            </w:r>
          </w:p>
        </w:tc>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Alto</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Red de antenas con redundancia 4G. App offline-first como plan B siempre.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Rotación del equipo de desarrollo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Alto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Documentación exhaustiva. Contratos de permanencia mínima. Pair programming.</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Costo de nube mayor al estimado</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Baja</w:t>
            </w:r>
          </w:p>
        </w:tc>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Medio</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Reserved instances AWS (ahorro 30%). Monitoreo de costos con alertas.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Resistencia de empleados a la tecnología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Alta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Medio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App ultra-simple para operarios. Capacitación in-situ en la hacienda. Soporte en español.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Competencia de grandes jugadores (Trimble, etc.)</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Baja</w:t>
            </w:r>
          </w:p>
        </w:tc>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Alto</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Enfoque en el mercado colombiano y normas locales (ICA, DIAN). Precio competitivo.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Problemas de seguridad/hackeo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Baja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Muy Alto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Pentesting trimestral. WAF. Bug bounty. Backups diarios. Cifrado end-to-end.</w:t>
            </w:r>
          </w:p>
        </w:tc>
      </w:tr>
    </w:tbl>
    <w:p>
      <w:pPr>
        <w:spacing w:after="60" w:before="60"/>
      </w:pPr>
      <w:r>
        <w:t xml:space="preserve"/>
      </w:r>
    </w:p>
    <w:p>
      <w:r>
        <w:br w:type="page"/>
      </w:r>
    </w:p>
    <w:p>
      <w:pPr>
        <w:pStyle w:val="Heading1"/>
        <w:pBdr>
          <w:bottom w:val="single" w:color="F9A825" w:sz="6"/>
        </w:pBdr>
        <w:shd w:fill="0D4A1F" w:val="clear"/>
        <w:spacing w:after="200" w:before="400"/>
        <w:ind w:left="200" w:right="200"/>
      </w:pPr>
      <w:r>
        <w:rPr>
          <w:rFonts w:ascii="Arial" w:cs="Arial" w:eastAsia="Arial" w:hAnsi="Arial"/>
          <w:b/>
          <w:bCs/>
          <w:color w:val="FFFFFF"/>
          <w:sz w:val="32"/>
          <w:szCs w:val="32"/>
        </w:rPr>
        <w:t xml:space="preserve">13. RECOMENDACIONES FINALES AL GERENTE DE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pPr>
              <w:spacing w:after="80" w:before="40"/>
            </w:pPr>
            <w:r>
              <w:rPr>
                <w:rFonts w:ascii="Arial" w:cs="Arial" w:eastAsia="Arial" w:hAnsi="Arial"/>
                <w:b/>
                <w:bCs/>
                <w:color w:val="0D4A1F"/>
                <w:sz w:val="22"/>
                <w:szCs w:val="22"/>
              </w:rPr>
              <w:t xml:space="preserve">APROBACIÓN DEL PROYECTO — ANÁLISIS DE CONVENIENCIA</w:t>
            </w:r>
          </w:p>
          <w:p>
            <w:pPr>
              <w:spacing w:after="40" w:before="40"/>
            </w:pPr>
            <w:r>
              <w:rPr>
                <w:rFonts w:ascii="Arial" w:cs="Arial" w:eastAsia="Arial" w:hAnsi="Arial"/>
                <w:color w:val="212121"/>
                <w:sz w:val="19"/>
                <w:szCs w:val="19"/>
              </w:rPr>
              <w:t xml:space="preserve">✦ ✅ VIABILIDAD TÉCNICA: La tecnología existe y está madura. No hay innovación de riesgo — es integración inteligente.</w:t>
            </w:r>
          </w:p>
          <w:p>
            <w:pPr>
              <w:spacing w:after="40" w:before="40"/>
            </w:pPr>
            <w:r>
              <w:rPr>
                <w:rFonts w:ascii="Arial" w:cs="Arial" w:eastAsia="Arial" w:hAnsi="Arial"/>
                <w:color w:val="212121"/>
                <w:sz w:val="19"/>
                <w:szCs w:val="19"/>
              </w:rPr>
              <w:t xml:space="preserve">✦ ✅ VIABILIDAD FINANCIERA: El mercado agrícola colombiano factura más de $30 billones COP anuales. Hay espacio para un SaaS premium.</w:t>
            </w:r>
          </w:p>
          <w:p>
            <w:pPr>
              <w:spacing w:after="40" w:before="40"/>
            </w:pPr>
            <w:r>
              <w:rPr>
                <w:rFonts w:ascii="Arial" w:cs="Arial" w:eastAsia="Arial" w:hAnsi="Arial"/>
                <w:color w:val="212121"/>
                <w:sz w:val="19"/>
                <w:szCs w:val="19"/>
              </w:rPr>
              <w:t xml:space="preserve">✦ ✅ VIABILIDAD COMERCIAL: No existe un competidor local con este nivel de integración. Primera ventaja de mercado.</w:t>
            </w:r>
          </w:p>
          <w:p>
            <w:pPr>
              <w:spacing w:after="40" w:before="40"/>
            </w:pPr>
            <w:r>
              <w:rPr>
                <w:rFonts w:ascii="Arial" w:cs="Arial" w:eastAsia="Arial" w:hAnsi="Arial"/>
                <w:color w:val="212121"/>
                <w:sz w:val="19"/>
                <w:szCs w:val="19"/>
              </w:rPr>
              <w:t xml:space="preserve">✦ ✅ RETORNO DE INVERSIÓN: ROI positivo proyectado desde el año 3. Flujo de caja positivo desde el año 2.</w:t>
            </w:r>
          </w:p>
          <w:p>
            <w:pPr>
              <w:spacing w:after="40" w:before="40"/>
            </w:pPr>
            <w:r>
              <w:rPr>
                <w:rFonts w:ascii="Arial" w:cs="Arial" w:eastAsia="Arial" w:hAnsi="Arial"/>
                <w:color w:val="212121"/>
                <w:sz w:val="19"/>
                <w:szCs w:val="19"/>
              </w:rPr>
              <w:t xml:space="preserve">✦ ✅ IMPACTO EN LA HACIENDA: Reducción estimada de 20-35% en costos operativos por mejor control y automatización.</w:t>
            </w:r>
          </w:p>
          <w:p>
            <w:pPr>
              <w:spacing w:after="40" w:before="40"/>
            </w:pPr>
            <w:r>
              <w:rPr>
                <w:rFonts w:ascii="Arial" w:cs="Arial" w:eastAsia="Arial" w:hAnsi="Arial"/>
                <w:color w:val="212121"/>
                <w:sz w:val="19"/>
                <w:szCs w:val="19"/>
              </w:rPr>
              <w:t xml:space="preserve">✦ ⭐ RECOMENDACIÓN: APROBAR el proyecto con el Escenario INTERMEDIO (USD $610,000 — 22 meses).</w:t>
            </w:r>
          </w:p>
        </w:tc>
      </w:tr>
    </w:tbl>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13.1 Acciones Inmediatas para Iniciar el Proyecto</w:t>
      </w:r>
    </w:p>
    <w:p>
      <w:pPr>
        <w:pStyle w:val="ListParagraph"/>
        <w:numPr>
          <w:ilvl w:val="0"/>
          <w:numId w:val="2"/>
        </w:numPr>
        <w:spacing w:after="40" w:before="40"/>
      </w:pPr>
      <w:r>
        <w:rPr>
          <w:rFonts w:ascii="Arial" w:cs="Arial" w:eastAsia="Arial" w:hAnsi="Arial"/>
          <w:color w:val="212121"/>
          <w:sz w:val="20"/>
          <w:szCs w:val="20"/>
        </w:rPr>
        <w:t xml:space="preserve">Aprobar el presupuesto inicial para los primeros 6 meses (USD $120,000 — equipo base + infraestructura).</w:t>
      </w:r>
    </w:p>
    <w:p>
      <w:pPr>
        <w:pStyle w:val="ListParagraph"/>
        <w:numPr>
          <w:ilvl w:val="0"/>
          <w:numId w:val="2"/>
        </w:numPr>
        <w:spacing w:after="40" w:before="40"/>
      </w:pPr>
      <w:r>
        <w:rPr>
          <w:rFonts w:ascii="Arial" w:cs="Arial" w:eastAsia="Arial" w:hAnsi="Arial"/>
          <w:color w:val="212121"/>
          <w:sz w:val="20"/>
          <w:szCs w:val="20"/>
        </w:rPr>
        <w:t xml:space="preserve">Contratar el Director de Proyecto y el Arquitecto de Software como primeros pasos.</w:t>
      </w:r>
    </w:p>
    <w:p>
      <w:pPr>
        <w:pStyle w:val="ListParagraph"/>
        <w:numPr>
          <w:ilvl w:val="0"/>
          <w:numId w:val="2"/>
        </w:numPr>
        <w:spacing w:after="40" w:before="40"/>
      </w:pPr>
      <w:r>
        <w:rPr>
          <w:rFonts w:ascii="Arial" w:cs="Arial" w:eastAsia="Arial" w:hAnsi="Arial"/>
          <w:color w:val="212121"/>
          <w:sz w:val="20"/>
          <w:szCs w:val="20"/>
        </w:rPr>
        <w:t xml:space="preserve">Definir el proveedor de infraestructura cloud (recomendado: AWS Colombia con región São Paulo).</w:t>
      </w:r>
    </w:p>
    <w:p>
      <w:pPr>
        <w:pStyle w:val="ListParagraph"/>
        <w:numPr>
          <w:ilvl w:val="0"/>
          <w:numId w:val="2"/>
        </w:numPr>
        <w:spacing w:after="40" w:before="40"/>
      </w:pPr>
      <w:r>
        <w:rPr>
          <w:rFonts w:ascii="Arial" w:cs="Arial" w:eastAsia="Arial" w:hAnsi="Arial"/>
          <w:color w:val="212121"/>
          <w:sz w:val="20"/>
          <w:szCs w:val="20"/>
        </w:rPr>
        <w:t xml:space="preserve">Iniciar proceso de compra de equipos IoT y antenas con anticipación de 60-90 días (importación).</w:t>
      </w:r>
    </w:p>
    <w:p>
      <w:pPr>
        <w:pStyle w:val="ListParagraph"/>
        <w:numPr>
          <w:ilvl w:val="0"/>
          <w:numId w:val="2"/>
        </w:numPr>
        <w:spacing w:after="40" w:before="40"/>
      </w:pPr>
      <w:r>
        <w:rPr>
          <w:rFonts w:ascii="Arial" w:cs="Arial" w:eastAsia="Arial" w:hAnsi="Arial"/>
          <w:color w:val="212121"/>
          <w:sz w:val="20"/>
          <w:szCs w:val="20"/>
        </w:rPr>
        <w:t xml:space="preserve">Registrar la marca y el software ante la DNDA (Dirección Nacional de Derechos de Autor) Colombia.</w:t>
      </w:r>
    </w:p>
    <w:p>
      <w:pPr>
        <w:pStyle w:val="ListParagraph"/>
        <w:numPr>
          <w:ilvl w:val="0"/>
          <w:numId w:val="2"/>
        </w:numPr>
        <w:spacing w:after="40" w:before="40"/>
      </w:pPr>
      <w:r>
        <w:rPr>
          <w:rFonts w:ascii="Arial" w:cs="Arial" w:eastAsia="Arial" w:hAnsi="Arial"/>
          <w:color w:val="212121"/>
          <w:sz w:val="20"/>
          <w:szCs w:val="20"/>
        </w:rPr>
        <w:t xml:space="preserve">Establecer contrato con un experto NIIF agrícola para el diseño del módulo 32 desde el inicio.</w:t>
      </w:r>
    </w:p>
    <w:p>
      <w:pPr>
        <w:pStyle w:val="ListParagraph"/>
        <w:numPr>
          <w:ilvl w:val="0"/>
          <w:numId w:val="2"/>
        </w:numPr>
        <w:spacing w:after="40" w:before="40"/>
      </w:pPr>
      <w:r>
        <w:rPr>
          <w:rFonts w:ascii="Arial" w:cs="Arial" w:eastAsia="Arial" w:hAnsi="Arial"/>
          <w:color w:val="212121"/>
          <w:sz w:val="20"/>
          <w:szCs w:val="20"/>
        </w:rPr>
        <w:t xml:space="preserve">Realizar el levantamiento cartográfico de la hacienda (poligonos de lotes) con GPS diferencial o drone.</w:t>
      </w:r>
    </w:p>
    <w:p>
      <w:pPr>
        <w:spacing w:after="60" w:before="60"/>
      </w:pPr>
      <w:r>
        <w:t xml:space="preserve"/>
      </w:r>
    </w:p>
    <w:p>
      <w:pPr>
        <w:pStyle w:val="Heading2"/>
        <w:shd w:fill="1B6B2F" w:val="clear"/>
        <w:spacing w:after="160" w:before="300"/>
        <w:ind w:left="140"/>
      </w:pPr>
      <w:r>
        <w:rPr>
          <w:rFonts w:ascii="Arial" w:cs="Arial" w:eastAsia="Arial" w:hAnsi="Arial"/>
          <w:b/>
          <w:bCs/>
          <w:color w:val="FFFFFF"/>
          <w:sz w:val="26"/>
          <w:szCs w:val="26"/>
        </w:rPr>
        <w:t xml:space="preserve">13.2 Métricas de Éxito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280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META AÑO 1</w:t>
            </w:r>
          </w:p>
        </w:tc>
        <w:tc>
          <w:tcPr>
            <w:tcW w:type="dxa" w:w="2960"/>
            <w:tcBorders>
              <w:top w:val="single" w:color="1B6B2F" w:sz="4"/>
              <w:left w:val="single" w:color="1B6B2F" w:sz="4"/>
              <w:bottom w:val="single" w:color="1B6B2F" w:sz="4"/>
              <w:right w:val="single" w:color="1B6B2F" w:sz="4"/>
            </w:tcBorders>
            <w:shd w:fill="0D4A1F" w:val="clear"/>
            <w:tcMar>
              <w:top w:type="dxa" w:w="80"/>
              <w:left w:type="dxa" w:w="120"/>
              <w:bottom w:type="dxa" w:w="80"/>
              <w:right w:type="dxa" w:w="120"/>
            </w:tcMar>
          </w:tcPr>
          <w:p>
            <w:r>
              <w:rPr>
                <w:rFonts w:ascii="Arial" w:cs="Arial" w:eastAsia="Arial" w:hAnsi="Arial"/>
                <w:b/>
                <w:bCs/>
                <w:color w:val="FFFFFF"/>
                <w:sz w:val="18"/>
                <w:szCs w:val="18"/>
              </w:rPr>
              <w:t xml:space="preserve">META AÑO 3</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en producción</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Módulos 1-18 (18 módulos)</w:t>
            </w:r>
          </w:p>
        </w:tc>
        <w:tc>
          <w:tcPr>
            <w:tcW w:type="dxa" w:w="2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32 módulos completos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Usuarios activos en hacienda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 usuarios (toda la hacienda)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50+ usuarios (expansión)</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Sensores IoT activos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20 sensores en campo</w:t>
            </w:r>
          </w:p>
        </w:tc>
        <w:tc>
          <w:tcPr>
            <w:tcW w:type="dxa" w:w="2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50+ sensores y automatizaciones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Clientes SaaS externos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5 clientes piloto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80+ clientes pagos</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Uptime del sistema</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99.5% disponibilidad</w:t>
            </w:r>
          </w:p>
        </w:tc>
        <w:tc>
          <w:tcPr>
            <w:tcW w:type="dxa" w:w="2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99.9% disponibilidad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NPS (satisfacción usuario)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&gt; 40 puntos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&gt; 65 puntos</w:t>
            </w:r>
          </w:p>
        </w:tc>
      </w:tr>
      <w:tr>
        <w:tc>
          <w:tcPr>
            <w:tcW w:type="dxa" w:w="3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Ingresos SaaS mensuales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$5,000/mes</w:t>
            </w:r>
          </w:p>
        </w:tc>
        <w:tc>
          <w:tcPr>
            <w:tcW w:type="dxa" w:w="2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18"/>
                <w:szCs w:val="18"/>
              </w:rPr>
              <w:t xml:space="preserve">USD $75,000/mes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Reducción costo operativo hacienda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18"/>
                <w:szCs w:val="18"/>
              </w:rPr>
              <w:t xml:space="preserve">30-35%</w:t>
            </w:r>
          </w:p>
        </w:tc>
      </w:tr>
    </w:tbl>
    <w:p>
      <w:pPr>
        <w:spacing w:after="60" w:before="60"/>
      </w:pPr>
      <w:r>
        <w:t xml:space="preserve"/>
      </w:r>
    </w:p>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6B2F" w:sz="4"/>
              <w:left w:val="single" w:color="1B6B2F" w:sz="4"/>
              <w:bottom w:val="single" w:color="1B6B2F" w:sz="4"/>
              <w:right w:val="single" w:color="1B6B2F" w:sz="4"/>
            </w:tcBorders>
            <w:shd w:fill="0D4A1F" w:val="clear"/>
            <w:tcMar>
              <w:top w:type="dxa" w:w="200"/>
              <w:left w:type="dxa" w:w="300"/>
              <w:bottom w:type="dxa" w:w="200"/>
              <w:right w:type="dxa" w:w="300"/>
            </w:tcMar>
          </w:tcPr>
          <w:p>
            <w:pPr>
              <w:jc w:val="center"/>
            </w:pPr>
            <w:r>
              <w:rPr>
                <w:rFonts w:ascii="Arial" w:cs="Arial" w:eastAsia="Arial" w:hAnsi="Arial"/>
                <w:b/>
                <w:bCs/>
                <w:color w:val="F9A825"/>
                <w:sz w:val="40"/>
                <w:szCs w:val="40"/>
              </w:rPr>
              <w:t xml:space="preserve">🌴  AGROTECH PALM</w:t>
            </w:r>
          </w:p>
          <w:p>
            <w:pPr>
              <w:jc w:val="center"/>
            </w:pPr>
            <w:r>
              <w:rPr>
                <w:rFonts w:ascii="Arial" w:cs="Arial" w:eastAsia="Arial" w:hAnsi="Arial"/>
                <w:i/>
                <w:iCs/>
                <w:color w:val="FFFFFF"/>
                <w:sz w:val="24"/>
                <w:szCs w:val="24"/>
              </w:rPr>
              <w:t xml:space="preserve">El software agrícola más completo de Colombia y Centroamérica</w:t>
            </w:r>
          </w:p>
          <w:p>
            <w:pPr>
              <w:jc w:val="center"/>
            </w:pPr>
            <w:r>
              <w:rPr>
                <w:sz w:val="20"/>
                <w:szCs w:val="20"/>
              </w:rPr>
              <w:t xml:space="preserve"> </w:t>
            </w:r>
          </w:p>
          <w:p>
            <w:pPr>
              <w:jc w:val="center"/>
            </w:pPr>
            <w:r>
              <w:rPr>
                <w:rFonts w:ascii="Arial" w:cs="Arial" w:eastAsia="Arial" w:hAnsi="Arial"/>
                <w:color w:val="C8E6C9"/>
                <w:sz w:val="22"/>
                <w:szCs w:val="22"/>
              </w:rPr>
              <w:t xml:space="preserve">32 módulos  •  24 meses  •  USD $610,000  •  ROI en 3 años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2F" w:sz="4"/>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Arial" w:cs="Arial" w:eastAsia="Arial" w:hAnsi="Arial"/>
              <w:i/>
              <w:iCs/>
              <w:color w:val="546E7A"/>
              <w:sz w:val="15"/>
              <w:szCs w:val="15"/>
            </w:rPr>
            <w:t xml:space="preserve">CONFIDENCIAL — Uso Exclusivo del Proyecto</w:t>
          </w:r>
        </w:p>
      </w:tc>
      <w:tc>
        <w:tcPr>
          <w:tcW w:type="dxa" w:w="5040"/>
          <w:tcBorders>
            <w:top w:val="none" w:color="FFFFFF" w:sz="0"/>
            <w:left w:val="none" w:color="FFFFFF" w:sz="0"/>
            <w:bottom w:val="none" w:color="FFFFFF" w:sz="0"/>
            <w:right w:val="none" w:color="FFFFFF" w:sz="0"/>
          </w:tcBorders>
        </w:tcPr>
        <w:p>
          <w:pPr>
            <w:jc w:val="right"/>
          </w:pPr>
          <w:r>
            <w:rPr>
              <w:rFonts w:ascii="Arial" w:cs="Arial" w:eastAsia="Arial" w:hAnsi="Arial"/>
              <w:color w:val="546E7A"/>
              <w:sz w:val="15"/>
              <w:szCs w:val="15"/>
            </w:rPr>
            <w:t xml:space="preserve">Página </w:t>
          </w:r>
          <w:r>
            <w:rPr>
              <w:rFonts w:ascii="Arial" w:cs="Arial" w:eastAsia="Arial" w:hAnsi="Arial"/>
              <w:color w:val="546E7A"/>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6B2F"/>
              <w:sz w:val="17"/>
              <w:szCs w:val="17"/>
            </w:rPr>
            <w:t xml:space="preserve">🌴  AGROTECH PALM — Sistema Integral de Gestión Agrícola</w:t>
          </w:r>
        </w:p>
      </w:tc>
      <w:tc>
        <w:tcPr>
          <w:tcW w:type="dxa" w:w="35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46E7A"/>
              <w:sz w:val="16"/>
              <w:szCs w:val="16"/>
            </w:rPr>
            <w:t xml:space="preserve">Plan de Desarrollo — Versión 1.0  |  2025</w:t>
          </w:r>
        </w:p>
      </w:tc>
    </w:tr>
  </w:tbl>
  <w:p>
    <w:pPr>
      <w:pBdr>
        <w:bottom w:val="single" w:color="1B6B2F"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lvl w:ilvl="1" w15:tentative="1">
      <w:start w:val="1"/>
      <w:numFmt w:val="bullet"/>
      <w:lvlText w:val="○"/>
      <w:lvlJc w:val="left"/>
      <w:pPr>
        <w:ind w:left="10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2026-04-17T21:31:56.154Z</dcterms:created>
  <dcterms:modified xsi:type="dcterms:W3CDTF">2026-04-17T21:31:56.156Z</dcterms:modified>
</cp:coreProperties>
</file>

<file path=docProps/custom.xml><?xml version="1.0" encoding="utf-8"?>
<Properties xmlns="http://schemas.openxmlformats.org/officeDocument/2006/custom-properties" xmlns:vt="http://schemas.openxmlformats.org/officeDocument/2006/docPropsVTypes"/>
</file>