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Display" w:hAnsi="Aptos Display"/>
          <w:b/>
          <w:color w:val="14375A"/>
          <w:sz w:val="50"/>
        </w:rPr>
        <w:t>RAPPORT TECHNIQUE DÉTAILLÉ</w:t>
      </w:r>
    </w:p>
    <w:p>
      <w:pPr>
        <w:jc w:val="center"/>
      </w:pPr>
      <w:r>
        <w:rPr>
          <w:color w:val="235F8C"/>
          <w:sz w:val="32"/>
        </w:rPr>
        <w:t>Projet SPI PME — Android, backend et corrections visuelles</w:t>
      </w:r>
    </w:p>
    <w:p>
      <w:pPr>
        <w:spacing w:before="360"/>
        <w:jc w:val="center"/>
      </w:pPr>
      <w:r>
        <w:rPr>
          <w:i/>
        </w:rPr>
        <w:t>Période couverte par les éléments disponibles : échanges antérieurs et 21 octobre 2026</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4A70"/>
          </w:tcPr>
          <w:p>
            <w:pPr>
              <w:spacing w:after="0"/>
            </w:pPr>
            <w:r/>
            <w:r>
              <w:rPr>
                <w:rFonts w:ascii="Aptos" w:hAnsi="Aptos"/>
                <w:b/>
                <w:color w:val="FFFFFF"/>
                <w:sz w:val="18"/>
              </w:rPr>
              <w:t>Élément</w:t>
            </w:r>
          </w:p>
        </w:tc>
        <w:tc>
          <w:tcPr>
            <w:tcW w:type="dxa" w:w="4968"/>
            <w:vAlign w:val="center"/>
            <w:shd w:fill="174A70"/>
          </w:tcPr>
          <w:p>
            <w:pPr>
              <w:spacing w:after="0"/>
            </w:pPr>
            <w:r/>
            <w:r>
              <w:rPr>
                <w:rFonts w:ascii="Aptos" w:hAnsi="Aptos"/>
                <w:b/>
                <w:color w:val="FFFFFF"/>
                <w:sz w:val="18"/>
              </w:rPr>
              <w:t>Valeur connue</w:t>
            </w:r>
          </w:p>
        </w:tc>
      </w:tr>
      <w:tr>
        <w:tc>
          <w:tcPr>
            <w:tcW w:type="dxa" w:w="4968"/>
            <w:vAlign w:val="center"/>
          </w:tcPr>
          <w:p>
            <w:pPr>
              <w:spacing w:after="0"/>
            </w:pPr>
            <w:r/>
            <w:r>
              <w:rPr>
                <w:rFonts w:ascii="Aptos" w:hAnsi="Aptos"/>
                <w:b w:val="0"/>
                <w:sz w:val="17"/>
              </w:rPr>
              <w:t>Projet Android</w:t>
            </w:r>
          </w:p>
        </w:tc>
        <w:tc>
          <w:tcPr>
            <w:tcW w:type="dxa" w:w="4968"/>
            <w:vAlign w:val="center"/>
          </w:tcPr>
          <w:p>
            <w:pPr>
              <w:spacing w:after="0"/>
            </w:pPr>
            <w:r/>
            <w:r>
              <w:rPr>
                <w:rFonts w:ascii="Aptos" w:hAnsi="Aptos"/>
                <w:b w:val="0"/>
                <w:sz w:val="17"/>
              </w:rPr>
              <w:t>C:\Android\spi_pme_android</w:t>
            </w:r>
          </w:p>
        </w:tc>
      </w:tr>
      <w:tr>
        <w:tc>
          <w:tcPr>
            <w:tcW w:type="dxa" w:w="4968"/>
            <w:vAlign w:val="center"/>
            <w:shd w:fill="F0F5F8"/>
          </w:tcPr>
          <w:p>
            <w:pPr>
              <w:spacing w:after="0"/>
            </w:pPr>
            <w:r/>
            <w:r>
              <w:rPr>
                <w:rFonts w:ascii="Aptos" w:hAnsi="Aptos"/>
                <w:b w:val="0"/>
                <w:sz w:val="17"/>
              </w:rPr>
              <w:t>Backend Django</w:t>
            </w:r>
          </w:p>
        </w:tc>
        <w:tc>
          <w:tcPr>
            <w:tcW w:type="dxa" w:w="4968"/>
            <w:vAlign w:val="center"/>
            <w:shd w:fill="F0F5F8"/>
          </w:tcPr>
          <w:p>
            <w:pPr>
              <w:spacing w:after="0"/>
            </w:pPr>
            <w:r/>
            <w:r>
              <w:rPr>
                <w:rFonts w:ascii="Aptos" w:hAnsi="Aptos"/>
                <w:b w:val="0"/>
                <w:sz w:val="17"/>
              </w:rPr>
              <w:t>C:\Android\spi_pme_backend</w:t>
            </w:r>
          </w:p>
        </w:tc>
      </w:tr>
      <w:tr>
        <w:tc>
          <w:tcPr>
            <w:tcW w:type="dxa" w:w="4968"/>
            <w:vAlign w:val="center"/>
          </w:tcPr>
          <w:p>
            <w:pPr>
              <w:spacing w:after="0"/>
            </w:pPr>
            <w:r/>
            <w:r>
              <w:rPr>
                <w:rFonts w:ascii="Aptos" w:hAnsi="Aptos"/>
                <w:b w:val="0"/>
                <w:sz w:val="17"/>
              </w:rPr>
              <w:t>Package Android</w:t>
            </w:r>
          </w:p>
        </w:tc>
        <w:tc>
          <w:tcPr>
            <w:tcW w:type="dxa" w:w="4968"/>
            <w:vAlign w:val="center"/>
          </w:tcPr>
          <w:p>
            <w:pPr>
              <w:spacing w:after="0"/>
            </w:pPr>
            <w:r/>
            <w:r>
              <w:rPr>
                <w:rFonts w:ascii="Aptos" w:hAnsi="Aptos"/>
                <w:b w:val="0"/>
                <w:sz w:val="17"/>
              </w:rPr>
              <w:t>com.spipme.app</w:t>
            </w:r>
          </w:p>
        </w:tc>
      </w:tr>
      <w:tr>
        <w:tc>
          <w:tcPr>
            <w:tcW w:type="dxa" w:w="4968"/>
            <w:vAlign w:val="center"/>
            <w:shd w:fill="F0F5F8"/>
          </w:tcPr>
          <w:p>
            <w:pPr>
              <w:spacing w:after="0"/>
            </w:pPr>
            <w:r/>
            <w:r>
              <w:rPr>
                <w:rFonts w:ascii="Aptos" w:hAnsi="Aptos"/>
                <w:b w:val="0"/>
                <w:sz w:val="17"/>
              </w:rPr>
              <w:t>Dernière compilation rapportée</w:t>
            </w:r>
          </w:p>
        </w:tc>
        <w:tc>
          <w:tcPr>
            <w:tcW w:type="dxa" w:w="4968"/>
            <w:vAlign w:val="center"/>
            <w:shd w:fill="F0F5F8"/>
          </w:tcPr>
          <w:p>
            <w:pPr>
              <w:spacing w:after="0"/>
            </w:pPr>
            <w:r/>
            <w:r>
              <w:rPr>
                <w:rFonts w:ascii="Aptos" w:hAnsi="Aptos"/>
                <w:b w:val="0"/>
                <w:sz w:val="17"/>
              </w:rPr>
              <w:t>BUILD SUCCESSFUL — 21/10/2026</w:t>
            </w:r>
          </w:p>
        </w:tc>
      </w:tr>
      <w:tr>
        <w:tc>
          <w:tcPr>
            <w:tcW w:type="dxa" w:w="4968"/>
            <w:vAlign w:val="center"/>
          </w:tcPr>
          <w:p>
            <w:pPr>
              <w:spacing w:after="0"/>
            </w:pPr>
            <w:r/>
            <w:r>
              <w:rPr>
                <w:rFonts w:ascii="Aptos" w:hAnsi="Aptos"/>
                <w:b w:val="0"/>
                <w:sz w:val="17"/>
              </w:rPr>
              <w:t>Nature du rapport</w:t>
            </w:r>
          </w:p>
        </w:tc>
        <w:tc>
          <w:tcPr>
            <w:tcW w:type="dxa" w:w="4968"/>
            <w:vAlign w:val="center"/>
          </w:tcPr>
          <w:p>
            <w:pPr>
              <w:spacing w:after="0"/>
            </w:pPr>
            <w:r/>
            <w:r>
              <w:rPr>
                <w:rFonts w:ascii="Aptos" w:hAnsi="Aptos"/>
                <w:b w:val="0"/>
                <w:sz w:val="17"/>
              </w:rPr>
              <w:t>Historique documenté à partir des messages et sorties communiqués</w:t>
            </w:r>
          </w:p>
        </w:tc>
      </w:tr>
    </w:tbl>
    <w:p>
      <w:pPr>
        <w:spacing w:after="20"/>
      </w:pPr>
    </w:p>
    <w:p>
      <w:pPr>
        <w:spacing w:before="280"/>
        <w:jc w:val="center"/>
      </w:pPr>
      <w:r>
        <w:rPr>
          <w:i/>
          <w:sz w:val="18"/>
        </w:rPr>
        <w:t>Important : ce document distingue les modifications annoncées, les vérifications exécutées et les points qui restent à confirmer. Il ne prétend pas avoir inspecté directement le disque local.</w:t>
      </w:r>
    </w:p>
    <w:p>
      <w:r>
        <w:br w:type="page"/>
      </w:r>
    </w:p>
    <w:p>
      <w:pPr>
        <w:pStyle w:val="Heading1"/>
      </w:pPr>
      <w:r>
        <w:t>1. Synthèse exécutive</w:t>
      </w:r>
    </w:p>
    <w:p>
      <w:r>
        <w:t>SPI PME comprend une application Android native en Kotlin/Jetpack Compose et un backend Django. Les échanges ont porté sur la stabilité de l’application, la communication Android–backend, la navigation, le fonctionnement hors ligne et, plus récemment, plusieurs défauts visuels. La dernière sortie Gradle fournie indique une compilation réussie et des tests unitaires déclarés à jour. Elle ne valide toutefois pas l’apparence réelle de l’interface sur l’appareil.</w:t>
      </w:r>
    </w:p>
    <w:p>
      <w:pPr>
        <w:pStyle w:val="ListBullet"/>
        <w:spacing w:after="60"/>
      </w:pPr>
      <w:r>
        <w:t>Corrections visuelles explicitement annoncées : cartes statistiques du journal d’audit sur deux lignes, filtres d’audit défilants horizontalement et filtres de factures défilants horizontalement.</w:t>
      </w:r>
    </w:p>
    <w:p>
      <w:pPr>
        <w:pStyle w:val="ListBullet"/>
        <w:spacing w:after="60"/>
      </w:pPr>
      <w:r>
        <w:t>Défauts toujours ouverts dans les échanges : section Avertissements/alertes, avatar du profil et alignement du nombre « Ressources critiques » sur le tableau de bord.</w:t>
      </w:r>
    </w:p>
    <w:p>
      <w:pPr>
        <w:pStyle w:val="ListBullet"/>
        <w:spacing w:after="60"/>
      </w:pPr>
      <w:r>
        <w:t>Plusieurs scripts de diagnostic ont été fournis avec un format incorrect ou dégradé lors du copier-coller. Le problème le plus visible est l’aplatissement de commandes PowerShell qui exigeaient des séparateurs ou des retours à la ligne.</w:t>
      </w:r>
    </w:p>
    <w:p>
      <w:pPr>
        <w:pStyle w:val="ListBullet"/>
        <w:spacing w:after="60"/>
      </w:pPr>
      <w:r>
        <w:t>Aucun élément de l’échange ne permet d’affirmer que tous les défauts visuels ont été corrigés ou que le dernier APK a été installé et vérifié visuellement après les dernières modifications.</w:t>
      </w:r>
    </w:p>
    <w:p>
      <w:pPr>
        <w:pStyle w:val="Heading1"/>
      </w:pPr>
      <w:r>
        <w:t>2. Architecture et environnement connus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4A70"/>
          </w:tcPr>
          <w:p>
            <w:pPr>
              <w:spacing w:after="0"/>
            </w:pPr>
            <w:r/>
            <w:r>
              <w:rPr>
                <w:rFonts w:ascii="Aptos" w:hAnsi="Aptos"/>
                <w:b/>
                <w:color w:val="FFFFFF"/>
                <w:sz w:val="18"/>
              </w:rPr>
              <w:t>Composant</w:t>
            </w:r>
          </w:p>
        </w:tc>
        <w:tc>
          <w:tcPr>
            <w:tcW w:type="dxa" w:w="3312"/>
            <w:vAlign w:val="center"/>
            <w:shd w:fill="174A70"/>
          </w:tcPr>
          <w:p>
            <w:pPr>
              <w:spacing w:after="0"/>
            </w:pPr>
            <w:r/>
            <w:r>
              <w:rPr>
                <w:rFonts w:ascii="Aptos" w:hAnsi="Aptos"/>
                <w:b/>
                <w:color w:val="FFFFFF"/>
                <w:sz w:val="18"/>
              </w:rPr>
              <w:t>Informations connues</w:t>
            </w:r>
          </w:p>
        </w:tc>
        <w:tc>
          <w:tcPr>
            <w:tcW w:type="dxa" w:w="3312"/>
            <w:vAlign w:val="center"/>
            <w:shd w:fill="174A70"/>
          </w:tcPr>
          <w:p>
            <w:pPr>
              <w:spacing w:after="0"/>
            </w:pPr>
            <w:r/>
            <w:r>
              <w:rPr>
                <w:rFonts w:ascii="Aptos" w:hAnsi="Aptos"/>
                <w:b/>
                <w:color w:val="FFFFFF"/>
                <w:sz w:val="18"/>
              </w:rPr>
              <w:t>Statut / réserve</w:t>
            </w:r>
          </w:p>
        </w:tc>
      </w:tr>
      <w:tr>
        <w:tc>
          <w:tcPr>
            <w:tcW w:type="dxa" w:w="3312"/>
            <w:vAlign w:val="center"/>
          </w:tcPr>
          <w:p>
            <w:pPr>
              <w:spacing w:after="0"/>
            </w:pPr>
            <w:r/>
            <w:r>
              <w:rPr>
                <w:rFonts w:ascii="Aptos" w:hAnsi="Aptos"/>
                <w:b w:val="0"/>
                <w:sz w:val="17"/>
              </w:rPr>
              <w:t>Application Android</w:t>
            </w:r>
          </w:p>
        </w:tc>
        <w:tc>
          <w:tcPr>
            <w:tcW w:type="dxa" w:w="3312"/>
            <w:vAlign w:val="center"/>
          </w:tcPr>
          <w:p>
            <w:pPr>
              <w:spacing w:after="0"/>
            </w:pPr>
            <w:r/>
            <w:r>
              <w:rPr>
                <w:rFonts w:ascii="Aptos" w:hAnsi="Aptos"/>
                <w:b w:val="0"/>
                <w:sz w:val="17"/>
              </w:rPr>
              <w:t>C:\Android\spi_pme_android</w:t>
            </w:r>
          </w:p>
        </w:tc>
        <w:tc>
          <w:tcPr>
            <w:tcW w:type="dxa" w:w="3312"/>
            <w:vAlign w:val="center"/>
          </w:tcPr>
          <w:p>
            <w:pPr>
              <w:spacing w:after="0"/>
            </w:pPr>
            <w:r/>
            <w:r>
              <w:rPr>
                <w:rFonts w:ascii="Aptos" w:hAnsi="Aptos"/>
                <w:b w:val="0"/>
                <w:sz w:val="17"/>
              </w:rPr>
              <w:t>Projet Kotlin/Compose avec Gradle; package com.spipme.app.</w:t>
            </w:r>
          </w:p>
        </w:tc>
      </w:tr>
      <w:tr>
        <w:tc>
          <w:tcPr>
            <w:tcW w:type="dxa" w:w="3312"/>
            <w:vAlign w:val="center"/>
            <w:shd w:fill="F0F5F8"/>
          </w:tcPr>
          <w:p>
            <w:pPr>
              <w:spacing w:after="0"/>
            </w:pPr>
            <w:r/>
            <w:r>
              <w:rPr>
                <w:rFonts w:ascii="Aptos" w:hAnsi="Aptos"/>
                <w:b w:val="0"/>
                <w:sz w:val="17"/>
              </w:rPr>
              <w:t>Backend</w:t>
            </w:r>
          </w:p>
        </w:tc>
        <w:tc>
          <w:tcPr>
            <w:tcW w:type="dxa" w:w="3312"/>
            <w:vAlign w:val="center"/>
            <w:shd w:fill="F0F5F8"/>
          </w:tcPr>
          <w:p>
            <w:pPr>
              <w:spacing w:after="0"/>
            </w:pPr>
            <w:r/>
            <w:r>
              <w:rPr>
                <w:rFonts w:ascii="Aptos" w:hAnsi="Aptos"/>
                <w:b w:val="0"/>
                <w:sz w:val="17"/>
              </w:rPr>
              <w:t>C:\Android\spi_pme_backend</w:t>
            </w:r>
          </w:p>
        </w:tc>
        <w:tc>
          <w:tcPr>
            <w:tcW w:type="dxa" w:w="3312"/>
            <w:vAlign w:val="center"/>
            <w:shd w:fill="F0F5F8"/>
          </w:tcPr>
          <w:p>
            <w:pPr>
              <w:spacing w:after="0"/>
            </w:pPr>
            <w:r/>
            <w:r>
              <w:rPr>
                <w:rFonts w:ascii="Aptos" w:hAnsi="Aptos"/>
                <w:b w:val="0"/>
                <w:sz w:val="17"/>
              </w:rPr>
              <w:t>Django 5.1.15 et Python 3.12.10 ont été rapportés lors d’un contrôle antérieur.</w:t>
            </w:r>
          </w:p>
        </w:tc>
      </w:tr>
      <w:tr>
        <w:tc>
          <w:tcPr>
            <w:tcW w:type="dxa" w:w="3312"/>
            <w:vAlign w:val="center"/>
          </w:tcPr>
          <w:p>
            <w:pPr>
              <w:spacing w:after="0"/>
            </w:pPr>
            <w:r/>
            <w:r>
              <w:rPr>
                <w:rFonts w:ascii="Aptos" w:hAnsi="Aptos"/>
                <w:b w:val="0"/>
                <w:sz w:val="17"/>
              </w:rPr>
              <w:t>API locale</w:t>
            </w:r>
          </w:p>
        </w:tc>
        <w:tc>
          <w:tcPr>
            <w:tcW w:type="dxa" w:w="3312"/>
            <w:vAlign w:val="center"/>
          </w:tcPr>
          <w:p>
            <w:pPr>
              <w:spacing w:after="0"/>
            </w:pPr>
            <w:r/>
            <w:r>
              <w:rPr>
                <w:rFonts w:ascii="Aptos" w:hAnsi="Aptos"/>
                <w:b w:val="0"/>
                <w:sz w:val="17"/>
              </w:rPr>
              <w:t>http://127.0.0.1:8000/api/v1/</w:t>
            </w:r>
          </w:p>
        </w:tc>
        <w:tc>
          <w:tcPr>
            <w:tcW w:type="dxa" w:w="3312"/>
            <w:vAlign w:val="center"/>
          </w:tcPr>
          <w:p>
            <w:pPr>
              <w:spacing w:after="0"/>
            </w:pPr>
            <w:r/>
            <w:r>
              <w:rPr>
                <w:rFonts w:ascii="Aptos" w:hAnsi="Aptos"/>
                <w:b w:val="0"/>
                <w:sz w:val="17"/>
              </w:rPr>
              <w:t>Adresse utilisée dans les échanges; disponibilité actuelle non vérifiée.</w:t>
            </w:r>
          </w:p>
        </w:tc>
      </w:tr>
      <w:tr>
        <w:tc>
          <w:tcPr>
            <w:tcW w:type="dxa" w:w="3312"/>
            <w:vAlign w:val="center"/>
            <w:shd w:fill="F0F5F8"/>
          </w:tcPr>
          <w:p>
            <w:pPr>
              <w:spacing w:after="0"/>
            </w:pPr>
            <w:r/>
            <w:r>
              <w:rPr>
                <w:rFonts w:ascii="Aptos" w:hAnsi="Aptos"/>
                <w:b w:val="0"/>
                <w:sz w:val="17"/>
              </w:rPr>
              <w:t>Relais USB</w:t>
            </w:r>
          </w:p>
        </w:tc>
        <w:tc>
          <w:tcPr>
            <w:tcW w:type="dxa" w:w="3312"/>
            <w:vAlign w:val="center"/>
            <w:shd w:fill="F0F5F8"/>
          </w:tcPr>
          <w:p>
            <w:pPr>
              <w:spacing w:after="0"/>
            </w:pPr>
            <w:r/>
            <w:r>
              <w:rPr>
                <w:rFonts w:ascii="Aptos" w:hAnsi="Aptos"/>
                <w:b w:val="0"/>
                <w:sz w:val="17"/>
              </w:rPr>
              <w:t>adb reverse tcp:8000 tcp:8000</w:t>
            </w:r>
          </w:p>
        </w:tc>
        <w:tc>
          <w:tcPr>
            <w:tcW w:type="dxa" w:w="3312"/>
            <w:vAlign w:val="center"/>
            <w:shd w:fill="F0F5F8"/>
          </w:tcPr>
          <w:p>
            <w:pPr>
              <w:spacing w:after="0"/>
            </w:pPr>
            <w:r/>
            <w:r>
              <w:rPr>
                <w:rFonts w:ascii="Aptos" w:hAnsi="Aptos"/>
                <w:b w:val="0"/>
                <w:sz w:val="17"/>
              </w:rPr>
              <w:t>Commande rapportée comme active lors d’un contrôle antérieur.</w:t>
            </w:r>
          </w:p>
        </w:tc>
      </w:tr>
      <w:tr>
        <w:tc>
          <w:tcPr>
            <w:tcW w:type="dxa" w:w="3312"/>
            <w:vAlign w:val="center"/>
          </w:tcPr>
          <w:p>
            <w:pPr>
              <w:spacing w:after="0"/>
            </w:pPr>
            <w:r/>
            <w:r>
              <w:rPr>
                <w:rFonts w:ascii="Aptos" w:hAnsi="Aptos"/>
                <w:b w:val="0"/>
                <w:sz w:val="17"/>
              </w:rPr>
              <w:t>Appareil ADB</w:t>
            </w:r>
          </w:p>
        </w:tc>
        <w:tc>
          <w:tcPr>
            <w:tcW w:type="dxa" w:w="3312"/>
            <w:vAlign w:val="center"/>
          </w:tcPr>
          <w:p>
            <w:pPr>
              <w:spacing w:after="0"/>
            </w:pPr>
            <w:r/>
            <w:r>
              <w:rPr>
                <w:rFonts w:ascii="Aptos" w:hAnsi="Aptos"/>
                <w:b w:val="0"/>
                <w:sz w:val="17"/>
              </w:rPr>
              <w:t>50b9a0be</w:t>
            </w:r>
          </w:p>
        </w:tc>
        <w:tc>
          <w:tcPr>
            <w:tcW w:type="dxa" w:w="3312"/>
            <w:vAlign w:val="center"/>
          </w:tcPr>
          <w:p>
            <w:pPr>
              <w:spacing w:after="0"/>
            </w:pPr>
            <w:r/>
            <w:r>
              <w:rPr>
                <w:rFonts w:ascii="Aptos" w:hAnsi="Aptos"/>
                <w:b w:val="0"/>
                <w:sz w:val="17"/>
              </w:rPr>
              <w:t>Identifiant cité dans le contexte de travail; état de connexion actuel inconnu.</w:t>
            </w:r>
          </w:p>
        </w:tc>
      </w:tr>
      <w:tr>
        <w:tc>
          <w:tcPr>
            <w:tcW w:type="dxa" w:w="3312"/>
            <w:vAlign w:val="center"/>
            <w:shd w:fill="F0F5F8"/>
          </w:tcPr>
          <w:p>
            <w:pPr>
              <w:spacing w:after="0"/>
            </w:pPr>
            <w:r/>
            <w:r>
              <w:rPr>
                <w:rFonts w:ascii="Aptos" w:hAnsi="Aptos"/>
                <w:b w:val="0"/>
                <w:sz w:val="17"/>
              </w:rPr>
              <w:t>Navigation</w:t>
            </w:r>
          </w:p>
        </w:tc>
        <w:tc>
          <w:tcPr>
            <w:tcW w:type="dxa" w:w="3312"/>
            <w:vAlign w:val="center"/>
            <w:shd w:fill="F0F5F8"/>
          </w:tcPr>
          <w:p>
            <w:pPr>
              <w:spacing w:after="0"/>
            </w:pPr>
            <w:r/>
            <w:r>
              <w:rPr>
                <w:rFonts w:ascii="Aptos" w:hAnsi="Aptos"/>
                <w:b w:val="0"/>
                <w:sz w:val="17"/>
              </w:rPr>
              <w:t>SpiPmeNavGraph.kt</w:t>
            </w:r>
          </w:p>
        </w:tc>
        <w:tc>
          <w:tcPr>
            <w:tcW w:type="dxa" w:w="3312"/>
            <w:vAlign w:val="center"/>
            <w:shd w:fill="F0F5F8"/>
          </w:tcPr>
          <w:p>
            <w:pPr>
              <w:spacing w:after="0"/>
            </w:pPr>
            <w:r/>
            <w:r>
              <w:rPr>
                <w:rFonts w:ascii="Aptos" w:hAnsi="Aptos"/>
                <w:b w:val="0"/>
                <w:sz w:val="17"/>
              </w:rPr>
              <w:t>Une centralisation de navigation a été annoncée antérieurement; aucune revalidation récente dans cette séquence.</w:t>
            </w:r>
          </w:p>
        </w:tc>
      </w:tr>
    </w:tbl>
    <w:p>
      <w:pPr>
        <w:spacing w:after="20"/>
      </w:pPr>
    </w:p>
    <w:p>
      <w:pPr>
        <w:pStyle w:val="Heading1"/>
      </w:pPr>
      <w:r>
        <w:t>3. Historique des travaux rapportés</w:t>
      </w:r>
    </w:p>
    <w:p>
      <w:pPr>
        <w:pStyle w:val="Heading2"/>
      </w:pPr>
      <w:r>
        <w:t>3.1 Backend et accès local</w:t>
      </w:r>
    </w:p>
    <w:p>
      <w:r>
        <w:t>Un échange antérieur a rapporté Python 3.12.10, Django 5.1.15, un contrôle système Django sans problème, une réponse HTTP 200 sur l’administration et le relais USB ADB. Un autre échange a indiqué que les tests backend avaient atteint 315 tests réussis. Ces résultats appartiennent aux sorties antérieures et ne constituent pas un test exécuté au moment de la rédaction.</w:t>
      </w:r>
    </w:p>
    <w:p>
      <w:pPr>
        <w:pStyle w:val="Heading2"/>
      </w:pPr>
      <w:r>
        <w:t>3.2 Navigation et authentification Android</w:t>
      </w:r>
    </w:p>
    <w:p>
      <w:r>
        <w:t>Le contexte de travail mentionne une modification de SpiPmeNavGraph.kt, avec une fonction centralisée naviguerVers(route) et une fonction allerAuTableauDeBord(). Une sauvegarde a été signalée : SpiPmeNavGraph.kt.bak-navigation-20261021-074132. Les échanges précédents indiquaient également que des corrections d’authentification Android avaient été testées contre le backend. Aucun détail source supplémentaire n’est disponible dans les sorties de la dernière correction visuelle.</w:t>
      </w:r>
    </w:p>
    <w:p>
      <w:pPr>
        <w:pStyle w:val="Heading2"/>
      </w:pPr>
      <w:r>
        <w:t>3.3 Fonctionnement hors ligne</w:t>
      </w:r>
    </w:p>
    <w:p>
      <w:r>
        <w:t>Un objectif de travail avait été formulé autour de l’architecture offline-first Android : entité Room OperationEnAttente, file d’opérations rejouées, en-tête Idempotency-Key et synchronisation. L’historique disponible ne prouve pas que l’ensemble de ces fonctionnalités est terminé, intégré et validé par un build récent.</w:t>
      </w:r>
    </w:p>
    <w:p>
      <w:pPr>
        <w:pStyle w:val="Heading1"/>
      </w:pPr>
      <w:r>
        <w:t>4. Modifications visuelles annoncées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4A70"/>
          </w:tcPr>
          <w:p>
            <w:pPr>
              <w:spacing w:after="0"/>
            </w:pPr>
            <w:r/>
            <w:r>
              <w:rPr>
                <w:rFonts w:ascii="Aptos" w:hAnsi="Aptos"/>
                <w:b/>
                <w:color w:val="FFFFFF"/>
                <w:sz w:val="18"/>
              </w:rPr>
              <w:t>Écran / fichier</w:t>
            </w:r>
          </w:p>
        </w:tc>
        <w:tc>
          <w:tcPr>
            <w:tcW w:type="dxa" w:w="3312"/>
            <w:vAlign w:val="center"/>
            <w:shd w:fill="174A70"/>
          </w:tcPr>
          <w:p>
            <w:pPr>
              <w:spacing w:after="0"/>
            </w:pPr>
            <w:r/>
            <w:r>
              <w:rPr>
                <w:rFonts w:ascii="Aptos" w:hAnsi="Aptos"/>
                <w:b/>
                <w:color w:val="FFFFFF"/>
                <w:sz w:val="18"/>
              </w:rPr>
              <w:t>Modification annoncée ou code observé</w:t>
            </w:r>
          </w:p>
        </w:tc>
        <w:tc>
          <w:tcPr>
            <w:tcW w:type="dxa" w:w="3312"/>
            <w:vAlign w:val="center"/>
            <w:shd w:fill="174A70"/>
          </w:tcPr>
          <w:p>
            <w:pPr>
              <w:spacing w:after="0"/>
            </w:pPr>
            <w:r/>
            <w:r>
              <w:rPr>
                <w:rFonts w:ascii="Aptos" w:hAnsi="Aptos"/>
                <w:b/>
                <w:color w:val="FFFFFF"/>
                <w:sz w:val="18"/>
              </w:rPr>
              <w:t>Conclusion prudente</w:t>
            </w:r>
          </w:p>
        </w:tc>
      </w:tr>
      <w:tr>
        <w:tc>
          <w:tcPr>
            <w:tcW w:type="dxa" w:w="3312"/>
            <w:vAlign w:val="center"/>
          </w:tcPr>
          <w:p>
            <w:pPr>
              <w:spacing w:after="0"/>
            </w:pPr>
            <w:r/>
            <w:r>
              <w:rPr>
                <w:rFonts w:ascii="Aptos" w:hAnsi="Aptos"/>
                <w:b w:val="0"/>
                <w:sz w:val="17"/>
              </w:rPr>
              <w:t>Journal d’audit — AuditScreen.kt</w:t>
            </w:r>
          </w:p>
        </w:tc>
        <w:tc>
          <w:tcPr>
            <w:tcW w:type="dxa" w:w="3312"/>
            <w:vAlign w:val="center"/>
          </w:tcPr>
          <w:p>
            <w:pPr>
              <w:spacing w:after="0"/>
            </w:pPr>
            <w:r/>
            <w:r>
              <w:rPr>
                <w:rFonts w:ascii="Aptos" w:hAnsi="Aptos"/>
                <w:b w:val="0"/>
                <w:sz w:val="17"/>
              </w:rPr>
              <w:t>Cartes statistiques disposées sur deux lignes.</w:t>
            </w:r>
          </w:p>
        </w:tc>
        <w:tc>
          <w:tcPr>
            <w:tcW w:type="dxa" w:w="3312"/>
            <w:vAlign w:val="center"/>
          </w:tcPr>
          <w:p>
            <w:pPr>
              <w:spacing w:after="0"/>
            </w:pPr>
            <w:r/>
            <w:r>
              <w:rPr>
                <w:rFonts w:ascii="Aptos" w:hAnsi="Aptos"/>
                <w:b w:val="0"/>
                <w:sz w:val="17"/>
              </w:rPr>
              <w:t>Modification annoncée et compilation réussie; rendu réel à contrôler.</w:t>
            </w:r>
          </w:p>
        </w:tc>
      </w:tr>
      <w:tr>
        <w:tc>
          <w:tcPr>
            <w:tcW w:type="dxa" w:w="3312"/>
            <w:vAlign w:val="center"/>
            <w:shd w:fill="F0F5F8"/>
          </w:tcPr>
          <w:p>
            <w:pPr>
              <w:spacing w:after="0"/>
            </w:pPr>
            <w:r/>
            <w:r>
              <w:rPr>
                <w:rFonts w:ascii="Aptos" w:hAnsi="Aptos"/>
                <w:b w:val="0"/>
                <w:sz w:val="17"/>
              </w:rPr>
              <w:t>Journal d’audit — AuditScreen.kt</w:t>
            </w:r>
          </w:p>
        </w:tc>
        <w:tc>
          <w:tcPr>
            <w:tcW w:type="dxa" w:w="3312"/>
            <w:vAlign w:val="center"/>
            <w:shd w:fill="F0F5F8"/>
          </w:tcPr>
          <w:p>
            <w:pPr>
              <w:spacing w:after="0"/>
            </w:pPr>
            <w:r/>
            <w:r>
              <w:rPr>
                <w:rFonts w:ascii="Aptos" w:hAnsi="Aptos"/>
                <w:b w:val="0"/>
                <w:sz w:val="17"/>
              </w:rPr>
              <w:t>Filtres « Échecs » et « Avertissements » rendus défilants horizontalement.</w:t>
            </w:r>
          </w:p>
        </w:tc>
        <w:tc>
          <w:tcPr>
            <w:tcW w:type="dxa" w:w="3312"/>
            <w:vAlign w:val="center"/>
            <w:shd w:fill="F0F5F8"/>
          </w:tcPr>
          <w:p>
            <w:pPr>
              <w:spacing w:after="0"/>
            </w:pPr>
            <w:r/>
            <w:r>
              <w:rPr>
                <w:rFonts w:ascii="Aptos" w:hAnsi="Aptos"/>
                <w:b w:val="0"/>
                <w:sz w:val="17"/>
              </w:rPr>
              <w:t>Modification annoncée; comportement à vérifier sur appareil.</w:t>
            </w:r>
          </w:p>
        </w:tc>
      </w:tr>
      <w:tr>
        <w:tc>
          <w:tcPr>
            <w:tcW w:type="dxa" w:w="3312"/>
            <w:vAlign w:val="center"/>
          </w:tcPr>
          <w:p>
            <w:pPr>
              <w:spacing w:after="0"/>
            </w:pPr>
            <w:r/>
            <w:r>
              <w:rPr>
                <w:rFonts w:ascii="Aptos" w:hAnsi="Aptos"/>
                <w:b w:val="0"/>
                <w:sz w:val="17"/>
              </w:rPr>
              <w:t>Factures — InvoicesScreen.kt</w:t>
            </w:r>
          </w:p>
        </w:tc>
        <w:tc>
          <w:tcPr>
            <w:tcW w:type="dxa" w:w="3312"/>
            <w:vAlign w:val="center"/>
          </w:tcPr>
          <w:p>
            <w:pPr>
              <w:spacing w:after="0"/>
            </w:pPr>
            <w:r/>
            <w:r>
              <w:rPr>
                <w:rFonts w:ascii="Aptos" w:hAnsi="Aptos"/>
                <w:b w:val="0"/>
                <w:sz w:val="17"/>
              </w:rPr>
              <w:t>Filtres de statut, dont « Impayées », rendus défilants horizontalement.</w:t>
            </w:r>
          </w:p>
        </w:tc>
        <w:tc>
          <w:tcPr>
            <w:tcW w:type="dxa" w:w="3312"/>
            <w:vAlign w:val="center"/>
          </w:tcPr>
          <w:p>
            <w:pPr>
              <w:spacing w:after="0"/>
            </w:pPr>
            <w:r/>
            <w:r>
              <w:rPr>
                <w:rFonts w:ascii="Aptos" w:hAnsi="Aptos"/>
                <w:b w:val="0"/>
                <w:sz w:val="17"/>
              </w:rPr>
              <w:t>Modification annoncée; la disposition des cartes et montants reste à contrôler.</w:t>
            </w:r>
          </w:p>
        </w:tc>
      </w:tr>
      <w:tr>
        <w:tc>
          <w:tcPr>
            <w:tcW w:type="dxa" w:w="3312"/>
            <w:vAlign w:val="center"/>
            <w:shd w:fill="F0F5F8"/>
          </w:tcPr>
          <w:p>
            <w:pPr>
              <w:spacing w:after="0"/>
            </w:pPr>
            <w:r/>
            <w:r>
              <w:rPr>
                <w:rFonts w:ascii="Aptos" w:hAnsi="Aptos"/>
                <w:b w:val="0"/>
                <w:sz w:val="17"/>
              </w:rPr>
              <w:t>Alertes — AlertsScreen.kt</w:t>
            </w:r>
          </w:p>
        </w:tc>
        <w:tc>
          <w:tcPr>
            <w:tcW w:type="dxa" w:w="3312"/>
            <w:vAlign w:val="center"/>
            <w:shd w:fill="F0F5F8"/>
          </w:tcPr>
          <w:p>
            <w:pPr>
              <w:spacing w:after="0"/>
            </w:pPr>
            <w:r/>
            <w:r>
              <w:rPr>
                <w:rFonts w:ascii="Aptos" w:hAnsi="Aptos"/>
                <w:b w:val="0"/>
                <w:sz w:val="17"/>
              </w:rPr>
              <w:t>Cartes de résumé dans une LazyRow avec largeur 120 dp et padding 16 dp; carte d’alerte avec une Row.</w:t>
            </w:r>
          </w:p>
        </w:tc>
        <w:tc>
          <w:tcPr>
            <w:tcW w:type="dxa" w:w="3312"/>
            <w:vAlign w:val="center"/>
            <w:shd w:fill="F0F5F8"/>
          </w:tcPr>
          <w:p>
            <w:pPr>
              <w:spacing w:after="0"/>
            </w:pPr>
            <w:r/>
            <w:r>
              <w:rPr>
                <w:rFonts w:ascii="Aptos" w:hAnsi="Aptos"/>
                <w:b w:val="0"/>
                <w:sz w:val="17"/>
              </w:rPr>
              <w:t>Le code visible révèle une zone à examiner pour les débordements; le composable complet n’a pas été fourni.</w:t>
            </w:r>
          </w:p>
        </w:tc>
      </w:tr>
      <w:tr>
        <w:tc>
          <w:tcPr>
            <w:tcW w:type="dxa" w:w="3312"/>
            <w:vAlign w:val="center"/>
          </w:tcPr>
          <w:p>
            <w:pPr>
              <w:spacing w:after="0"/>
            </w:pPr>
            <w:r/>
            <w:r>
              <w:rPr>
                <w:rFonts w:ascii="Aptos" w:hAnsi="Aptos"/>
                <w:b w:val="0"/>
                <w:sz w:val="17"/>
              </w:rPr>
              <w:t>Barre supérieure — SpiPmeTopBar.kt</w:t>
            </w:r>
          </w:p>
        </w:tc>
        <w:tc>
          <w:tcPr>
            <w:tcW w:type="dxa" w:w="3312"/>
            <w:vAlign w:val="center"/>
          </w:tcPr>
          <w:p>
            <w:pPr>
              <w:spacing w:after="0"/>
            </w:pPr>
            <w:r/>
            <w:r>
              <w:rPr>
                <w:rFonts w:ascii="Aptos" w:hAnsi="Aptos"/>
                <w:b w:val="0"/>
                <w:sz w:val="17"/>
              </w:rPr>
              <w:t>Avatar générique de 40 dp utilisant Icons.Filled.Person dans un cercle.</w:t>
            </w:r>
          </w:p>
        </w:tc>
        <w:tc>
          <w:tcPr>
            <w:tcW w:type="dxa" w:w="3312"/>
            <w:vAlign w:val="center"/>
          </w:tcPr>
          <w:p>
            <w:pPr>
              <w:spacing w:after="0"/>
            </w:pPr>
            <w:r/>
            <w:r>
              <w:rPr>
                <w:rFonts w:ascii="Aptos" w:hAnsi="Aptos"/>
                <w:b w:val="0"/>
                <w:sz w:val="17"/>
              </w:rPr>
              <w:t>Le code montre une icône générique, pas une photo; la cause de l’invisibilité alléguée reste inconnue.</w:t>
            </w:r>
          </w:p>
        </w:tc>
      </w:tr>
      <w:tr>
        <w:tc>
          <w:tcPr>
            <w:tcW w:type="dxa" w:w="3312"/>
            <w:vAlign w:val="center"/>
            <w:shd w:fill="F0F5F8"/>
          </w:tcPr>
          <w:p>
            <w:pPr>
              <w:spacing w:after="0"/>
            </w:pPr>
            <w:r/>
            <w:r>
              <w:rPr>
                <w:rFonts w:ascii="Aptos" w:hAnsi="Aptos"/>
                <w:b w:val="0"/>
                <w:sz w:val="17"/>
              </w:rPr>
              <w:t>Tableau de bord — DashboardScreen.kt</w:t>
            </w:r>
          </w:p>
        </w:tc>
        <w:tc>
          <w:tcPr>
            <w:tcW w:type="dxa" w:w="3312"/>
            <w:vAlign w:val="center"/>
            <w:shd w:fill="F0F5F8"/>
          </w:tcPr>
          <w:p>
            <w:pPr>
              <w:spacing w:after="0"/>
            </w:pPr>
            <w:r/>
            <w:r>
              <w:rPr>
                <w:rFonts w:ascii="Aptos" w:hAnsi="Aptos"/>
                <w:b w:val="0"/>
                <w:sz w:val="17"/>
              </w:rPr>
              <w:t>Le KPI « Ressources critiques » reçoit resume.critiques.toString().</w:t>
            </w:r>
          </w:p>
        </w:tc>
        <w:tc>
          <w:tcPr>
            <w:tcW w:type="dxa" w:w="3312"/>
            <w:vAlign w:val="center"/>
            <w:shd w:fill="F0F5F8"/>
          </w:tcPr>
          <w:p>
            <w:pPr>
              <w:spacing w:after="0"/>
            </w:pPr>
            <w:r/>
            <w:r>
              <w:rPr>
                <w:rFonts w:ascii="Aptos" w:hAnsi="Aptos"/>
                <w:b w:val="0"/>
                <w:sz w:val="17"/>
              </w:rPr>
              <w:t>La définition de la donnée est connue, mais pas le composable complet qui positionne le nombre.</w:t>
            </w:r>
          </w:p>
        </w:tc>
      </w:tr>
    </w:tbl>
    <w:p>
      <w:pPr>
        <w:spacing w:after="20"/>
      </w:pPr>
    </w:p>
    <w:p>
      <w:pPr>
        <w:pStyle w:val="Heading1"/>
      </w:pPr>
      <w:r>
        <w:t>5. Fichiers et sauvegardes cités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4A70"/>
          </w:tcPr>
          <w:p>
            <w:pPr>
              <w:spacing w:after="0"/>
            </w:pPr>
            <w:r/>
            <w:r>
              <w:rPr>
                <w:rFonts w:ascii="Aptos" w:hAnsi="Aptos"/>
                <w:b/>
                <w:color w:val="FFFFFF"/>
                <w:sz w:val="18"/>
              </w:rPr>
              <w:t>Fichier / chemin</w:t>
            </w:r>
          </w:p>
        </w:tc>
        <w:tc>
          <w:tcPr>
            <w:tcW w:type="dxa" w:w="3312"/>
            <w:vAlign w:val="center"/>
            <w:shd w:fill="174A70"/>
          </w:tcPr>
          <w:p>
            <w:pPr>
              <w:spacing w:after="0"/>
            </w:pPr>
            <w:r/>
            <w:r>
              <w:rPr>
                <w:rFonts w:ascii="Aptos" w:hAnsi="Aptos"/>
                <w:b/>
                <w:color w:val="FFFFFF"/>
                <w:sz w:val="18"/>
              </w:rPr>
              <w:t>Rôle dans l’échange</w:t>
            </w:r>
          </w:p>
        </w:tc>
        <w:tc>
          <w:tcPr>
            <w:tcW w:type="dxa" w:w="3312"/>
            <w:vAlign w:val="center"/>
            <w:shd w:fill="174A70"/>
          </w:tcPr>
          <w:p>
            <w:pPr>
              <w:spacing w:after="0"/>
            </w:pPr>
            <w:r/>
            <w:r>
              <w:rPr>
                <w:rFonts w:ascii="Aptos" w:hAnsi="Aptos"/>
                <w:b/>
                <w:color w:val="FFFFFF"/>
                <w:sz w:val="18"/>
              </w:rPr>
              <w:t>Niveau de certitude</w:t>
            </w:r>
          </w:p>
        </w:tc>
      </w:tr>
      <w:tr>
        <w:tc>
          <w:tcPr>
            <w:tcW w:type="dxa" w:w="3312"/>
            <w:vAlign w:val="center"/>
          </w:tcPr>
          <w:p>
            <w:pPr>
              <w:spacing w:after="0"/>
            </w:pPr>
            <w:r/>
            <w:r>
              <w:rPr>
                <w:rFonts w:ascii="Aptos" w:hAnsi="Aptos"/>
                <w:b w:val="0"/>
                <w:sz w:val="17"/>
              </w:rPr>
              <w:t>app\src\main\java\com\spipme\app\ui\audit\AuditScreen.kt</w:t>
            </w:r>
          </w:p>
        </w:tc>
        <w:tc>
          <w:tcPr>
            <w:tcW w:type="dxa" w:w="3312"/>
            <w:vAlign w:val="center"/>
          </w:tcPr>
          <w:p>
            <w:pPr>
              <w:spacing w:after="0"/>
            </w:pPr>
            <w:r/>
            <w:r>
              <w:rPr>
                <w:rFonts w:ascii="Aptos" w:hAnsi="Aptos"/>
                <w:b w:val="0"/>
                <w:sz w:val="17"/>
              </w:rPr>
              <w:t>Cartes de synthèse et filtres du journal d’audit.</w:t>
            </w:r>
          </w:p>
        </w:tc>
        <w:tc>
          <w:tcPr>
            <w:tcW w:type="dxa" w:w="3312"/>
            <w:vAlign w:val="center"/>
          </w:tcPr>
          <w:p>
            <w:pPr>
              <w:spacing w:after="0"/>
            </w:pPr>
            <w:r/>
            <w:r>
              <w:rPr>
                <w:rFonts w:ascii="Aptos" w:hAnsi="Aptos"/>
                <w:b w:val="0"/>
                <w:sz w:val="17"/>
              </w:rPr>
              <w:t>Fichier cité par les diagnostics.</w:t>
            </w:r>
          </w:p>
        </w:tc>
      </w:tr>
      <w:tr>
        <w:tc>
          <w:tcPr>
            <w:tcW w:type="dxa" w:w="3312"/>
            <w:vAlign w:val="center"/>
            <w:shd w:fill="F0F5F8"/>
          </w:tcPr>
          <w:p>
            <w:pPr>
              <w:spacing w:after="0"/>
            </w:pPr>
            <w:r/>
            <w:r>
              <w:rPr>
                <w:rFonts w:ascii="Aptos" w:hAnsi="Aptos"/>
                <w:b w:val="0"/>
                <w:sz w:val="17"/>
              </w:rPr>
              <w:t>app\src\main\java\com\spipme\app\ui\alerts\AlertsScreen.kt</w:t>
            </w:r>
          </w:p>
        </w:tc>
        <w:tc>
          <w:tcPr>
            <w:tcW w:type="dxa" w:w="3312"/>
            <w:vAlign w:val="center"/>
            <w:shd w:fill="F0F5F8"/>
          </w:tcPr>
          <w:p>
            <w:pPr>
              <w:spacing w:after="0"/>
            </w:pPr>
            <w:r/>
            <w:r>
              <w:rPr>
                <w:rFonts w:ascii="Aptos" w:hAnsi="Aptos"/>
                <w:b w:val="0"/>
                <w:sz w:val="17"/>
              </w:rPr>
              <w:t>Résumé des alertes et carte individuelle CarteAlerte.</w:t>
            </w:r>
          </w:p>
        </w:tc>
        <w:tc>
          <w:tcPr>
            <w:tcW w:type="dxa" w:w="3312"/>
            <w:vAlign w:val="center"/>
            <w:shd w:fill="F0F5F8"/>
          </w:tcPr>
          <w:p>
            <w:pPr>
              <w:spacing w:after="0"/>
            </w:pPr>
            <w:r/>
            <w:r>
              <w:rPr>
                <w:rFonts w:ascii="Aptos" w:hAnsi="Aptos"/>
                <w:b w:val="0"/>
                <w:sz w:val="17"/>
              </w:rPr>
              <w:t>Extraits partiels affichés.</w:t>
            </w:r>
          </w:p>
        </w:tc>
      </w:tr>
      <w:tr>
        <w:tc>
          <w:tcPr>
            <w:tcW w:type="dxa" w:w="3312"/>
            <w:vAlign w:val="center"/>
          </w:tcPr>
          <w:p>
            <w:pPr>
              <w:spacing w:after="0"/>
            </w:pPr>
            <w:r/>
            <w:r>
              <w:rPr>
                <w:rFonts w:ascii="Aptos" w:hAnsi="Aptos"/>
                <w:b w:val="0"/>
                <w:sz w:val="17"/>
              </w:rPr>
              <w:t>app\src\main\java\com\spipme\app\ui\invoices\InvoicesScreen.kt</w:t>
            </w:r>
          </w:p>
        </w:tc>
        <w:tc>
          <w:tcPr>
            <w:tcW w:type="dxa" w:w="3312"/>
            <w:vAlign w:val="center"/>
          </w:tcPr>
          <w:p>
            <w:pPr>
              <w:spacing w:after="0"/>
            </w:pPr>
            <w:r/>
            <w:r>
              <w:rPr>
                <w:rFonts w:ascii="Aptos" w:hAnsi="Aptos"/>
                <w:b w:val="0"/>
                <w:sz w:val="17"/>
              </w:rPr>
              <w:t>Filtres de statut et carte de facture.</w:t>
            </w:r>
          </w:p>
        </w:tc>
        <w:tc>
          <w:tcPr>
            <w:tcW w:type="dxa" w:w="3312"/>
            <w:vAlign w:val="center"/>
          </w:tcPr>
          <w:p>
            <w:pPr>
              <w:spacing w:after="0"/>
            </w:pPr>
            <w:r/>
            <w:r>
              <w:rPr>
                <w:rFonts w:ascii="Aptos" w:hAnsi="Aptos"/>
                <w:b w:val="0"/>
                <w:sz w:val="17"/>
              </w:rPr>
              <w:t>Fichier cité; certains extraits antérieurs incomplets.</w:t>
            </w:r>
          </w:p>
        </w:tc>
      </w:tr>
      <w:tr>
        <w:tc>
          <w:tcPr>
            <w:tcW w:type="dxa" w:w="3312"/>
            <w:vAlign w:val="center"/>
            <w:shd w:fill="F0F5F8"/>
          </w:tcPr>
          <w:p>
            <w:pPr>
              <w:spacing w:after="0"/>
            </w:pPr>
            <w:r/>
            <w:r>
              <w:rPr>
                <w:rFonts w:ascii="Aptos" w:hAnsi="Aptos"/>
                <w:b w:val="0"/>
                <w:sz w:val="17"/>
              </w:rPr>
              <w:t>app\src\main\java\com\spipme\app\ui\dashboard\DashboardScreen.kt</w:t>
            </w:r>
          </w:p>
        </w:tc>
        <w:tc>
          <w:tcPr>
            <w:tcW w:type="dxa" w:w="3312"/>
            <w:vAlign w:val="center"/>
            <w:shd w:fill="F0F5F8"/>
          </w:tcPr>
          <w:p>
            <w:pPr>
              <w:spacing w:after="0"/>
            </w:pPr>
            <w:r/>
            <w:r>
              <w:rPr>
                <w:rFonts w:ascii="Aptos" w:hAnsi="Aptos"/>
                <w:b w:val="0"/>
                <w:sz w:val="17"/>
              </w:rPr>
              <w:t>Données des indicateurs du tableau de bord.</w:t>
            </w:r>
          </w:p>
        </w:tc>
        <w:tc>
          <w:tcPr>
            <w:tcW w:type="dxa" w:w="3312"/>
            <w:vAlign w:val="center"/>
            <w:shd w:fill="F0F5F8"/>
          </w:tcPr>
          <w:p>
            <w:pPr>
              <w:spacing w:after="0"/>
            </w:pPr>
            <w:r/>
            <w:r>
              <w:rPr>
                <w:rFonts w:ascii="Aptos" w:hAnsi="Aptos"/>
                <w:b w:val="0"/>
                <w:sz w:val="17"/>
              </w:rPr>
              <w:t>Définition et construction des KPI affichées, rendu incomplet.</w:t>
            </w:r>
          </w:p>
        </w:tc>
      </w:tr>
      <w:tr>
        <w:tc>
          <w:tcPr>
            <w:tcW w:type="dxa" w:w="3312"/>
            <w:vAlign w:val="center"/>
          </w:tcPr>
          <w:p>
            <w:pPr>
              <w:spacing w:after="0"/>
            </w:pPr>
            <w:r/>
            <w:r>
              <w:rPr>
                <w:rFonts w:ascii="Aptos" w:hAnsi="Aptos"/>
                <w:b w:val="0"/>
                <w:sz w:val="17"/>
              </w:rPr>
              <w:t>app\src\main\java\com\spipme\app\ui\components\SpiPmeTopBar.kt</w:t>
            </w:r>
          </w:p>
        </w:tc>
        <w:tc>
          <w:tcPr>
            <w:tcW w:type="dxa" w:w="3312"/>
            <w:vAlign w:val="center"/>
          </w:tcPr>
          <w:p>
            <w:pPr>
              <w:spacing w:after="0"/>
            </w:pPr>
            <w:r/>
            <w:r>
              <w:rPr>
                <w:rFonts w:ascii="Aptos" w:hAnsi="Aptos"/>
                <w:b w:val="0"/>
                <w:sz w:val="17"/>
              </w:rPr>
              <w:t>Barre supérieure partagée et avatar.</w:t>
            </w:r>
          </w:p>
        </w:tc>
        <w:tc>
          <w:tcPr>
            <w:tcW w:type="dxa" w:w="3312"/>
            <w:vAlign w:val="center"/>
          </w:tcPr>
          <w:p>
            <w:pPr>
              <w:spacing w:after="0"/>
            </w:pPr>
            <w:r/>
            <w:r>
              <w:rPr>
                <w:rFonts w:ascii="Aptos" w:hAnsi="Aptos"/>
                <w:b w:val="0"/>
                <w:sz w:val="17"/>
              </w:rPr>
              <w:t>Extrait de l’avatar affiché.</w:t>
            </w:r>
          </w:p>
        </w:tc>
      </w:tr>
      <w:tr>
        <w:tc>
          <w:tcPr>
            <w:tcW w:type="dxa" w:w="3312"/>
            <w:vAlign w:val="center"/>
            <w:shd w:fill="F0F5F8"/>
          </w:tcPr>
          <w:p>
            <w:pPr>
              <w:spacing w:after="0"/>
            </w:pPr>
            <w:r/>
            <w:r>
              <w:rPr>
                <w:rFonts w:ascii="Aptos" w:hAnsi="Aptos"/>
                <w:b w:val="0"/>
                <w:sz w:val="17"/>
              </w:rPr>
              <w:t>C:\Android\spi_pme_android\sauvegardes-correctifs-visuels-20261021-083456</w:t>
            </w:r>
          </w:p>
        </w:tc>
        <w:tc>
          <w:tcPr>
            <w:tcW w:type="dxa" w:w="3312"/>
            <w:vAlign w:val="center"/>
            <w:shd w:fill="F0F5F8"/>
          </w:tcPr>
          <w:p>
            <w:pPr>
              <w:spacing w:after="0"/>
            </w:pPr>
            <w:r/>
            <w:r>
              <w:rPr>
                <w:rFonts w:ascii="Aptos" w:hAnsi="Aptos"/>
                <w:b w:val="0"/>
                <w:sz w:val="17"/>
              </w:rPr>
              <w:t>Dossier de sauvegarde annoncé par le script de correctifs.</w:t>
            </w:r>
          </w:p>
        </w:tc>
        <w:tc>
          <w:tcPr>
            <w:tcW w:type="dxa" w:w="3312"/>
            <w:vAlign w:val="center"/>
            <w:shd w:fill="F0F5F8"/>
          </w:tcPr>
          <w:p>
            <w:pPr>
              <w:spacing w:after="0"/>
            </w:pPr>
            <w:r/>
            <w:r>
              <w:rPr>
                <w:rFonts w:ascii="Aptos" w:hAnsi="Aptos"/>
                <w:b w:val="0"/>
                <w:sz w:val="17"/>
              </w:rPr>
              <w:t>Existence annoncée dans la sortie utilisateur; non inspectée directement.</w:t>
            </w:r>
          </w:p>
        </w:tc>
      </w:tr>
      <w:tr>
        <w:tc>
          <w:tcPr>
            <w:tcW w:type="dxa" w:w="3312"/>
            <w:vAlign w:val="center"/>
          </w:tcPr>
          <w:p>
            <w:pPr>
              <w:spacing w:after="0"/>
            </w:pPr>
            <w:r/>
            <w:r>
              <w:rPr>
                <w:rFonts w:ascii="Aptos" w:hAnsi="Aptos"/>
                <w:b w:val="0"/>
                <w:sz w:val="17"/>
              </w:rPr>
              <w:t>C:\Android\spi_pme_android\build-correctifs-visuels-20261021-083456.log</w:t>
            </w:r>
          </w:p>
        </w:tc>
        <w:tc>
          <w:tcPr>
            <w:tcW w:type="dxa" w:w="3312"/>
            <w:vAlign w:val="center"/>
          </w:tcPr>
          <w:p>
            <w:pPr>
              <w:spacing w:after="0"/>
            </w:pPr>
            <w:r/>
            <w:r>
              <w:rPr>
                <w:rFonts w:ascii="Aptos" w:hAnsi="Aptos"/>
                <w:b w:val="0"/>
                <w:sz w:val="17"/>
              </w:rPr>
              <w:t>Journal Gradle du dernier résultat communiqué.</w:t>
            </w:r>
          </w:p>
        </w:tc>
        <w:tc>
          <w:tcPr>
            <w:tcW w:type="dxa" w:w="3312"/>
            <w:vAlign w:val="center"/>
          </w:tcPr>
          <w:p>
            <w:pPr>
              <w:spacing w:after="0"/>
            </w:pPr>
            <w:r/>
            <w:r>
              <w:rPr>
                <w:rFonts w:ascii="Aptos" w:hAnsi="Aptos"/>
                <w:b w:val="0"/>
                <w:sz w:val="17"/>
              </w:rPr>
              <w:t>Chemin annoncé dans la sortie utilisateur.</w:t>
            </w:r>
          </w:p>
        </w:tc>
      </w:tr>
      <w:tr>
        <w:tc>
          <w:tcPr>
            <w:tcW w:type="dxa" w:w="3312"/>
            <w:vAlign w:val="center"/>
            <w:shd w:fill="F0F5F8"/>
          </w:tcPr>
          <w:p>
            <w:pPr>
              <w:spacing w:after="0"/>
            </w:pPr>
            <w:r/>
            <w:r>
              <w:rPr>
                <w:rFonts w:ascii="Aptos" w:hAnsi="Aptos"/>
                <w:b w:val="0"/>
                <w:sz w:val="17"/>
              </w:rPr>
              <w:t>C:\Android\spi_pme_android\diagnostic-visuel-restant.txt</w:t>
            </w:r>
          </w:p>
        </w:tc>
        <w:tc>
          <w:tcPr>
            <w:tcW w:type="dxa" w:w="3312"/>
            <w:vAlign w:val="center"/>
            <w:shd w:fill="F0F5F8"/>
          </w:tcPr>
          <w:p>
            <w:pPr>
              <w:spacing w:after="0"/>
            </w:pPr>
            <w:r/>
            <w:r>
              <w:rPr>
                <w:rFonts w:ascii="Aptos" w:hAnsi="Aptos"/>
                <w:b w:val="0"/>
                <w:sz w:val="17"/>
              </w:rPr>
              <w:t>Rapport de diagnostic mentionné dans une sortie antérieure.</w:t>
            </w:r>
          </w:p>
        </w:tc>
        <w:tc>
          <w:tcPr>
            <w:tcW w:type="dxa" w:w="3312"/>
            <w:vAlign w:val="center"/>
            <w:shd w:fill="F0F5F8"/>
          </w:tcPr>
          <w:p>
            <w:pPr>
              <w:spacing w:after="0"/>
            </w:pPr>
            <w:r/>
            <w:r>
              <w:rPr>
                <w:rFonts w:ascii="Aptos" w:hAnsi="Aptos"/>
                <w:b w:val="0"/>
                <w:sz w:val="17"/>
              </w:rPr>
              <w:t>Contenu partiel reproduit dans la conversation.</w:t>
            </w:r>
          </w:p>
        </w:tc>
      </w:tr>
      <w:tr>
        <w:tc>
          <w:tcPr>
            <w:tcW w:type="dxa" w:w="3312"/>
            <w:vAlign w:val="center"/>
          </w:tcPr>
          <w:p>
            <w:pPr>
              <w:spacing w:after="0"/>
            </w:pPr>
            <w:r/>
            <w:r>
              <w:rPr>
                <w:rFonts w:ascii="Aptos" w:hAnsi="Aptos"/>
                <w:b w:val="0"/>
                <w:sz w:val="17"/>
              </w:rPr>
              <w:t>C:\Android\spi_pme_android\diagnostic-ciblage-corrections-visuelles-V2.txt</w:t>
            </w:r>
          </w:p>
        </w:tc>
        <w:tc>
          <w:tcPr>
            <w:tcW w:type="dxa" w:w="3312"/>
            <w:vAlign w:val="center"/>
          </w:tcPr>
          <w:p>
            <w:pPr>
              <w:spacing w:after="0"/>
            </w:pPr>
            <w:r/>
            <w:r>
              <w:rPr>
                <w:rFonts w:ascii="Aptos" w:hAnsi="Aptos"/>
                <w:b w:val="0"/>
                <w:sz w:val="17"/>
              </w:rPr>
              <w:t>Nom attendu pour un script de diagnostic plus récent.</w:t>
            </w:r>
          </w:p>
        </w:tc>
        <w:tc>
          <w:tcPr>
            <w:tcW w:type="dxa" w:w="3312"/>
            <w:vAlign w:val="center"/>
          </w:tcPr>
          <w:p>
            <w:pPr>
              <w:spacing w:after="0"/>
            </w:pPr>
            <w:r/>
            <w:r>
              <w:rPr>
                <w:rFonts w:ascii="Aptos" w:hAnsi="Aptos"/>
                <w:b w:val="0"/>
                <w:sz w:val="17"/>
              </w:rPr>
              <w:t>Aucune sortie prouvant que ce rapport a été produit n’a été fournie.</w:t>
            </w:r>
          </w:p>
        </w:tc>
      </w:tr>
    </w:tbl>
    <w:p>
      <w:pPr>
        <w:spacing w:after="20"/>
      </w:pPr>
    </w:p>
    <w:p>
      <w:pPr>
        <w:pStyle w:val="Heading1"/>
      </w:pPr>
      <w:r>
        <w:t>6. Erreurs rencontrées et analyse</w:t>
      </w:r>
    </w:p>
    <w:p>
      <w:pPr>
        <w:pStyle w:val="Heading2"/>
      </w:pPr>
      <w:r>
        <w:t>6.1 Erreur de syntaxe PowerShell : plusieurs commandes sur une seule ligne</w:t>
      </w:r>
    </w:p>
    <w:p>
      <w:r>
        <w:t>Erreur rapportée : « Jeton inattendu $Racine » et « Jeton inattendu Set-Location ». La commande collée ressemblait à `$ErrorActionPreference = "Stop" $Racine = ... Set-Location ...` sans séparateurs. PowerShell ne peut pas interpréter plusieurs affectations et instructions juxtaposées de cette manière. La solution est d’utiliser une instruction par ligne, ou un séparateur explicite `;` entre les instructions.</w:t>
      </w:r>
    </w:p>
    <w:p>
      <w:pPr>
        <w:pStyle w:val="Heading2"/>
      </w:pPr>
      <w:r>
        <w:t>6.2 Erreur de déclaration de fonction et texte HTML parasite</w:t>
      </w:r>
    </w:p>
    <w:p>
      <w:r>
        <w:t>Erreur rapportée autour de `function Ajouter-Plage&amp;#x20;` : le texte `&amp;#x20;` est une entité HTML représentant un espace, et ne doit pas se retrouver dans le code PowerShell. Le corps de fonction manquant découle de la ligne de déclaration corrompue ou tronquée. Le script a donc été interrompu par le parseur avant son exécution.</w:t>
      </w:r>
    </w:p>
    <w:p>
      <w:pPr>
        <w:pStyle w:val="Heading2"/>
      </w:pPr>
      <w:r>
        <w:t>6.3 Script tronqué ou tableaux incomplets</w:t>
      </w:r>
    </w:p>
    <w:p>
      <w:r>
        <w:t>Un autre texte collé contenait `$Cibles=@(@,@,@,@,@)` et se terminait au milieu d’une boucle `foreach($c in $Cibles)`. Ce fragment n’est pas un script complet : les objets de configuration, la fonction de lecture et les blocs de fermeture manquent. Il ne pouvait pas produire le rapport attendu. Une commande partielle ne doit pas être exécutée comme si elle était complète.</w:t>
      </w:r>
    </w:p>
    <w:p>
      <w:pPr>
        <w:pStyle w:val="Heading2"/>
      </w:pPr>
      <w:r>
        <w:t>6.4 Répétition du même diagnostic</w:t>
      </w:r>
    </w:p>
    <w:p>
      <w:r>
        <w:t>La sortie ultérieure contenait toujours le titre « DIAGNOSTIC ALERTES, KPI ET AVATAR » et le chemin `diagnostic-visuel-restant.txt`, alors qu’un script suivant devait écrire `diagnostic-ciblage-corrections-visuelles-V2.txt`. Cela indique que la sortie communiquée correspondait à l’ancien diagnostic, ou que le nouveau script n’a pas été exécuté intégralement. La sortie seule ne permet pas de déterminer lequel de ces cas s’est produit.</w:t>
      </w:r>
    </w:p>
    <w:p>
      <w:pPr>
        <w:pStyle w:val="Heading2"/>
      </w:pPr>
      <w:r>
        <w:t>6.5 Encodage des caractères accentués</w:t>
      </w:r>
    </w:p>
    <w:p>
      <w:r>
        <w:t>Les extraits affichent des chaînes comme `Ã‰levÃ©e`, `ModÃ©rÃ©e` ou `TÃ¢ches`. C’est typique d’un décalage d’encodage entre UTF-8 et une autre page de code lors de la lecture ou de l’affichage. Cela ne prouve pas à lui seul que les fichiers Kotlin contiennent des caractères corrompus. Il faut éviter une conversion massive de fichiers avant d’avoir inspecté les octets ou le contenu affiché dans un éditeur adapté.</w:t>
      </w:r>
    </w:p>
    <w:p>
      <w:pPr>
        <w:pStyle w:val="Heading1"/>
      </w:pPr>
      <w:r>
        <w:t>7. Résultats Gradle : interprétation correcte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4A70"/>
          </w:tcPr>
          <w:p>
            <w:pPr>
              <w:spacing w:after="0"/>
            </w:pPr>
            <w:r/>
            <w:r>
              <w:rPr>
                <w:rFonts w:ascii="Aptos" w:hAnsi="Aptos"/>
                <w:b/>
                <w:color w:val="FFFFFF"/>
                <w:sz w:val="18"/>
              </w:rPr>
              <w:t>Élément de sortie</w:t>
            </w:r>
          </w:p>
        </w:tc>
        <w:tc>
          <w:tcPr>
            <w:tcW w:type="dxa" w:w="3312"/>
            <w:vAlign w:val="center"/>
            <w:shd w:fill="174A70"/>
          </w:tcPr>
          <w:p>
            <w:pPr>
              <w:spacing w:after="0"/>
            </w:pPr>
            <w:r/>
            <w:r>
              <w:rPr>
                <w:rFonts w:ascii="Aptos" w:hAnsi="Aptos"/>
                <w:b/>
                <w:color w:val="FFFFFF"/>
                <w:sz w:val="18"/>
              </w:rPr>
              <w:t>Signification</w:t>
            </w:r>
          </w:p>
        </w:tc>
        <w:tc>
          <w:tcPr>
            <w:tcW w:type="dxa" w:w="3312"/>
            <w:vAlign w:val="center"/>
            <w:shd w:fill="174A70"/>
          </w:tcPr>
          <w:p>
            <w:pPr>
              <w:spacing w:after="0"/>
            </w:pPr>
            <w:r/>
            <w:r>
              <w:rPr>
                <w:rFonts w:ascii="Aptos" w:hAnsi="Aptos"/>
                <w:b/>
                <w:color w:val="FFFFFF"/>
                <w:sz w:val="18"/>
              </w:rPr>
              <w:t>Limite</w:t>
            </w:r>
          </w:p>
        </w:tc>
      </w:tr>
      <w:tr>
        <w:tc>
          <w:tcPr>
            <w:tcW w:type="dxa" w:w="3312"/>
            <w:vAlign w:val="center"/>
          </w:tcPr>
          <w:p>
            <w:pPr>
              <w:spacing w:after="0"/>
            </w:pPr>
            <w:r/>
            <w:r>
              <w:rPr>
                <w:rFonts w:ascii="Aptos" w:hAnsi="Aptos"/>
                <w:b w:val="0"/>
                <w:sz w:val="17"/>
              </w:rPr>
              <w:t>BUILD SUCCESSFUL</w:t>
            </w:r>
          </w:p>
        </w:tc>
        <w:tc>
          <w:tcPr>
            <w:tcW w:type="dxa" w:w="3312"/>
            <w:vAlign w:val="center"/>
          </w:tcPr>
          <w:p>
            <w:pPr>
              <w:spacing w:after="0"/>
            </w:pPr>
            <w:r/>
            <w:r>
              <w:rPr>
                <w:rFonts w:ascii="Aptos" w:hAnsi="Aptos"/>
                <w:b w:val="0"/>
                <w:sz w:val="17"/>
              </w:rPr>
              <w:t>La commande Gradle s’est terminée sans erreur bloquante.</w:t>
            </w:r>
          </w:p>
        </w:tc>
        <w:tc>
          <w:tcPr>
            <w:tcW w:type="dxa" w:w="3312"/>
            <w:vAlign w:val="center"/>
          </w:tcPr>
          <w:p>
            <w:pPr>
              <w:spacing w:after="0"/>
            </w:pPr>
            <w:r/>
            <w:r>
              <w:rPr>
                <w:rFonts w:ascii="Aptos" w:hAnsi="Aptos"/>
                <w:b w:val="0"/>
                <w:sz w:val="17"/>
              </w:rPr>
              <w:t>Ne garantit pas le bon rendu visuel à l’exécution.</w:t>
            </w:r>
          </w:p>
        </w:tc>
      </w:tr>
      <w:tr>
        <w:tc>
          <w:tcPr>
            <w:tcW w:type="dxa" w:w="3312"/>
            <w:vAlign w:val="center"/>
            <w:shd w:fill="F0F5F8"/>
          </w:tcPr>
          <w:p>
            <w:pPr>
              <w:spacing w:after="0"/>
            </w:pPr>
            <w:r/>
            <w:r>
              <w:rPr>
                <w:rFonts w:ascii="Aptos" w:hAnsi="Aptos"/>
                <w:b w:val="0"/>
                <w:sz w:val="17"/>
              </w:rPr>
              <w:t>Code retour 0</w:t>
            </w:r>
          </w:p>
        </w:tc>
        <w:tc>
          <w:tcPr>
            <w:tcW w:type="dxa" w:w="3312"/>
            <w:vAlign w:val="center"/>
            <w:shd w:fill="F0F5F8"/>
          </w:tcPr>
          <w:p>
            <w:pPr>
              <w:spacing w:after="0"/>
            </w:pPr>
            <w:r/>
            <w:r>
              <w:rPr>
                <w:rFonts w:ascii="Aptos" w:hAnsi="Aptos"/>
                <w:b w:val="0"/>
                <w:sz w:val="17"/>
              </w:rPr>
              <w:t>Le processus Gradle a signalé une réussite.</w:t>
            </w:r>
          </w:p>
        </w:tc>
        <w:tc>
          <w:tcPr>
            <w:tcW w:type="dxa" w:w="3312"/>
            <w:vAlign w:val="center"/>
            <w:shd w:fill="F0F5F8"/>
          </w:tcPr>
          <w:p>
            <w:pPr>
              <w:spacing w:after="0"/>
            </w:pPr>
            <w:r/>
            <w:r>
              <w:rPr>
                <w:rFonts w:ascii="Aptos" w:hAnsi="Aptos"/>
                <w:b w:val="0"/>
                <w:sz w:val="17"/>
              </w:rPr>
              <w:t>Ne valide pas les interactions non couvertes par les tests.</w:t>
            </w:r>
          </w:p>
        </w:tc>
      </w:tr>
      <w:tr>
        <w:tc>
          <w:tcPr>
            <w:tcW w:type="dxa" w:w="3312"/>
            <w:vAlign w:val="center"/>
          </w:tcPr>
          <w:p>
            <w:pPr>
              <w:spacing w:after="0"/>
            </w:pPr>
            <w:r/>
            <w:r>
              <w:rPr>
                <w:rFonts w:ascii="Aptos" w:hAnsi="Aptos"/>
                <w:b w:val="0"/>
                <w:sz w:val="17"/>
              </w:rPr>
              <w:t>assembleDebug UP-TO-DATE</w:t>
            </w:r>
          </w:p>
        </w:tc>
        <w:tc>
          <w:tcPr>
            <w:tcW w:type="dxa" w:w="3312"/>
            <w:vAlign w:val="center"/>
          </w:tcPr>
          <w:p>
            <w:pPr>
              <w:spacing w:after="0"/>
            </w:pPr>
            <w:r/>
            <w:r>
              <w:rPr>
                <w:rFonts w:ascii="Aptos" w:hAnsi="Aptos"/>
                <w:b w:val="0"/>
                <w:sz w:val="17"/>
              </w:rPr>
              <w:t>Gradle considère la tâche de génération de l’APK à jour.</w:t>
            </w:r>
          </w:p>
        </w:tc>
        <w:tc>
          <w:tcPr>
            <w:tcW w:type="dxa" w:w="3312"/>
            <w:vAlign w:val="center"/>
          </w:tcPr>
          <w:p>
            <w:pPr>
              <w:spacing w:after="0"/>
            </w:pPr>
            <w:r/>
            <w:r>
              <w:rPr>
                <w:rFonts w:ascii="Aptos" w:hAnsi="Aptos"/>
                <w:b w:val="0"/>
                <w:sz w:val="17"/>
              </w:rPr>
              <w:t>La tâche n’a pas nécessairement été reconstruite lors de cette exécution.</w:t>
            </w:r>
          </w:p>
        </w:tc>
      </w:tr>
      <w:tr>
        <w:tc>
          <w:tcPr>
            <w:tcW w:type="dxa" w:w="3312"/>
            <w:vAlign w:val="center"/>
            <w:shd w:fill="F0F5F8"/>
          </w:tcPr>
          <w:p>
            <w:pPr>
              <w:spacing w:after="0"/>
            </w:pPr>
            <w:r/>
            <w:r>
              <w:rPr>
                <w:rFonts w:ascii="Aptos" w:hAnsi="Aptos"/>
                <w:b w:val="0"/>
                <w:sz w:val="17"/>
              </w:rPr>
              <w:t>testDebugUnitTest UP-TO-DATE</w:t>
            </w:r>
          </w:p>
        </w:tc>
        <w:tc>
          <w:tcPr>
            <w:tcW w:type="dxa" w:w="3312"/>
            <w:vAlign w:val="center"/>
            <w:shd w:fill="F0F5F8"/>
          </w:tcPr>
          <w:p>
            <w:pPr>
              <w:spacing w:after="0"/>
            </w:pPr>
            <w:r/>
            <w:r>
              <w:rPr>
                <w:rFonts w:ascii="Aptos" w:hAnsi="Aptos"/>
                <w:b w:val="0"/>
                <w:sz w:val="17"/>
              </w:rPr>
              <w:t>Gradle considère les résultats des tests unitaires à jour.</w:t>
            </w:r>
          </w:p>
        </w:tc>
        <w:tc>
          <w:tcPr>
            <w:tcW w:type="dxa" w:w="3312"/>
            <w:vAlign w:val="center"/>
            <w:shd w:fill="F0F5F8"/>
          </w:tcPr>
          <w:p>
            <w:pPr>
              <w:spacing w:after="0"/>
            </w:pPr>
            <w:r/>
            <w:r>
              <w:rPr>
                <w:rFonts w:ascii="Aptos" w:hAnsi="Aptos"/>
                <w:b w:val="0"/>
                <w:sz w:val="17"/>
              </w:rPr>
              <w:t>Cette ligne ne prouve pas que les tests ont été réexécutés pendant cette invocation.</w:t>
            </w:r>
          </w:p>
        </w:tc>
      </w:tr>
      <w:tr>
        <w:tc>
          <w:tcPr>
            <w:tcW w:type="dxa" w:w="3312"/>
            <w:vAlign w:val="center"/>
          </w:tcPr>
          <w:p>
            <w:pPr>
              <w:spacing w:after="0"/>
            </w:pPr>
            <w:r/>
            <w:r>
              <w:rPr>
                <w:rFonts w:ascii="Aptos" w:hAnsi="Aptos"/>
                <w:b w:val="0"/>
                <w:sz w:val="17"/>
              </w:rPr>
              <w:t>50 actionable tasks: 50 up-to-date</w:t>
            </w:r>
          </w:p>
        </w:tc>
        <w:tc>
          <w:tcPr>
            <w:tcW w:type="dxa" w:w="3312"/>
            <w:vAlign w:val="center"/>
          </w:tcPr>
          <w:p>
            <w:pPr>
              <w:spacing w:after="0"/>
            </w:pPr>
            <w:r/>
            <w:r>
              <w:rPr>
                <w:rFonts w:ascii="Aptos" w:hAnsi="Aptos"/>
                <w:b w:val="0"/>
                <w:sz w:val="17"/>
              </w:rPr>
              <w:t>Toutes les tâches listées étaient considérées à jour.</w:t>
            </w:r>
          </w:p>
        </w:tc>
        <w:tc>
          <w:tcPr>
            <w:tcW w:type="dxa" w:w="3312"/>
            <w:vAlign w:val="center"/>
          </w:tcPr>
          <w:p>
            <w:pPr>
              <w:spacing w:after="0"/>
            </w:pPr>
            <w:r/>
            <w:r>
              <w:rPr>
                <w:rFonts w:ascii="Aptos" w:hAnsi="Aptos"/>
                <w:b w:val="0"/>
                <w:sz w:val="17"/>
              </w:rPr>
              <w:t>Résultat incrémental; pas une preuve d’un test visuel sur appareil.</w:t>
            </w:r>
          </w:p>
        </w:tc>
      </w:tr>
      <w:tr>
        <w:tc>
          <w:tcPr>
            <w:tcW w:type="dxa" w:w="3312"/>
            <w:vAlign w:val="center"/>
            <w:shd w:fill="F0F5F8"/>
          </w:tcPr>
          <w:p>
            <w:pPr>
              <w:spacing w:after="0"/>
            </w:pPr>
            <w:r/>
            <w:r>
              <w:rPr>
                <w:rFonts w:ascii="Aptos" w:hAnsi="Aptos"/>
                <w:b w:val="0"/>
                <w:sz w:val="17"/>
              </w:rPr>
              <w:t>ReceiptLong deprecated</w:t>
            </w:r>
          </w:p>
        </w:tc>
        <w:tc>
          <w:tcPr>
            <w:tcW w:type="dxa" w:w="3312"/>
            <w:vAlign w:val="center"/>
            <w:shd w:fill="F0F5F8"/>
          </w:tcPr>
          <w:p>
            <w:pPr>
              <w:spacing w:after="0"/>
            </w:pPr>
            <w:r/>
            <w:r>
              <w:rPr>
                <w:rFonts w:ascii="Aptos" w:hAnsi="Aptos"/>
                <w:b w:val="0"/>
                <w:sz w:val="17"/>
              </w:rPr>
              <w:t>Utilisation d’une API d’icône dépréciée, non bloquante dans la sortie fournie.</w:t>
            </w:r>
          </w:p>
        </w:tc>
        <w:tc>
          <w:tcPr>
            <w:tcW w:type="dxa" w:w="3312"/>
            <w:vAlign w:val="center"/>
            <w:shd w:fill="F0F5F8"/>
          </w:tcPr>
          <w:p>
            <w:pPr>
              <w:spacing w:after="0"/>
            </w:pPr>
            <w:r/>
            <w:r>
              <w:rPr>
                <w:rFonts w:ascii="Aptos" w:hAnsi="Aptos"/>
                <w:b w:val="0"/>
                <w:sz w:val="17"/>
              </w:rPr>
              <w:t>À traiter éventuellement séparément; ce n’est pas la cause démontrée des défauts visuels.</w:t>
            </w:r>
          </w:p>
        </w:tc>
      </w:tr>
    </w:tbl>
    <w:p>
      <w:pPr>
        <w:spacing w:after="20"/>
      </w:pPr>
    </w:p>
    <w:p>
      <w:pPr>
        <w:pStyle w:val="Heading1"/>
      </w:pPr>
      <w:r>
        <w:t>8. État de clôture par sujet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4A70"/>
          </w:tcPr>
          <w:p>
            <w:pPr>
              <w:spacing w:after="0"/>
            </w:pPr>
            <w:r/>
            <w:r>
              <w:rPr>
                <w:rFonts w:ascii="Aptos" w:hAnsi="Aptos"/>
                <w:b/>
                <w:color w:val="FFFFFF"/>
                <w:sz w:val="18"/>
              </w:rPr>
              <w:t>Sujet</w:t>
            </w:r>
          </w:p>
        </w:tc>
        <w:tc>
          <w:tcPr>
            <w:tcW w:type="dxa" w:w="3312"/>
            <w:vAlign w:val="center"/>
            <w:shd w:fill="174A70"/>
          </w:tcPr>
          <w:p>
            <w:pPr>
              <w:spacing w:after="0"/>
            </w:pPr>
            <w:r/>
            <w:r>
              <w:rPr>
                <w:rFonts w:ascii="Aptos" w:hAnsi="Aptos"/>
                <w:b/>
                <w:color w:val="FFFFFF"/>
                <w:sz w:val="18"/>
              </w:rPr>
              <w:t>État documenté</w:t>
            </w:r>
          </w:p>
        </w:tc>
        <w:tc>
          <w:tcPr>
            <w:tcW w:type="dxa" w:w="3312"/>
            <w:vAlign w:val="center"/>
            <w:shd w:fill="174A70"/>
          </w:tcPr>
          <w:p>
            <w:pPr>
              <w:spacing w:after="0"/>
            </w:pPr>
            <w:r/>
            <w:r>
              <w:rPr>
                <w:rFonts w:ascii="Aptos" w:hAnsi="Aptos"/>
                <w:b/>
                <w:color w:val="FFFFFF"/>
                <w:sz w:val="18"/>
              </w:rPr>
              <w:t>Prochaine action nécessaire</w:t>
            </w:r>
          </w:p>
        </w:tc>
      </w:tr>
      <w:tr>
        <w:tc>
          <w:tcPr>
            <w:tcW w:type="dxa" w:w="3312"/>
            <w:vAlign w:val="center"/>
          </w:tcPr>
          <w:p>
            <w:pPr>
              <w:spacing w:after="0"/>
            </w:pPr>
            <w:r/>
            <w:r>
              <w:rPr>
                <w:rFonts w:ascii="Aptos" w:hAnsi="Aptos"/>
                <w:b w:val="0"/>
                <w:sz w:val="17"/>
              </w:rPr>
              <w:t>Compilation Android</w:t>
            </w:r>
          </w:p>
        </w:tc>
        <w:tc>
          <w:tcPr>
            <w:tcW w:type="dxa" w:w="3312"/>
            <w:vAlign w:val="center"/>
          </w:tcPr>
          <w:p>
            <w:pPr>
              <w:spacing w:after="0"/>
            </w:pPr>
            <w:r/>
            <w:r>
              <w:rPr>
                <w:rFonts w:ascii="Aptos" w:hAnsi="Aptos"/>
                <w:b w:val="0"/>
                <w:sz w:val="17"/>
              </w:rPr>
              <w:t>Dernier résultat fourni : succès.</w:t>
            </w:r>
          </w:p>
        </w:tc>
        <w:tc>
          <w:tcPr>
            <w:tcW w:type="dxa" w:w="3312"/>
            <w:vAlign w:val="center"/>
          </w:tcPr>
          <w:p>
            <w:pPr>
              <w:spacing w:after="0"/>
            </w:pPr>
            <w:r/>
            <w:r>
              <w:rPr>
                <w:rFonts w:ascii="Aptos" w:hAnsi="Aptos"/>
                <w:b w:val="0"/>
                <w:sz w:val="17"/>
              </w:rPr>
              <w:t>Relancer après les prochains changements; si nécessaire forcer une compilation selon le contexte.</w:t>
            </w:r>
          </w:p>
        </w:tc>
      </w:tr>
      <w:tr>
        <w:tc>
          <w:tcPr>
            <w:tcW w:type="dxa" w:w="3312"/>
            <w:vAlign w:val="center"/>
            <w:shd w:fill="F0F5F8"/>
          </w:tcPr>
          <w:p>
            <w:pPr>
              <w:spacing w:after="0"/>
            </w:pPr>
            <w:r/>
            <w:r>
              <w:rPr>
                <w:rFonts w:ascii="Aptos" w:hAnsi="Aptos"/>
                <w:b w:val="0"/>
                <w:sz w:val="17"/>
              </w:rPr>
              <w:t>Journal d’audit</w:t>
            </w:r>
          </w:p>
        </w:tc>
        <w:tc>
          <w:tcPr>
            <w:tcW w:type="dxa" w:w="3312"/>
            <w:vAlign w:val="center"/>
            <w:shd w:fill="F0F5F8"/>
          </w:tcPr>
          <w:p>
            <w:pPr>
              <w:spacing w:after="0"/>
            </w:pPr>
            <w:r/>
            <w:r>
              <w:rPr>
                <w:rFonts w:ascii="Aptos" w:hAnsi="Aptos"/>
                <w:b w:val="0"/>
                <w:sz w:val="17"/>
              </w:rPr>
              <w:t>Trois changements visuels annoncés au total avec les filtres de factures.</w:t>
            </w:r>
          </w:p>
        </w:tc>
        <w:tc>
          <w:tcPr>
            <w:tcW w:type="dxa" w:w="3312"/>
            <w:vAlign w:val="center"/>
            <w:shd w:fill="F0F5F8"/>
          </w:tcPr>
          <w:p>
            <w:pPr>
              <w:spacing w:after="0"/>
            </w:pPr>
            <w:r/>
            <w:r>
              <w:rPr>
                <w:rFonts w:ascii="Aptos" w:hAnsi="Aptos"/>
                <w:b w:val="0"/>
                <w:sz w:val="17"/>
              </w:rPr>
              <w:t>Vérifier sur appareil les cartes, le défilement et le contenu des lignes.</w:t>
            </w:r>
          </w:p>
        </w:tc>
      </w:tr>
      <w:tr>
        <w:tc>
          <w:tcPr>
            <w:tcW w:type="dxa" w:w="3312"/>
            <w:vAlign w:val="center"/>
          </w:tcPr>
          <w:p>
            <w:pPr>
              <w:spacing w:after="0"/>
            </w:pPr>
            <w:r/>
            <w:r>
              <w:rPr>
                <w:rFonts w:ascii="Aptos" w:hAnsi="Aptos"/>
                <w:b w:val="0"/>
                <w:sz w:val="17"/>
              </w:rPr>
              <w:t>Factures impayées</w:t>
            </w:r>
          </w:p>
        </w:tc>
        <w:tc>
          <w:tcPr>
            <w:tcW w:type="dxa" w:w="3312"/>
            <w:vAlign w:val="center"/>
          </w:tcPr>
          <w:p>
            <w:pPr>
              <w:spacing w:after="0"/>
            </w:pPr>
            <w:r/>
            <w:r>
              <w:rPr>
                <w:rFonts w:ascii="Aptos" w:hAnsi="Aptos"/>
                <w:b w:val="0"/>
                <w:sz w:val="17"/>
              </w:rPr>
              <w:t>Filtres horizontaux annoncés.</w:t>
            </w:r>
          </w:p>
        </w:tc>
        <w:tc>
          <w:tcPr>
            <w:tcW w:type="dxa" w:w="3312"/>
            <w:vAlign w:val="center"/>
          </w:tcPr>
          <w:p>
            <w:pPr>
              <w:spacing w:after="0"/>
            </w:pPr>
            <w:r/>
            <w:r>
              <w:rPr>
                <w:rFonts w:ascii="Aptos" w:hAnsi="Aptos"/>
                <w:b w:val="0"/>
                <w:sz w:val="17"/>
              </w:rPr>
              <w:t>Inspecter l’écran complet et vérifier les lignes de facture sur appareil.</w:t>
            </w:r>
          </w:p>
        </w:tc>
      </w:tr>
      <w:tr>
        <w:tc>
          <w:tcPr>
            <w:tcW w:type="dxa" w:w="3312"/>
            <w:vAlign w:val="center"/>
            <w:shd w:fill="F0F5F8"/>
          </w:tcPr>
          <w:p>
            <w:pPr>
              <w:spacing w:after="0"/>
            </w:pPr>
            <w:r/>
            <w:r>
              <w:rPr>
                <w:rFonts w:ascii="Aptos" w:hAnsi="Aptos"/>
                <w:b w:val="0"/>
                <w:sz w:val="17"/>
              </w:rPr>
              <w:t>Avertissements / alertes</w:t>
            </w:r>
          </w:p>
        </w:tc>
        <w:tc>
          <w:tcPr>
            <w:tcW w:type="dxa" w:w="3312"/>
            <w:vAlign w:val="center"/>
            <w:shd w:fill="F0F5F8"/>
          </w:tcPr>
          <w:p>
            <w:pPr>
              <w:spacing w:after="0"/>
            </w:pPr>
            <w:r/>
            <w:r>
              <w:rPr>
                <w:rFonts w:ascii="Aptos" w:hAnsi="Aptos"/>
                <w:b w:val="0"/>
                <w:sz w:val="17"/>
              </w:rPr>
              <w:t>Code de carte partiellement inspecté.</w:t>
            </w:r>
          </w:p>
        </w:tc>
        <w:tc>
          <w:tcPr>
            <w:tcW w:type="dxa" w:w="3312"/>
            <w:vAlign w:val="center"/>
            <w:shd w:fill="F0F5F8"/>
          </w:tcPr>
          <w:p>
            <w:pPr>
              <w:spacing w:after="0"/>
            </w:pPr>
            <w:r/>
            <w:r>
              <w:rPr>
                <w:rFonts w:ascii="Aptos" w:hAnsi="Aptos"/>
                <w:b w:val="0"/>
                <w:sz w:val="17"/>
              </w:rPr>
              <w:t>Lire le composable complet et corriger la disposition des textes/actions selon le code réel.</w:t>
            </w:r>
          </w:p>
        </w:tc>
      </w:tr>
      <w:tr>
        <w:tc>
          <w:tcPr>
            <w:tcW w:type="dxa" w:w="3312"/>
            <w:vAlign w:val="center"/>
          </w:tcPr>
          <w:p>
            <w:pPr>
              <w:spacing w:after="0"/>
            </w:pPr>
            <w:r/>
            <w:r>
              <w:rPr>
                <w:rFonts w:ascii="Aptos" w:hAnsi="Aptos"/>
                <w:b w:val="0"/>
                <w:sz w:val="17"/>
              </w:rPr>
              <w:t>Avatar</w:t>
            </w:r>
          </w:p>
        </w:tc>
        <w:tc>
          <w:tcPr>
            <w:tcW w:type="dxa" w:w="3312"/>
            <w:vAlign w:val="center"/>
          </w:tcPr>
          <w:p>
            <w:pPr>
              <w:spacing w:after="0"/>
            </w:pPr>
            <w:r/>
            <w:r>
              <w:rPr>
                <w:rFonts w:ascii="Aptos" w:hAnsi="Aptos"/>
                <w:b w:val="0"/>
                <w:sz w:val="17"/>
              </w:rPr>
              <w:t>Icône générique Person de 40 dp observée.</w:t>
            </w:r>
          </w:p>
        </w:tc>
        <w:tc>
          <w:tcPr>
            <w:tcW w:type="dxa" w:w="3312"/>
            <w:vAlign w:val="center"/>
          </w:tcPr>
          <w:p>
            <w:pPr>
              <w:spacing w:after="0"/>
            </w:pPr>
            <w:r/>
            <w:r>
              <w:rPr>
                <w:rFonts w:ascii="Aptos" w:hAnsi="Aptos"/>
                <w:b w:val="0"/>
                <w:sz w:val="17"/>
              </w:rPr>
              <w:t>Vérifier la largeur de la barre supérieure, les contraintes, le contraste et l’action de clic.</w:t>
            </w:r>
          </w:p>
        </w:tc>
      </w:tr>
      <w:tr>
        <w:tc>
          <w:tcPr>
            <w:tcW w:type="dxa" w:w="3312"/>
            <w:vAlign w:val="center"/>
            <w:shd w:fill="F0F5F8"/>
          </w:tcPr>
          <w:p>
            <w:pPr>
              <w:spacing w:after="0"/>
            </w:pPr>
            <w:r/>
            <w:r>
              <w:rPr>
                <w:rFonts w:ascii="Aptos" w:hAnsi="Aptos"/>
                <w:b w:val="0"/>
                <w:sz w:val="17"/>
              </w:rPr>
              <w:t>KPI Ressources critiques</w:t>
            </w:r>
          </w:p>
        </w:tc>
        <w:tc>
          <w:tcPr>
            <w:tcW w:type="dxa" w:w="3312"/>
            <w:vAlign w:val="center"/>
            <w:shd w:fill="F0F5F8"/>
          </w:tcPr>
          <w:p>
            <w:pPr>
              <w:spacing w:after="0"/>
            </w:pPr>
            <w:r/>
            <w:r>
              <w:rPr>
                <w:rFonts w:ascii="Aptos" w:hAnsi="Aptos"/>
                <w:b w:val="0"/>
                <w:sz w:val="17"/>
              </w:rPr>
              <w:t>Valeur calculée et titre identifiés; rendu non vu en entier.</w:t>
            </w:r>
          </w:p>
        </w:tc>
        <w:tc>
          <w:tcPr>
            <w:tcW w:type="dxa" w:w="3312"/>
            <w:vAlign w:val="center"/>
            <w:shd w:fill="F0F5F8"/>
          </w:tcPr>
          <w:p>
            <w:pPr>
              <w:spacing w:after="0"/>
            </w:pPr>
            <w:r/>
            <w:r>
              <w:rPr>
                <w:rFonts w:ascii="Aptos" w:hAnsi="Aptos"/>
                <w:b w:val="0"/>
                <w:sz w:val="17"/>
              </w:rPr>
              <w:t>Inspecter le composable de carte KPI puis corriger son alignement.</w:t>
            </w:r>
          </w:p>
        </w:tc>
      </w:tr>
      <w:tr>
        <w:tc>
          <w:tcPr>
            <w:tcW w:type="dxa" w:w="3312"/>
            <w:vAlign w:val="center"/>
          </w:tcPr>
          <w:p>
            <w:pPr>
              <w:spacing w:after="0"/>
            </w:pPr>
            <w:r/>
            <w:r>
              <w:rPr>
                <w:rFonts w:ascii="Aptos" w:hAnsi="Aptos"/>
                <w:b w:val="0"/>
                <w:sz w:val="17"/>
              </w:rPr>
              <w:t>Offline-first / Idempotency-Key</w:t>
            </w:r>
          </w:p>
        </w:tc>
        <w:tc>
          <w:tcPr>
            <w:tcW w:type="dxa" w:w="3312"/>
            <w:vAlign w:val="center"/>
          </w:tcPr>
          <w:p>
            <w:pPr>
              <w:spacing w:after="0"/>
            </w:pPr>
            <w:r/>
            <w:r>
              <w:rPr>
                <w:rFonts w:ascii="Aptos" w:hAnsi="Aptos"/>
                <w:b w:val="0"/>
                <w:sz w:val="17"/>
              </w:rPr>
              <w:t>Objectif de développement évoqué.</w:t>
            </w:r>
          </w:p>
        </w:tc>
        <w:tc>
          <w:tcPr>
            <w:tcW w:type="dxa" w:w="3312"/>
            <w:vAlign w:val="center"/>
          </w:tcPr>
          <w:p>
            <w:pPr>
              <w:spacing w:after="0"/>
            </w:pPr>
            <w:r/>
            <w:r>
              <w:rPr>
                <w:rFonts w:ascii="Aptos" w:hAnsi="Aptos"/>
                <w:b w:val="0"/>
                <w:sz w:val="17"/>
              </w:rPr>
              <w:t>Vérifier l’état du code, les tests de persistance, reprise et idempotence avant de déclarer terminé.</w:t>
            </w:r>
          </w:p>
        </w:tc>
      </w:tr>
      <w:tr>
        <w:tc>
          <w:tcPr>
            <w:tcW w:type="dxa" w:w="3312"/>
            <w:vAlign w:val="center"/>
            <w:shd w:fill="F0F5F8"/>
          </w:tcPr>
          <w:p>
            <w:pPr>
              <w:spacing w:after="0"/>
            </w:pPr>
            <w:r/>
            <w:r>
              <w:rPr>
                <w:rFonts w:ascii="Aptos" w:hAnsi="Aptos"/>
                <w:b w:val="0"/>
                <w:sz w:val="17"/>
              </w:rPr>
              <w:t>Backend et authentification</w:t>
            </w:r>
          </w:p>
        </w:tc>
        <w:tc>
          <w:tcPr>
            <w:tcW w:type="dxa" w:w="3312"/>
            <w:vAlign w:val="center"/>
            <w:shd w:fill="F0F5F8"/>
          </w:tcPr>
          <w:p>
            <w:pPr>
              <w:spacing w:after="0"/>
            </w:pPr>
            <w:r/>
            <w:r>
              <w:rPr>
                <w:rFonts w:ascii="Aptos" w:hAnsi="Aptos"/>
                <w:b w:val="0"/>
                <w:sz w:val="17"/>
              </w:rPr>
              <w:t>Tests antérieurs rapportés comme réussis.</w:t>
            </w:r>
          </w:p>
        </w:tc>
        <w:tc>
          <w:tcPr>
            <w:tcW w:type="dxa" w:w="3312"/>
            <w:vAlign w:val="center"/>
            <w:shd w:fill="F0F5F8"/>
          </w:tcPr>
          <w:p>
            <w:pPr>
              <w:spacing w:after="0"/>
            </w:pPr>
            <w:r/>
            <w:r>
              <w:rPr>
                <w:rFonts w:ascii="Aptos" w:hAnsi="Aptos"/>
                <w:b w:val="0"/>
                <w:sz w:val="17"/>
              </w:rPr>
              <w:t>Éviter les modifications inutiles; revalider uniquement si un changement touche ces couches.</w:t>
            </w:r>
          </w:p>
        </w:tc>
      </w:tr>
    </w:tbl>
    <w:p>
      <w:pPr>
        <w:spacing w:after="20"/>
      </w:pPr>
    </w:p>
    <w:p>
      <w:pPr>
        <w:pStyle w:val="Heading1"/>
      </w:pPr>
      <w:r>
        <w:t>9. Plan de reprise recommandé</w:t>
      </w:r>
    </w:p>
    <w:p>
      <w:pPr>
        <w:pStyle w:val="ListNumber"/>
        <w:spacing w:after="60"/>
      </w:pPr>
      <w:r>
        <w:t>Ne pas modifier davantage les sources sur la base d’extraits tronqués.</w:t>
      </w:r>
    </w:p>
    <w:p>
      <w:pPr>
        <w:pStyle w:val="ListNumber"/>
        <w:spacing w:after="60"/>
      </w:pPr>
      <w:r>
        <w:t>Récupérer le contenu réel des fichiers Android depuis le poste de développement, avec des scripts PowerShell complets, une instruction par ligne et des vérifications de chemins.</w:t>
      </w:r>
    </w:p>
    <w:p>
      <w:pPr>
        <w:pStyle w:val="ListNumber"/>
        <w:spacing w:after="60"/>
      </w:pPr>
      <w:r>
        <w:t>Examiner entièrement les composables responsables des alertes, du KPI, de l’avatar et des cartes de facture avant de choisir la correction.</w:t>
      </w:r>
    </w:p>
    <w:p>
      <w:pPr>
        <w:pStyle w:val="ListNumber"/>
        <w:spacing w:after="60"/>
      </w:pPr>
      <w:r>
        <w:t>Avant chaque modification, créer une sauvegarde datée et vérifier que le bloc source attendu existe exactement une fois; interrompre le script si la vérification échoue.</w:t>
      </w:r>
    </w:p>
    <w:p>
      <w:pPr>
        <w:pStyle w:val="ListNumber"/>
        <w:spacing w:after="60"/>
      </w:pPr>
      <w:r>
        <w:t>Appliquer des changements minimaux et ciblés, sans toucher à l’authentification, au backend ou à la navigation si le défaut est uniquement visuel.</w:t>
      </w:r>
    </w:p>
    <w:p>
      <w:pPr>
        <w:pStyle w:val="ListNumber"/>
        <w:spacing w:after="60"/>
      </w:pPr>
      <w:r>
        <w:t>Exécuter une compilation et les tests pertinents après les modifications, en distinguant les tâches réellement exécutées des tâches UP-TO-DATE.</w:t>
      </w:r>
    </w:p>
    <w:p>
      <w:pPr>
        <w:pStyle w:val="ListNumber"/>
        <w:spacing w:after="60"/>
      </w:pPr>
      <w:r>
        <w:t>Installer l’APK sur l’appareil et vérifier visuellement chaque écran concerné; conserver une liste séparant « corrigé dans le code », « compilé », « testé automatiquement » et « vérifié sur appareil ».</w:t>
      </w:r>
    </w:p>
    <w:p>
      <w:pPr>
        <w:pStyle w:val="Heading1"/>
      </w:pPr>
      <w:r>
        <w:t>10. Limites de ce rapport</w:t>
      </w:r>
    </w:p>
    <w:p>
      <w:r>
        <w:t>Ce rapport est construit à partir des messages et sorties de console reproduits dans l’échange, ainsi que du contexte de projet déjà communiqué. Il ne constitue pas un audit complet du dépôt Git, des fichiers locaux, de l’historique de commits ou de toutes les conversations passées. Les créations de nouveaux fichiers ne sont listées que lorsqu’un chemin ou un nom a été explicitement mentionné. Un chemin annoncé dans une sortie n’a pas été vérifié directement sur le disque.</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Document établi à partir des éléments communiqués — 21 octobre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8"/>
        <w:sz w:val="16"/>
      </w:rPr>
      <w:t>SPI PME | Rapport technique de suivi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4466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35F8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35F8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375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