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ind/>
        <w:rPr/>
      </w:pPr>
      <w:r>
        <w:rPr>
          <w:b/>
          <w:i w:val="0"/>
          <w:color w:val="005587"/>
          <w:sz w:val="15"/>
        </w:rPr>
      </w:r>
      <w:r>
        <mc:AlternateContent>
          <mc:Choice Requires="wpg">
            <w:drawing>
              <wp:inline xmlns:wp="http://schemas.openxmlformats.org/drawingml/2006/wordprocessingDrawing" distT="0" distB="0" distL="0" distR="0">
                <wp:extent cx="2075520" cy="42504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30812" name=""/>
                        <pic:cNvPicPr>
                          <a:picLocks noChangeAspect="1"/>
                        </pic:cNvPicPr>
                        <pic:nvPr/>
                      </pic:nvPicPr>
                      <pic:blipFill rotWithShape="1">
                        <a:blip r:embed="rId10"/>
                        <a:stretch/>
                      </pic:blipFill>
                      <pic:spPr bwMode="auto">
                        <a:xfrm flipH="0" flipV="0">
                          <a:off x="0" y="0"/>
                          <a:ext cx="2075519" cy="4250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63.43pt;height:33.47pt;mso-wrap-distance-left:0.00pt;mso-wrap-distance-top:0.00pt;mso-wrap-distance-right:0.00pt;mso-wrap-distance-bottom:0.00pt;z-index:1;" stroked="false">
                <v:imagedata r:id="rId10" o:title=""/>
                <o:lock v:ext="edit" rotation="t"/>
              </v:shape>
            </w:pict>
          </mc:Fallback>
        </mc:AlternateContent>
      </w:r>
      <w:r>
        <w:rPr>
          <w:b/>
          <w:i w:val="0"/>
          <w:color w:val="005587"/>
          <w:sz w:val="15"/>
        </w:rPr>
      </w:r>
      <w:r/>
    </w:p>
    <w:p>
      <w:pPr>
        <w:pBdr/>
        <w:spacing w:after="20"/>
        <w:ind/>
        <w:rPr/>
      </w:pPr>
      <w:r>
        <w:rPr>
          <w:b/>
          <w:i w:val="0"/>
          <w:color w:val="1b3f60"/>
          <w:sz w:val="38"/>
        </w:rPr>
        <w:t xml:space="preserve">Replicating the Cost of Fear</w:t>
      </w:r>
      <w:r/>
    </w:p>
    <w:p>
      <w:pPr>
        <w:pBdr>
          <w:bottom w:val="single" w:color="005587" w:sz="12" w:space="1"/>
        </w:pBdr>
        <w:spacing w:after="160" w:before="0"/>
        <w:ind/>
        <w:rPr/>
      </w:pPr>
      <w:r/>
      <w:r/>
    </w:p>
    <w:p>
      <w:pPr>
        <w:pBdr/>
        <w:spacing w:after="100"/>
        <w:ind/>
        <w:rPr/>
      </w:pPr>
      <w:r>
        <w:rPr>
          <w:b w:val="0"/>
        </w:rPr>
        <w:t xml:space="preserve">The Cost of Fear study measured how foot traffic at small businesses changed after immigration enforcement actions in Los Angeles, and what that meant in lost sales. The method, the code, and a step-by-step guide are ready for other jurisdictions to use. </w:t>
      </w:r>
      <w:r>
        <w:rPr>
          <w:b/>
        </w:rPr>
        <w:br/>
        <w:t xml:space="preserve">How much help you need depends on your data access and your team's capacity.</w:t>
      </w:r>
      <w:r/>
    </w:p>
    <w:tbl>
      <w:tblPr>
        <w:jc w:val="center"/>
        <w:tblW w:w="0" w:type="auto"/>
        <w:tblBorders/>
        <w:tblLook w:val="04A0" w:firstRow="1" w:lastRow="0" w:firstColumn="1" w:lastColumn="0" w:noHBand="0" w:noVBand="1"/>
      </w:tblPr>
      <w:tblGrid>
        <w:gridCol w:w="10224"/>
      </w:tblGrid>
      <w:tr>
        <w:trPr/>
        <w:tc>
          <w:tcPr>
            <w:shd w:val="clear" w:color="auto" w:fill="e6edf2"/>
            <w:tcBorders>
              <w:top w:val="none" w:color="000000" w:sz="4" w:space="0"/>
              <w:left w:val="single" w:color="d99a22" w:sz="30" w:space="0"/>
              <w:bottom w:val="none" w:color="000000" w:sz="4" w:space="0"/>
              <w:right w:val="none" w:color="000000" w:sz="4" w:space="0"/>
            </w:tcBorders>
            <w:tcMar>
              <w:left w:w="140" w:type="dxa"/>
              <w:top w:w="80" w:type="dxa"/>
              <w:right w:w="140" w:type="dxa"/>
              <w:bottom w:w="80" w:type="dxa"/>
            </w:tcMar>
            <w:tcW w:w="10224" w:type="dxa"/>
          </w:tcPr>
          <w:p>
            <w:pPr>
              <w:pBdr/>
              <w:spacing w:after="0" w:line="269" w:lineRule="auto"/>
              <w:ind/>
              <w:rPr/>
            </w:pPr>
            <w:r>
              <w:rPr>
                <w:sz w:val="19"/>
              </w:rPr>
            </w:r>
            <w:r>
              <w:rPr>
                <w:b/>
                <w:sz w:val="19"/>
              </w:rPr>
              <w:t xml:space="preserve">Start with a scoping call. </w:t>
            </w:r>
            <w:r>
              <w:rPr>
                <w:b w:val="0"/>
                <w:sz w:val="19"/>
              </w:rPr>
              <w:t xml:space="preserve">Every engagement can start with a free 30–45 minute call. We talk through your study area, your data access, and who on your team can run the work. Then we recommend one of the options below.</w:t>
            </w:r>
            <w:r/>
          </w:p>
        </w:tc>
      </w:tr>
    </w:tbl>
    <w:p>
      <w:pPr>
        <w:pBdr/>
        <w:spacing w:after="40"/>
        <w:ind/>
        <w:rPr/>
      </w:pPr>
      <w:r/>
      <w:r/>
    </w:p>
    <w:tbl>
      <w:tblPr>
        <w:jc w:val="center"/>
        <w:tblW w:w="0" w:type="auto"/>
        <w:tblBorders/>
        <w:tblLayout w:type="fixed"/>
        <w:tblLook w:val="04A0" w:firstRow="1" w:lastRow="0" w:firstColumn="1" w:lastColumn="0" w:noHBand="0" w:noVBand="1"/>
      </w:tblPr>
      <w:tblGrid>
        <w:gridCol w:w="2556"/>
        <w:gridCol w:w="2556"/>
        <w:gridCol w:w="2556"/>
        <w:gridCol w:w="2556"/>
      </w:tblGrid>
      <w:tr>
        <w:trPr/>
        <w:tc>
          <w:tcPr>
            <w:tcBorders>
              <w:top w:val="none" w:color="000000" w:sz="4" w:space="0"/>
              <w:left w:val="none" w:color="000000" w:sz="4" w:space="0"/>
              <w:bottom w:val="single" w:color="005587" w:sz="14" w:space="0"/>
              <w:right w:val="none" w:color="000000" w:sz="4" w:space="0"/>
            </w:tcBorders>
            <w:tcMar>
              <w:left w:w="90" w:type="dxa"/>
              <w:top w:w="70" w:type="dxa"/>
              <w:right w:w="90" w:type="dxa"/>
              <w:bottom w:w="70" w:type="dxa"/>
            </w:tcMar>
            <w:tcW w:w="1512" w:type="dxa"/>
          </w:tcPr>
          <w:p>
            <w:pPr>
              <w:pBdr/>
              <w:spacing/>
              <w:ind/>
              <w:rPr/>
            </w:pPr>
            <w:r/>
            <w:r/>
          </w:p>
        </w:tc>
        <w:tc>
          <w:tcPr>
            <w:tcBorders>
              <w:top w:val="none" w:color="000000" w:sz="4" w:space="0"/>
              <w:left w:val="none" w:color="000000" w:sz="4" w:space="0"/>
              <w:bottom w:val="single" w:color="005587" w:sz="14" w:space="0"/>
              <w:right w:val="none" w:color="000000" w:sz="4" w:space="0"/>
            </w:tcBorders>
            <w:tcMar>
              <w:left w:w="90" w:type="dxa"/>
              <w:top w:w="70" w:type="dxa"/>
              <w:right w:w="90" w:type="dxa"/>
              <w:bottom w:w="70" w:type="dxa"/>
            </w:tcMar>
            <w:tcW w:w="2880" w:type="dxa"/>
          </w:tcPr>
          <w:p>
            <w:pPr>
              <w:pBdr/>
              <w:spacing w:after="0"/>
              <w:ind/>
              <w:rPr/>
            </w:pPr>
            <w:r>
              <w:rPr>
                <w:b/>
                <w:color w:val="005587"/>
                <w:sz w:val="19"/>
              </w:rPr>
              <w:t xml:space="preserve">Option 1</w:t>
            </w:r>
            <w:r/>
          </w:p>
          <w:p>
            <w:pPr>
              <w:pBdr/>
              <w:spacing w:after="0" w:line="252" w:lineRule="auto"/>
              <w:ind/>
              <w:rPr/>
            </w:pPr>
            <w:r>
              <w:rPr>
                <w:color w:val="5c6b7a"/>
                <w:sz w:val="16"/>
              </w:rPr>
              <w:t xml:space="preserve">You run it,  we answer questions</w:t>
            </w:r>
            <w:r/>
          </w:p>
        </w:tc>
        <w:tc>
          <w:tcPr>
            <w:tcBorders>
              <w:top w:val="none" w:color="000000" w:sz="4" w:space="0"/>
              <w:left w:val="none" w:color="000000" w:sz="4" w:space="0"/>
              <w:bottom w:val="single" w:color="005587" w:sz="14" w:space="0"/>
              <w:right w:val="none" w:color="000000" w:sz="4" w:space="0"/>
            </w:tcBorders>
            <w:tcMar>
              <w:left w:w="90" w:type="dxa"/>
              <w:top w:w="70" w:type="dxa"/>
              <w:right w:w="90" w:type="dxa"/>
              <w:bottom w:w="70" w:type="dxa"/>
            </w:tcMar>
            <w:tcW w:w="2880" w:type="dxa"/>
          </w:tcPr>
          <w:p>
            <w:pPr>
              <w:pBdr/>
              <w:spacing w:after="0"/>
              <w:ind/>
              <w:rPr/>
            </w:pPr>
            <w:r>
              <w:rPr>
                <w:b/>
                <w:color w:val="005587"/>
                <w:sz w:val="19"/>
              </w:rPr>
              <w:t xml:space="preserve">Option 2</w:t>
            </w:r>
            <w:r/>
          </w:p>
          <w:p>
            <w:pPr>
              <w:pBdr/>
              <w:spacing w:after="0" w:line="252" w:lineRule="auto"/>
              <w:ind/>
              <w:rPr/>
            </w:pPr>
            <w:r>
              <w:rPr>
                <w:color w:val="5c6b7a"/>
                <w:sz w:val="16"/>
              </w:rPr>
              <w:t xml:space="preserve">You run it, we help with the data</w:t>
            </w:r>
            <w:r/>
          </w:p>
        </w:tc>
        <w:tc>
          <w:tcPr>
            <w:tcBorders>
              <w:top w:val="none" w:color="000000" w:sz="4" w:space="0"/>
              <w:left w:val="none" w:color="000000" w:sz="4" w:space="0"/>
              <w:bottom w:val="single" w:color="005587" w:sz="14" w:space="0"/>
              <w:right w:val="none" w:color="000000" w:sz="4" w:space="0"/>
            </w:tcBorders>
            <w:tcMar>
              <w:left w:w="90" w:type="dxa"/>
              <w:top w:w="70" w:type="dxa"/>
              <w:right w:w="90" w:type="dxa"/>
              <w:bottom w:w="70" w:type="dxa"/>
            </w:tcMar>
            <w:tcW w:w="2952" w:type="dxa"/>
          </w:tcPr>
          <w:p>
            <w:pPr>
              <w:pBdr/>
              <w:spacing w:after="0"/>
              <w:ind/>
              <w:rPr/>
            </w:pPr>
            <w:r>
              <w:rPr>
                <w:b/>
                <w:color w:val="005587"/>
                <w:sz w:val="19"/>
              </w:rPr>
              <w:t xml:space="preserve">Option 3</w:t>
            </w:r>
            <w:r/>
          </w:p>
          <w:p>
            <w:pPr>
              <w:pBdr/>
              <w:spacing w:after="0" w:line="252" w:lineRule="auto"/>
              <w:ind/>
              <w:rPr/>
            </w:pPr>
            <w:r>
              <w:rPr>
                <w:color w:val="5c6b7a"/>
                <w:sz w:val="16"/>
              </w:rPr>
              <w:t xml:space="preserve">We run it for you</w:t>
            </w:r>
            <w:r/>
          </w:p>
        </w:tc>
      </w:tr>
      <w:tr>
        <w:trPr/>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1512" w:type="dxa"/>
          </w:tcPr>
          <w:p>
            <w:pPr>
              <w:pBdr/>
              <w:spacing w:after="0" w:line="259" w:lineRule="auto"/>
              <w:ind/>
              <w:rPr/>
            </w:pPr>
            <w:r>
              <w:rPr>
                <w:b/>
                <w:color w:val="1b3f60"/>
                <w:sz w:val="17"/>
              </w:rPr>
              <w:t xml:space="preserve">Best for</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880" w:type="dxa"/>
          </w:tcPr>
          <w:p>
            <w:pPr>
              <w:pBdr/>
              <w:spacing w:after="0" w:line="259" w:lineRule="auto"/>
              <w:ind/>
              <w:rPr/>
            </w:pPr>
            <w:r>
              <w:rPr>
                <w:b w:val="0"/>
                <w:sz w:val="17"/>
              </w:rPr>
              <w:t xml:space="preserve">Teams with an analyst who can run a Python notebook and a few reviewers.</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880" w:type="dxa"/>
          </w:tcPr>
          <w:p>
            <w:pPr>
              <w:pBdr/>
              <w:spacing w:after="0" w:line="259" w:lineRule="auto"/>
              <w:ind/>
              <w:rPr/>
            </w:pPr>
            <w:r>
              <w:rPr>
                <w:b w:val="0"/>
                <w:sz w:val="17"/>
              </w:rPr>
              <w:t xml:space="preserve">Teams who can run scripts and review businesses, but have not worked with foot-traffic data.</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952" w:type="dxa"/>
          </w:tcPr>
          <w:p>
            <w:pPr>
              <w:pBdr/>
              <w:spacing w:after="0" w:line="259" w:lineRule="auto"/>
              <w:ind/>
              <w:rPr/>
            </w:pPr>
            <w:r>
              <w:rPr>
                <w:b w:val="0"/>
                <w:sz w:val="17"/>
              </w:rPr>
              <w:t xml:space="preserve">Teams who want results without building the capacity in-house.</w:t>
            </w:r>
            <w:r/>
          </w:p>
        </w:tc>
      </w:tr>
      <w:tr>
        <w:trPr/>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1512" w:type="dxa"/>
          </w:tcPr>
          <w:p>
            <w:pPr>
              <w:pBdr/>
              <w:spacing w:after="0" w:line="259" w:lineRule="auto"/>
              <w:ind/>
              <w:rPr/>
            </w:pPr>
            <w:r>
              <w:rPr>
                <w:b/>
                <w:color w:val="1b3f60"/>
                <w:sz w:val="17"/>
              </w:rPr>
              <w:t xml:space="preserve">Your team does</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880" w:type="dxa"/>
          </w:tcPr>
          <w:p>
            <w:pPr>
              <w:pBdr/>
              <w:spacing w:after="30" w:line="259" w:lineRule="auto"/>
              <w:ind/>
              <w:rPr/>
            </w:pPr>
            <w:r>
              <w:rPr>
                <w:sz w:val="17"/>
              </w:rPr>
              <w:t xml:space="preserve">•  License the data</w:t>
            </w:r>
            <w:r/>
          </w:p>
          <w:p>
            <w:pPr>
              <w:pBdr/>
              <w:spacing w:after="30" w:line="259" w:lineRule="auto"/>
              <w:ind/>
              <w:rPr/>
            </w:pPr>
            <w:r>
              <w:rPr>
                <w:sz w:val="17"/>
              </w:rPr>
              <w:t xml:space="preserve">•  Build the enforcement event list</w:t>
            </w:r>
            <w:r/>
          </w:p>
          <w:p>
            <w:pPr>
              <w:pBdr/>
              <w:spacing w:after="30" w:line="259" w:lineRule="auto"/>
              <w:ind/>
              <w:rPr/>
            </w:pPr>
            <w:r>
              <w:rPr>
                <w:sz w:val="17"/>
              </w:rPr>
              <w:t xml:space="preserve">•  Run the pipeline</w:t>
            </w:r>
            <w:r/>
          </w:p>
          <w:p>
            <w:pPr>
              <w:pBdr/>
              <w:spacing w:after="30" w:line="259" w:lineRule="auto"/>
              <w:ind/>
              <w:rPr/>
            </w:pPr>
            <w:r>
              <w:rPr>
                <w:sz w:val="17"/>
              </w:rPr>
              <w:t xml:space="preserve">•  Review and classify businesses</w:t>
            </w:r>
            <w:r/>
          </w:p>
          <w:p>
            <w:pPr>
              <w:pBdr/>
              <w:spacing w:after="30" w:line="259" w:lineRule="auto"/>
              <w:ind/>
              <w:rPr/>
            </w:pPr>
            <w:r>
              <w:rPr>
                <w:sz w:val="17"/>
              </w:rPr>
              <w:t xml:space="preserve">•  Write it up</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880" w:type="dxa"/>
          </w:tcPr>
          <w:p>
            <w:pPr>
              <w:pBdr/>
              <w:spacing w:after="30" w:line="259" w:lineRule="auto"/>
              <w:ind/>
              <w:rPr/>
            </w:pPr>
            <w:r>
              <w:rPr>
                <w:sz w:val="17"/>
              </w:rPr>
              <w:t xml:space="preserve">•  License the data</w:t>
            </w:r>
            <w:r/>
          </w:p>
          <w:p>
            <w:pPr>
              <w:pBdr/>
              <w:spacing w:after="30" w:line="259" w:lineRule="auto"/>
              <w:ind/>
              <w:rPr/>
            </w:pPr>
            <w:r>
              <w:rPr>
                <w:sz w:val="17"/>
              </w:rPr>
              <w:t xml:space="preserve">•  Build the enforcement event list</w:t>
            </w:r>
            <w:r/>
          </w:p>
          <w:p>
            <w:pPr>
              <w:pBdr/>
              <w:spacing w:after="30" w:line="259" w:lineRule="auto"/>
              <w:ind/>
              <w:rPr/>
            </w:pPr>
            <w:r>
              <w:rPr>
                <w:sz w:val="17"/>
              </w:rPr>
              <w:t xml:space="preserve">•  Run the pipeline</w:t>
            </w:r>
            <w:r/>
          </w:p>
          <w:p>
            <w:pPr>
              <w:pBdr/>
              <w:spacing w:after="30" w:line="259" w:lineRule="auto"/>
              <w:ind/>
              <w:rPr/>
            </w:pPr>
            <w:r>
              <w:rPr>
                <w:sz w:val="17"/>
              </w:rPr>
              <w:t xml:space="preserve">•  Review and classify businesses</w:t>
            </w:r>
            <w:r/>
          </w:p>
          <w:p>
            <w:pPr>
              <w:pBdr/>
              <w:spacing w:after="30" w:line="259" w:lineRule="auto"/>
              <w:ind/>
              <w:rPr/>
            </w:pPr>
            <w:r>
              <w:rPr>
                <w:sz w:val="17"/>
              </w:rPr>
              <w:t xml:space="preserve">•  Write it up</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952" w:type="dxa"/>
          </w:tcPr>
          <w:p>
            <w:pPr>
              <w:pBdr/>
              <w:spacing w:after="30" w:line="259" w:lineRule="auto"/>
              <w:ind/>
              <w:rPr/>
            </w:pPr>
            <w:r>
              <w:rPr>
                <w:sz w:val="17"/>
              </w:rPr>
              <w:t xml:space="preserve">•  License the data</w:t>
            </w:r>
            <w:r/>
          </w:p>
          <w:p>
            <w:pPr>
              <w:pBdr/>
              <w:spacing w:after="30" w:line="259" w:lineRule="auto"/>
              <w:ind/>
              <w:rPr/>
            </w:pPr>
            <w:r>
              <w:rPr>
                <w:sz w:val="17"/>
              </w:rPr>
              <w:t xml:space="preserve">•  Build the enforcement event list</w:t>
            </w:r>
            <w:r/>
          </w:p>
          <w:p>
            <w:pPr>
              <w:pBdr/>
              <w:spacing w:after="30" w:line="259" w:lineRule="auto"/>
              <w:ind/>
              <w:rPr/>
            </w:pPr>
            <w:r>
              <w:rPr>
                <w:sz w:val="17"/>
              </w:rPr>
              <w:t xml:space="preserve">•  Answer local questions during business review</w:t>
            </w:r>
            <w:r/>
          </w:p>
          <w:p>
            <w:pPr>
              <w:pBdr/>
              <w:spacing w:after="30" w:line="259" w:lineRule="auto"/>
              <w:ind/>
              <w:rPr/>
            </w:pPr>
            <w:r>
              <w:rPr>
                <w:sz w:val="17"/>
              </w:rPr>
              <w:t xml:space="preserve">•  Supply local spend benchmarks</w:t>
            </w:r>
            <w:r/>
          </w:p>
        </w:tc>
      </w:tr>
      <w:tr>
        <w:trPr/>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1512" w:type="dxa"/>
          </w:tcPr>
          <w:p>
            <w:pPr>
              <w:pBdr/>
              <w:spacing w:after="0" w:line="259" w:lineRule="auto"/>
              <w:ind/>
              <w:rPr/>
            </w:pPr>
            <w:r>
              <w:rPr>
                <w:b/>
                <w:color w:val="1b3f60"/>
                <w:sz w:val="17"/>
              </w:rPr>
              <w:t xml:space="preserve">We do</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880" w:type="dxa"/>
          </w:tcPr>
          <w:p>
            <w:pPr>
              <w:pBdr/>
              <w:spacing w:after="30" w:line="259" w:lineRule="auto"/>
              <w:ind/>
              <w:rPr/>
            </w:pPr>
            <w:r>
              <w:rPr>
                <w:sz w:val="17"/>
              </w:rPr>
              <w:t xml:space="preserve">•  Answer questions by email</w:t>
            </w:r>
            <w:r/>
          </w:p>
          <w:p>
            <w:pPr>
              <w:pBdr/>
              <w:spacing w:after="30" w:line="259" w:lineRule="auto"/>
              <w:ind/>
              <w:rPr/>
            </w:pPr>
            <w:r>
              <w:rPr>
                <w:sz w:val="17"/>
              </w:rPr>
              <w:t xml:space="preserve">•  Up to three short calls</w:t>
            </w:r>
            <w:r/>
          </w:p>
          <w:p>
            <w:pPr>
              <w:pBdr/>
              <w:spacing w:after="30" w:line="259" w:lineRule="auto"/>
              <w:ind/>
              <w:rPr/>
            </w:pPr>
            <w:r>
              <w:rPr>
                <w:sz w:val="17"/>
              </w:rPr>
              <w:t xml:space="preserve">•  Point you to the right step in the guide</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880" w:type="dxa"/>
          </w:tcPr>
          <w:p>
            <w:pPr>
              <w:pBdr/>
              <w:spacing w:after="30" w:line="259" w:lineRule="auto"/>
              <w:ind/>
              <w:rPr/>
            </w:pPr>
            <w:r>
              <w:rPr>
                <w:sz w:val="17"/>
              </w:rPr>
              <w:t xml:space="preserve">•  Scope the data purchase and filters</w:t>
            </w:r>
            <w:r/>
          </w:p>
          <w:p>
            <w:pPr>
              <w:pBdr/>
              <w:spacing w:after="30" w:line="259" w:lineRule="auto"/>
              <w:ind/>
              <w:rPr/>
            </w:pPr>
            <w:r>
              <w:rPr>
                <w:sz w:val="17"/>
              </w:rPr>
              <w:t xml:space="preserve">•  Write the data plan for your study area</w:t>
            </w:r>
            <w:r/>
          </w:p>
          <w:p>
            <w:pPr>
              <w:pBdr/>
              <w:spacing w:after="30" w:line="259" w:lineRule="auto"/>
              <w:ind/>
              <w:rPr/>
            </w:pPr>
            <w:r>
              <w:rPr>
                <w:sz w:val="17"/>
              </w:rPr>
              <w:t xml:space="preserve">•  Set the cleaning and classification rules</w:t>
            </w:r>
            <w:r/>
          </w:p>
          <w:p>
            <w:pPr>
              <w:pBdr/>
              <w:spacing w:after="30" w:line="259" w:lineRule="auto"/>
              <w:ind/>
              <w:rPr/>
            </w:pPr>
            <w:r>
              <w:rPr>
                <w:sz w:val="17"/>
              </w:rPr>
              <w:t xml:space="preserve">•  Check your business review for errors</w:t>
            </w:r>
            <w:r/>
          </w:p>
          <w:p>
            <w:pPr>
              <w:pBdr/>
              <w:spacing w:after="30" w:line="259" w:lineRule="auto"/>
              <w:ind/>
              <w:rPr/>
            </w:pPr>
            <w:r>
              <w:rPr>
                <w:sz w:val="17"/>
              </w:rPr>
              <w:t xml:space="preserve">•  Troubleshoot the pipeline</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952" w:type="dxa"/>
          </w:tcPr>
          <w:p>
            <w:pPr>
              <w:pBdr/>
              <w:spacing w:after="30" w:line="259" w:lineRule="auto"/>
              <w:ind/>
              <w:rPr/>
            </w:pPr>
            <w:r>
              <w:rPr>
                <w:sz w:val="17"/>
              </w:rPr>
              <w:t xml:space="preserve">•  Everything from download through dollar estimates</w:t>
            </w:r>
            <w:r/>
          </w:p>
          <w:p>
            <w:pPr>
              <w:pBdr/>
              <w:spacing w:after="30" w:line="259" w:lineRule="auto"/>
              <w:ind/>
              <w:rPr/>
            </w:pPr>
            <w:r>
              <w:rPr>
                <w:sz w:val="17"/>
              </w:rPr>
              <w:t xml:space="preserve">•  Deliver results tables, charts, and the business-level data</w:t>
            </w:r>
            <w:r/>
          </w:p>
          <w:p>
            <w:pPr>
              <w:pBdr/>
              <w:spacing w:after="30" w:line="259" w:lineRule="auto"/>
              <w:ind/>
              <w:rPr/>
            </w:pPr>
            <w:r>
              <w:rPr>
                <w:sz w:val="17"/>
              </w:rPr>
              <w:t xml:space="preserve">•  Write a methods memo you can cite</w:t>
            </w:r>
            <w:r/>
          </w:p>
        </w:tc>
      </w:tr>
      <w:tr>
        <w:trPr/>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1512" w:type="dxa"/>
          </w:tcPr>
          <w:p>
            <w:pPr>
              <w:pBdr/>
              <w:spacing w:after="0" w:line="259" w:lineRule="auto"/>
              <w:ind/>
              <w:rPr/>
            </w:pPr>
            <w:r>
              <w:rPr>
                <w:b/>
                <w:color w:val="1b3f60"/>
                <w:sz w:val="17"/>
              </w:rPr>
              <w:t xml:space="preserve">Estimated hours</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880" w:type="dxa"/>
          </w:tcPr>
          <w:p>
            <w:pPr>
              <w:pBdr/>
              <w:spacing w:after="0" w:line="259" w:lineRule="auto"/>
              <w:ind/>
              <w:rPr/>
            </w:pPr>
            <w:r>
              <w:rPr>
                <w:b/>
                <w:color w:val="005587"/>
                <w:sz w:val="18"/>
              </w:rPr>
              <w:t xml:space="preserve">5 – 10</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880" w:type="dxa"/>
          </w:tcPr>
          <w:p>
            <w:pPr>
              <w:pBdr/>
              <w:spacing w:after="0" w:line="259" w:lineRule="auto"/>
              <w:ind/>
              <w:rPr/>
            </w:pPr>
            <w:r>
              <w:rPr>
                <w:b/>
                <w:color w:val="005587"/>
                <w:sz w:val="18"/>
              </w:rPr>
              <w:t xml:space="preserve">25 – 40</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952" w:type="dxa"/>
          </w:tcPr>
          <w:p>
            <w:pPr>
              <w:pBdr/>
              <w:spacing w:after="0" w:line="259" w:lineRule="auto"/>
              <w:ind/>
              <w:rPr/>
            </w:pPr>
            <w:r>
              <w:rPr>
                <w:b/>
                <w:color w:val="005587"/>
                <w:sz w:val="18"/>
              </w:rPr>
              <w:t xml:space="preserve">80 – 120</w:t>
            </w:r>
            <w:r/>
          </w:p>
        </w:tc>
      </w:tr>
      <w:tr>
        <w:trPr/>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1512" w:type="dxa"/>
          </w:tcPr>
          <w:p>
            <w:pPr>
              <w:pBdr/>
              <w:spacing w:after="0" w:line="259" w:lineRule="auto"/>
              <w:ind/>
              <w:rPr/>
            </w:pPr>
            <w:r>
              <w:rPr>
                <w:b/>
                <w:color w:val="1b3f60"/>
                <w:sz w:val="17"/>
              </w:rPr>
              <w:t xml:space="preserve">Estimated cost</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880" w:type="dxa"/>
          </w:tcPr>
          <w:p>
            <w:pPr>
              <w:pBdr/>
              <w:spacing w:after="0" w:line="259" w:lineRule="auto"/>
              <w:ind/>
              <w:rPr/>
            </w:pPr>
            <w:r>
              <w:rPr>
                <w:b/>
                <w:color w:val="005587"/>
                <w:sz w:val="20"/>
              </w:rPr>
              <w:t xml:space="preserve">$1,000 – $2,000</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880" w:type="dxa"/>
          </w:tcPr>
          <w:p>
            <w:pPr>
              <w:pBdr/>
              <w:spacing w:after="0" w:line="259" w:lineRule="auto"/>
              <w:ind/>
              <w:rPr/>
            </w:pPr>
            <w:r>
              <w:rPr>
                <w:b/>
                <w:color w:val="005587"/>
                <w:sz w:val="20"/>
              </w:rPr>
              <w:t xml:space="preserve">$5,000 – $8,000</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952" w:type="dxa"/>
          </w:tcPr>
          <w:p>
            <w:pPr>
              <w:pBdr/>
              <w:spacing w:after="0" w:line="259" w:lineRule="auto"/>
              <w:ind/>
              <w:rPr/>
            </w:pPr>
            <w:r>
              <w:rPr>
                <w:b/>
                <w:color w:val="005587"/>
                <w:sz w:val="20"/>
              </w:rPr>
              <w:t xml:space="preserve">$16,000 – $24,000</w:t>
            </w:r>
            <w:r/>
          </w:p>
        </w:tc>
      </w:tr>
    </w:tbl>
    <w:p>
      <w:pPr>
        <w:pBdr/>
        <w:spacing w:after="60"/>
        <w:ind/>
        <w:rPr/>
      </w:pPr>
      <w:r/>
      <w:r/>
    </w:p>
    <w:p>
      <w:pPr>
        <w:pBdr/>
        <w:spacing w:after="40" w:before="40"/>
        <w:ind/>
        <w:rPr/>
      </w:pPr>
      <w:r>
        <w:rPr>
          <w:b/>
          <w:i w:val="0"/>
          <w:color w:val="005587"/>
          <w:sz w:val="21"/>
        </w:rPr>
        <w:t xml:space="preserve">What you need in every option</w:t>
      </w:r>
      <w:r/>
    </w:p>
    <w:p>
      <w:pPr>
        <w:pBdr/>
        <w:spacing w:after="40"/>
        <w:ind w:left="202"/>
        <w:rPr/>
      </w:pPr>
      <w:r>
        <w:rPr>
          <w:b w:val="0"/>
          <w:sz w:val="18"/>
        </w:rPr>
        <w:t xml:space="preserve">•  </w:t>
      </w:r>
      <w:r>
        <w:rPr>
          <w:b/>
          <w:sz w:val="18"/>
        </w:rPr>
        <w:t xml:space="preserve">Foot-traffic data. </w:t>
      </w:r>
      <w:r>
        <w:rPr>
          <w:b w:val="0"/>
          <w:sz w:val="18"/>
        </w:rPr>
        <w:t xml:space="preserve">Advan Weekly Patterns Plus, bought through Dewey Data. Your jurisdiction licenses it directly. </w:t>
        <w:br/>
        <w:t xml:space="preserve">   Filter to your study area at download time.</w:t>
      </w:r>
      <w:r/>
    </w:p>
    <w:p>
      <w:pPr>
        <w:pBdr/>
        <w:spacing w:after="40"/>
        <w:ind w:left="202"/>
        <w:rPr/>
      </w:pPr>
      <w:r>
        <w:rPr>
          <w:b w:val="0"/>
          <w:sz w:val="18"/>
        </w:rPr>
        <w:t xml:space="preserve">•  </w:t>
      </w:r>
      <w:r>
        <w:rPr>
          <w:b/>
          <w:sz w:val="18"/>
        </w:rPr>
        <w:t xml:space="preserve">An enforcement event list. </w:t>
      </w:r>
      <w:r>
        <w:rPr>
          <w:b w:val="0"/>
          <w:sz w:val="18"/>
        </w:rPr>
        <w:t xml:space="preserve">A street address and a date for each incident, from local news, legal aid groups, or </w:t>
        <w:br/>
        <w:t xml:space="preserve">   public records.</w:t>
      </w:r>
      <w:r/>
    </w:p>
    <w:p>
      <w:pPr>
        <w:pBdr/>
        <w:spacing w:after="40"/>
        <w:ind w:left="202"/>
        <w:rPr/>
      </w:pPr>
      <w:r>
        <w:rPr>
          <w:b w:val="0"/>
          <w:sz w:val="18"/>
        </w:rPr>
        <w:t xml:space="preserve">•  </w:t>
      </w:r>
      <w:r>
        <w:rPr>
          <w:b/>
          <w:sz w:val="18"/>
        </w:rPr>
        <w:t xml:space="preserve">Spend-per-visit benchmarks. </w:t>
      </w:r>
      <w:r>
        <w:rPr>
          <w:b w:val="0"/>
          <w:sz w:val="18"/>
        </w:rPr>
        <w:t xml:space="preserve">Industry averages for each type of business, adjusted to your local prices.</w:t>
      </w:r>
      <w:r/>
    </w:p>
    <w:p>
      <w:pPr>
        <w:pBdr>
          <w:bottom w:val="single" w:color="b9c9d4" w:sz="6" w:space="1"/>
        </w:pBdr>
        <w:spacing w:after="80" w:before="80"/>
        <w:ind/>
        <w:rPr/>
      </w:pPr>
      <w:r/>
      <w:r/>
    </w:p>
    <w:p>
      <w:pPr>
        <w:pBdr/>
        <w:spacing w:after="20"/>
        <w:ind/>
        <w:rPr/>
      </w:pPr>
      <w:r>
        <w:rPr>
          <w:b/>
          <w:color w:val="5c6b7a"/>
          <w:sz w:val="17"/>
        </w:rPr>
        <w:t xml:space="preserve">Rates are estimates at $200 per hour. </w:t>
      </w:r>
      <w:r>
        <w:rPr>
          <w:b w:val="0"/>
          <w:color w:val="5c6b7a"/>
          <w:sz w:val="17"/>
        </w:rPr>
        <w:t xml:space="preserve">Final scope and cost are set after the scoping call. Options can be combined, and a jurisdiction can move between them.</w:t>
      </w:r>
      <w:r/>
    </w:p>
    <w:p>
      <w:pPr>
        <w:pBdr/>
        <w:spacing w:after="0"/>
        <w:ind/>
        <w:rPr/>
      </w:pPr>
      <w:r>
        <w:rPr>
          <w:b/>
          <w:color w:val="5c6b7a"/>
          <w:sz w:val="17"/>
        </w:rPr>
        <w:t xml:space="preserve">Contact: </w:t>
      </w:r>
      <w:r>
        <w:rPr>
          <w:b w:val="0"/>
          <w:color w:val="5c6b7a"/>
          <w:sz w:val="17"/>
        </w:rPr>
        <w:t xml:space="preserve">Albert Kochaphum  ·  akochaphum@luskin.ucla.edu  ·  latino.ucla.edu</w:t>
      </w:r>
      <w:r/>
    </w:p>
    <w:sectPr>
      <w:footnotePr/>
      <w:endnotePr/>
      <w:type w:val="nextPage"/>
      <w:pgSz w:h="15840" w:orient="portrait" w:w="12240"/>
      <w:pgMar w:top="864" w:right="1008" w:bottom="792" w:left="1008"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Lexend"/>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after="80" w:line="269" w:lineRule="auto"/>
      <w:ind/>
    </w:pPr>
    <w:rPr>
      <w:rFonts w:ascii="Lexend" w:hAnsi="Lexend" w:eastAsia="Lexend"/>
      <w:color w:val="1b3f60"/>
      <w:sz w:val="19"/>
    </w:r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2026-09-14T19:46:02Z</dcterms:modified>
  <cp:category/>
</cp:coreProperties>
</file>