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9215" w14:textId="77777777" w:rsidR="00DC493F" w:rsidRPr="00806720" w:rsidRDefault="00000000">
      <w:pPr>
        <w:pStyle w:val="1"/>
        <w:rPr>
          <w:b w:val="0"/>
          <w:bCs w:val="0"/>
        </w:rPr>
      </w:pPr>
      <w:proofErr w:type="gramStart"/>
      <w:r w:rsidRPr="00806720">
        <w:rPr>
          <w:rFonts w:ascii="新細明體" w:eastAsia="新細明體" w:hAnsi="新細明體" w:cs="新細明體" w:hint="eastAsia"/>
          <w:b w:val="0"/>
          <w:bCs w:val="0"/>
        </w:rPr>
        <w:t>強積金</w:t>
      </w:r>
      <w:proofErr w:type="gramEnd"/>
      <w:r w:rsidRPr="00806720">
        <w:rPr>
          <w:rFonts w:ascii="Arial Unicode MS" w:eastAsia="Arial Unicode MS" w:hAnsi="Arial Unicode MS" w:cs="Arial Unicode MS"/>
          <w:b w:val="0"/>
          <w:bCs w:val="0"/>
        </w:rPr>
        <w:t xml:space="preserve"> (MPF) </w:t>
      </w:r>
      <w:r w:rsidRPr="00806720">
        <w:rPr>
          <w:rFonts w:ascii="新細明體" w:eastAsia="新細明體" w:hAnsi="新細明體" w:cs="新細明體" w:hint="eastAsia"/>
          <w:b w:val="0"/>
          <w:bCs w:val="0"/>
        </w:rPr>
        <w:t>投資組合數據挖掘分析報告</w:t>
      </w:r>
    </w:p>
    <w:p w14:paraId="03622A2E" w14:textId="77777777" w:rsidR="00DC493F" w:rsidRPr="00806720" w:rsidRDefault="00000000">
      <w:pPr>
        <w:pBdr>
          <w:top w:val="nil"/>
          <w:left w:val="nil"/>
          <w:bottom w:val="nil"/>
          <w:right w:val="nil"/>
          <w:between w:val="nil"/>
        </w:pBdr>
        <w:spacing w:line="300" w:lineRule="auto"/>
      </w:pPr>
      <w:r w:rsidRPr="00806720">
        <w:rPr>
          <w:rFonts w:ascii="新細明體" w:eastAsia="新細明體" w:hAnsi="新細明體" w:cs="新細明體" w:hint="eastAsia"/>
        </w:rPr>
        <w:t>報告日期：</w:t>
      </w:r>
      <w:r w:rsidRPr="00806720">
        <w:rPr>
          <w:rFonts w:ascii="Arial Unicode MS" w:eastAsia="Arial Unicode MS" w:hAnsi="Arial Unicode MS" w:cs="Arial Unicode MS"/>
        </w:rPr>
        <w:t xml:space="preserve"> 2026</w:t>
      </w:r>
      <w:r w:rsidRPr="00806720">
        <w:rPr>
          <w:rFonts w:ascii="新細明體" w:eastAsia="新細明體" w:hAnsi="新細明體" w:cs="新細明體" w:hint="eastAsia"/>
        </w:rPr>
        <w:t>年</w:t>
      </w:r>
      <w:r w:rsidRPr="00806720">
        <w:rPr>
          <w:rFonts w:ascii="Arial Unicode MS" w:eastAsia="Arial Unicode MS" w:hAnsi="Arial Unicode MS" w:cs="Arial Unicode MS"/>
        </w:rPr>
        <w:t>5</w:t>
      </w:r>
      <w:r w:rsidRPr="00806720">
        <w:rPr>
          <w:rFonts w:ascii="新細明體" w:eastAsia="新細明體" w:hAnsi="新細明體" w:cs="新細明體" w:hint="eastAsia"/>
        </w:rPr>
        <w:t>月</w:t>
      </w:r>
      <w:r w:rsidRPr="00806720">
        <w:rPr>
          <w:rFonts w:ascii="Arial Unicode MS" w:eastAsia="Arial Unicode MS" w:hAnsi="Arial Unicode MS" w:cs="Arial Unicode MS"/>
        </w:rPr>
        <w:t>11</w:t>
      </w:r>
      <w:r w:rsidRPr="00806720">
        <w:rPr>
          <w:rFonts w:ascii="新細明體" w:eastAsia="新細明體" w:hAnsi="新細明體" w:cs="新細明體" w:hint="eastAsia"/>
        </w:rPr>
        <w:t>日</w:t>
      </w:r>
    </w:p>
    <w:p w14:paraId="67F8C9DA" w14:textId="2AD220C3" w:rsidR="00DC493F" w:rsidRPr="00806720" w:rsidRDefault="00000000">
      <w:pPr>
        <w:pBdr>
          <w:top w:val="nil"/>
          <w:left w:val="nil"/>
          <w:bottom w:val="nil"/>
          <w:right w:val="nil"/>
          <w:between w:val="nil"/>
        </w:pBdr>
        <w:spacing w:after="225" w:line="300" w:lineRule="auto"/>
      </w:pPr>
      <w:r w:rsidRPr="00806720">
        <w:rPr>
          <w:rFonts w:ascii="新細明體" w:eastAsia="新細明體" w:hAnsi="新細明體" w:cs="新細明體" w:hint="eastAsia"/>
        </w:rPr>
        <w:t>分析目標：</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透過量化分析工具，評估不同</w:t>
      </w:r>
      <w:r w:rsidRPr="00806720">
        <w:rPr>
          <w:rFonts w:ascii="Arial Unicode MS" w:eastAsia="Arial Unicode MS" w:hAnsi="Arial Unicode MS" w:cs="Arial Unicode MS"/>
        </w:rPr>
        <w:t xml:space="preserve"> MPF </w:t>
      </w:r>
      <w:r w:rsidRPr="00806720">
        <w:rPr>
          <w:rFonts w:ascii="新細明體" w:eastAsia="新細明體" w:hAnsi="新細明體" w:cs="新細明體" w:hint="eastAsia"/>
        </w:rPr>
        <w:t>基金的風險收益特徵、市場相關性及分群歸類，並</w:t>
      </w:r>
      <w:r w:rsidR="004B752A" w:rsidRPr="00806720">
        <w:rPr>
          <w:rFonts w:ascii="新細明體" w:eastAsia="新細明體" w:hAnsi="新細明體" w:cs="新細明體" w:hint="eastAsia"/>
        </w:rPr>
        <w:t>利用</w:t>
      </w:r>
      <w:r w:rsidR="004B752A" w:rsidRPr="00806720">
        <w:rPr>
          <w:rFonts w:ascii="新細明體" w:eastAsia="新細明體" w:hAnsi="新細明體" w:cs="新細明體"/>
        </w:rPr>
        <w:t>Modern Portfolio Theory</w:t>
      </w:r>
      <w:r w:rsidRPr="00806720">
        <w:rPr>
          <w:rFonts w:ascii="新細明體" w:eastAsia="新細明體" w:hAnsi="新細明體" w:cs="新細明體" w:hint="eastAsia"/>
        </w:rPr>
        <w:t>提供優化建議。</w:t>
      </w:r>
    </w:p>
    <w:p w14:paraId="4E64914D" w14:textId="77777777" w:rsidR="00DC493F" w:rsidRPr="00806720" w:rsidRDefault="00000000">
      <w:pPr>
        <w:pStyle w:val="2"/>
        <w:spacing w:before="0"/>
        <w:rPr>
          <w:b w:val="0"/>
          <w:bCs w:val="0"/>
        </w:rPr>
      </w:pPr>
      <w:r w:rsidRPr="00806720">
        <w:rPr>
          <w:rFonts w:ascii="Arial Unicode MS" w:eastAsia="Arial Unicode MS" w:hAnsi="Arial Unicode MS" w:cs="Arial Unicode MS"/>
          <w:b w:val="0"/>
          <w:bCs w:val="0"/>
        </w:rPr>
        <w:t xml:space="preserve">1. </w:t>
      </w:r>
      <w:r w:rsidRPr="00806720">
        <w:rPr>
          <w:rFonts w:ascii="新細明體" w:eastAsia="新細明體" w:hAnsi="新細明體" w:cs="新細明體" w:hint="eastAsia"/>
          <w:b w:val="0"/>
          <w:bCs w:val="0"/>
        </w:rPr>
        <w:t>執行摘要</w:t>
      </w:r>
      <w:r w:rsidRPr="00806720">
        <w:rPr>
          <w:rFonts w:ascii="Arial Unicode MS" w:eastAsia="Arial Unicode MS" w:hAnsi="Arial Unicode MS" w:cs="Arial Unicode MS"/>
          <w:b w:val="0"/>
          <w:bCs w:val="0"/>
        </w:rPr>
        <w:t xml:space="preserve"> (Executive Summary)</w:t>
      </w:r>
    </w:p>
    <w:p w14:paraId="03272067" w14:textId="188DF768" w:rsidR="00DC493F" w:rsidRPr="00806720" w:rsidRDefault="00000000">
      <w:pPr>
        <w:pBdr>
          <w:top w:val="nil"/>
          <w:left w:val="nil"/>
          <w:bottom w:val="nil"/>
          <w:right w:val="nil"/>
          <w:between w:val="nil"/>
        </w:pBdr>
        <w:spacing w:after="225" w:line="300" w:lineRule="auto"/>
        <w:rPr>
          <w:rFonts w:hint="eastAsia"/>
        </w:rPr>
      </w:pPr>
      <w:r w:rsidRPr="00806720">
        <w:rPr>
          <w:rFonts w:ascii="新細明體" w:eastAsia="新細明體" w:hAnsi="新細明體" w:cs="新細明體" w:hint="eastAsia"/>
        </w:rPr>
        <w:t>本報告對包含北美、亞洲及中港市場在內的</w:t>
      </w:r>
      <w:r w:rsidRPr="00806720">
        <w:rPr>
          <w:rFonts w:ascii="Arial Unicode MS" w:eastAsia="Arial Unicode MS" w:hAnsi="Arial Unicode MS" w:cs="Arial Unicode MS"/>
        </w:rPr>
        <w:t xml:space="preserve"> 10 </w:t>
      </w:r>
      <w:r w:rsidRPr="00806720">
        <w:rPr>
          <w:rFonts w:ascii="新細明體" w:eastAsia="新細明體" w:hAnsi="新細明體" w:cs="新細明體" w:hint="eastAsia"/>
        </w:rPr>
        <w:t>隻</w:t>
      </w:r>
      <w:r w:rsidRPr="00806720">
        <w:rPr>
          <w:rFonts w:ascii="Arial Unicode MS" w:eastAsia="Arial Unicode MS" w:hAnsi="Arial Unicode MS" w:cs="Arial Unicode MS"/>
        </w:rPr>
        <w:t xml:space="preserve"> </w:t>
      </w:r>
      <w:r w:rsidR="00806720" w:rsidRPr="00806720">
        <w:rPr>
          <w:rFonts w:ascii="Arial Unicode MS" w:hAnsi="Arial Unicode MS" w:cs="Arial Unicode MS" w:hint="eastAsia"/>
        </w:rPr>
        <w:t xml:space="preserve">AIA </w:t>
      </w:r>
      <w:r w:rsidRPr="00806720">
        <w:rPr>
          <w:rFonts w:ascii="Arial Unicode MS" w:eastAsia="Arial Unicode MS" w:hAnsi="Arial Unicode MS" w:cs="Arial Unicode MS"/>
        </w:rPr>
        <w:t>MPF</w:t>
      </w:r>
      <w:r w:rsidR="00806720" w:rsidRPr="00806720">
        <w:rPr>
          <w:rFonts w:ascii="新細明體" w:eastAsia="新細明體" w:hAnsi="新細明體" w:cs="新細明體" w:hint="eastAsia"/>
        </w:rPr>
        <w:t>計劃</w:t>
      </w:r>
      <w:r w:rsidRPr="00806720">
        <w:rPr>
          <w:rFonts w:ascii="新細明體" w:eastAsia="新細明體" w:hAnsi="新細明體" w:cs="新細明體" w:hint="eastAsia"/>
        </w:rPr>
        <w:t>基金進行了深度數據挖掘。研究發現，北美股票基金</w:t>
      </w:r>
      <w:r w:rsidR="00806720" w:rsidRPr="00806720">
        <w:rPr>
          <w:rFonts w:ascii="新細明體" w:eastAsia="新細明體" w:hAnsi="新細明體" w:cs="新細明體" w:hint="eastAsia"/>
        </w:rPr>
        <w:t>和美洲基金</w:t>
      </w:r>
      <w:r w:rsidRPr="00806720">
        <w:rPr>
          <w:rFonts w:ascii="新細明體" w:eastAsia="新細明體" w:hAnsi="新細明體" w:cs="新細明體" w:hint="eastAsia"/>
        </w:rPr>
        <w:t>在樣本期間內提供了最佳的風險調整後收益。透過回歸分析證實，北美基金與美洲基金具備極高的同步性</w:t>
      </w:r>
      <w:r w:rsidRPr="00806720">
        <w:rPr>
          <w:rFonts w:ascii="Arial Unicode MS" w:eastAsia="Arial Unicode MS" w:hAnsi="Arial Unicode MS" w:cs="Arial Unicode MS"/>
        </w:rPr>
        <w:t xml:space="preserve"> (Beta ≈ 1, R² &gt; 0.95)</w:t>
      </w:r>
      <w:r w:rsidRPr="00806720">
        <w:rPr>
          <w:rFonts w:ascii="新細明體" w:eastAsia="新細明體" w:hAnsi="新細明體" w:cs="新細明體" w:hint="eastAsia"/>
        </w:rPr>
        <w:t>，顯示資產配置存在冗餘。</w:t>
      </w:r>
      <w:proofErr w:type="gramStart"/>
      <w:r w:rsidR="00806720" w:rsidRPr="00806720">
        <w:rPr>
          <w:rFonts w:ascii="新細明體" w:eastAsia="新細明體" w:hAnsi="新細明體" w:cs="新細明體" w:hint="eastAsia"/>
        </w:rPr>
        <w:t>強積金</w:t>
      </w:r>
      <w:proofErr w:type="gramEnd"/>
      <w:r w:rsidR="00806720" w:rsidRPr="00806720">
        <w:rPr>
          <w:rFonts w:ascii="新細明體" w:eastAsia="新細明體" w:hAnsi="新細明體" w:cs="新細明體" w:hint="eastAsia"/>
        </w:rPr>
        <w:t>保守基金與美洲基金</w:t>
      </w:r>
      <w:r w:rsidR="00806720">
        <w:rPr>
          <w:rFonts w:ascii="新細明體" w:eastAsia="新細明體" w:hAnsi="新細明體" w:cs="新細明體" w:hint="eastAsia"/>
        </w:rPr>
        <w:t>沒有</w:t>
      </w:r>
      <w:r w:rsidR="00806720" w:rsidRPr="00806720">
        <w:rPr>
          <w:rFonts w:ascii="新細明體" w:eastAsia="新細明體" w:hAnsi="新細明體" w:cs="新細明體" w:hint="eastAsia"/>
        </w:rPr>
        <w:t>具備同步性</w:t>
      </w:r>
      <w:r w:rsidR="00806720">
        <w:rPr>
          <w:rFonts w:ascii="新細明體" w:eastAsia="新細明體" w:hAnsi="新細明體" w:cs="新細明體" w:hint="eastAsia"/>
        </w:rPr>
        <w:t>，可作為無風險資產，在投資組合管理中分散風險。</w:t>
      </w:r>
      <w:r w:rsidRPr="00806720">
        <w:rPr>
          <w:rFonts w:ascii="新細明體" w:eastAsia="新細明體" w:hAnsi="新細明體" w:cs="新細明體" w:hint="eastAsia"/>
        </w:rPr>
        <w:t>另一方面，中港基金表現出高波動但回報顯著偏低的非效率性。</w:t>
      </w:r>
      <w:r w:rsidR="00806720">
        <w:rPr>
          <w:rFonts w:ascii="新細明體" w:eastAsia="新細明體" w:hAnsi="新細明體" w:cs="新細明體" w:hint="eastAsia"/>
        </w:rPr>
        <w:t>機器學習</w:t>
      </w:r>
      <w:r w:rsidRPr="00806720">
        <w:rPr>
          <w:rFonts w:ascii="新細明體" w:eastAsia="新細明體" w:hAnsi="新細明體" w:cs="新細明體" w:hint="eastAsia"/>
        </w:rPr>
        <w:t>分群分析將資產劃分為</w:t>
      </w:r>
      <w:r w:rsidR="00806720">
        <w:rPr>
          <w:rFonts w:ascii="新細明體" w:eastAsia="新細明體" w:hAnsi="新細明體" w:cs="新細明體" w:hint="eastAsia"/>
        </w:rPr>
        <w:t>六</w:t>
      </w:r>
      <w:r w:rsidRPr="00806720">
        <w:rPr>
          <w:rFonts w:ascii="新細明體" w:eastAsia="新細明體" w:hAnsi="新細明體" w:cs="新細明體" w:hint="eastAsia"/>
        </w:rPr>
        <w:t>大類，為投資者提供了清晰的風險導向配置路徑。</w:t>
      </w:r>
      <w:r w:rsidR="00806720">
        <w:rPr>
          <w:rFonts w:ascii="新細明體" w:eastAsia="新細明體" w:hAnsi="新細明體" w:cs="新細明體" w:hint="eastAsia"/>
        </w:rPr>
        <w:t>最後按著</w:t>
      </w:r>
      <w:r w:rsidR="00806720" w:rsidRPr="00806720">
        <w:rPr>
          <w:rFonts w:ascii="新細明體" w:eastAsia="新細明體" w:hAnsi="新細明體" w:cs="新細明體"/>
        </w:rPr>
        <w:t>Modern Portfolio Theory</w:t>
      </w:r>
      <w:r w:rsidR="00806720" w:rsidRPr="00806720">
        <w:rPr>
          <w:rFonts w:ascii="新細明體" w:eastAsia="新細明體" w:hAnsi="新細明體" w:cs="新細明體" w:hint="eastAsia"/>
        </w:rPr>
        <w:t>優化</w:t>
      </w:r>
      <w:r w:rsidR="00806720">
        <w:rPr>
          <w:rFonts w:ascii="新細明體" w:eastAsia="新細明體" w:hAnsi="新細明體" w:cs="新細明體" w:hint="eastAsia"/>
        </w:rPr>
        <w:t>各基金的</w:t>
      </w:r>
      <w:proofErr w:type="gramStart"/>
      <w:r w:rsidR="00806720">
        <w:rPr>
          <w:rFonts w:ascii="新細明體" w:eastAsia="新細明體" w:hAnsi="新細明體" w:cs="新細明體" w:hint="eastAsia"/>
        </w:rPr>
        <w:t>佔</w:t>
      </w:r>
      <w:proofErr w:type="gramEnd"/>
      <w:r w:rsidR="00806720">
        <w:rPr>
          <w:rFonts w:ascii="新細明體" w:eastAsia="新細明體" w:hAnsi="新細明體" w:cs="新細明體" w:hint="eastAsia"/>
        </w:rPr>
        <w:t>重比例來最大化</w:t>
      </w:r>
      <w:proofErr w:type="gramStart"/>
      <w:r w:rsidR="00806720">
        <w:rPr>
          <w:rFonts w:ascii="新細明體" w:eastAsia="新細明體" w:hAnsi="新細明體" w:cs="新細明體" w:hint="eastAsia"/>
        </w:rPr>
        <w:t>自己強積金</w:t>
      </w:r>
      <w:proofErr w:type="gramEnd"/>
      <w:r w:rsidR="00806720">
        <w:rPr>
          <w:rFonts w:ascii="新細明體" w:eastAsia="新細明體" w:hAnsi="新細明體" w:cs="新細明體" w:hint="eastAsia"/>
        </w:rPr>
        <w:t>組合的Sharpe Ratio。</w:t>
      </w:r>
    </w:p>
    <w:p w14:paraId="0F12B256" w14:textId="77777777" w:rsidR="00DC493F" w:rsidRPr="00806720" w:rsidRDefault="00000000">
      <w:pPr>
        <w:pStyle w:val="2"/>
        <w:spacing w:before="0"/>
        <w:rPr>
          <w:rFonts w:ascii="Arial Unicode MS" w:hAnsi="Arial Unicode MS" w:cs="Arial Unicode MS" w:hint="eastAsia"/>
          <w:b w:val="0"/>
          <w:bCs w:val="0"/>
        </w:rPr>
      </w:pPr>
      <w:r w:rsidRPr="00806720">
        <w:rPr>
          <w:rFonts w:ascii="Arial Unicode MS" w:eastAsia="Arial Unicode MS" w:hAnsi="Arial Unicode MS" w:cs="Arial Unicode MS"/>
          <w:b w:val="0"/>
          <w:bCs w:val="0"/>
        </w:rPr>
        <w:t xml:space="preserve">2. </w:t>
      </w:r>
      <w:r w:rsidRPr="00806720">
        <w:rPr>
          <w:rFonts w:ascii="新細明體" w:eastAsia="新細明體" w:hAnsi="新細明體" w:cs="新細明體" w:hint="eastAsia"/>
          <w:b w:val="0"/>
          <w:bCs w:val="0"/>
        </w:rPr>
        <w:t>數據準備</w:t>
      </w:r>
      <w:r w:rsidRPr="00806720">
        <w:rPr>
          <w:rFonts w:ascii="Arial Unicode MS" w:eastAsia="Arial Unicode MS" w:hAnsi="Arial Unicode MS" w:cs="Arial Unicode MS"/>
          <w:b w:val="0"/>
          <w:bCs w:val="0"/>
        </w:rPr>
        <w:t xml:space="preserve"> (Data Preparation)</w:t>
      </w:r>
    </w:p>
    <w:p w14:paraId="26383BA9" w14:textId="77777777" w:rsidR="00195235" w:rsidRPr="00806720" w:rsidRDefault="00195235" w:rsidP="00195235">
      <w:r w:rsidRPr="00806720">
        <w:t>本研究針對</w:t>
      </w:r>
      <w:r w:rsidRPr="00806720">
        <w:t xml:space="preserve"> 10 </w:t>
      </w:r>
      <w:r w:rsidRPr="00806720">
        <w:t>款</w:t>
      </w:r>
      <w:r w:rsidRPr="00806720">
        <w:t xml:space="preserve"> AIA </w:t>
      </w:r>
      <w:proofErr w:type="gramStart"/>
      <w:r w:rsidRPr="00806720">
        <w:t>強積金</w:t>
      </w:r>
      <w:proofErr w:type="gramEnd"/>
      <w:r w:rsidRPr="00806720">
        <w:t xml:space="preserve"> (MPF) </w:t>
      </w:r>
      <w:r w:rsidRPr="00806720">
        <w:t>成分基金進行深度量化分析，涵蓋股票、債券、混合資產及貨幣市場等不同風險維度。</w:t>
      </w:r>
    </w:p>
    <w:p w14:paraId="565582C2" w14:textId="77777777" w:rsidR="00195235" w:rsidRPr="00806720" w:rsidRDefault="00195235" w:rsidP="00195235">
      <w:r w:rsidRPr="00806720">
        <w:t xml:space="preserve">2.1 </w:t>
      </w:r>
      <w:r w:rsidRPr="00806720">
        <w:t>樣本選擇</w:t>
      </w:r>
      <w:r w:rsidRPr="00806720">
        <w:t xml:space="preserve"> (Sample Selection)</w:t>
      </w:r>
    </w:p>
    <w:p w14:paraId="29862771" w14:textId="77777777" w:rsidR="00195235" w:rsidRPr="00806720" w:rsidRDefault="00195235" w:rsidP="00195235">
      <w:r w:rsidRPr="00806720">
        <w:t>選取的</w:t>
      </w:r>
      <w:r w:rsidRPr="00806720">
        <w:t xml:space="preserve"> 10 </w:t>
      </w:r>
      <w:r w:rsidRPr="00806720">
        <w:t>款核心基金包括：</w:t>
      </w:r>
    </w:p>
    <w:p w14:paraId="1AA3E129" w14:textId="77777777" w:rsidR="00195235" w:rsidRPr="00806720" w:rsidRDefault="00195235" w:rsidP="00195235">
      <w:pPr>
        <w:numPr>
          <w:ilvl w:val="0"/>
          <w:numId w:val="4"/>
        </w:numPr>
      </w:pPr>
      <w:r w:rsidRPr="00806720">
        <w:t>權益類：中港基金、亞洲股票基金、北美股票基金、美洲基金。</w:t>
      </w:r>
    </w:p>
    <w:p w14:paraId="1C01A3D5" w14:textId="77777777" w:rsidR="00195235" w:rsidRPr="00806720" w:rsidRDefault="00195235" w:rsidP="00195235">
      <w:pPr>
        <w:numPr>
          <w:ilvl w:val="0"/>
          <w:numId w:val="4"/>
        </w:numPr>
      </w:pPr>
      <w:r w:rsidRPr="00806720">
        <w:t>混合</w:t>
      </w:r>
      <w:r w:rsidRPr="00806720">
        <w:t>/</w:t>
      </w:r>
      <w:r w:rsidRPr="00806720">
        <w:t>平衡類：增長組合、核心累積基金、均衡組合、基金經理精選退休基金。</w:t>
      </w:r>
    </w:p>
    <w:p w14:paraId="05F6F63A" w14:textId="77777777" w:rsidR="00195235" w:rsidRPr="00806720" w:rsidRDefault="00195235" w:rsidP="00195235">
      <w:pPr>
        <w:numPr>
          <w:ilvl w:val="0"/>
          <w:numId w:val="4"/>
        </w:numPr>
      </w:pPr>
      <w:r w:rsidRPr="00806720">
        <w:t>固定收益</w:t>
      </w:r>
      <w:r w:rsidRPr="00806720">
        <w:t>/</w:t>
      </w:r>
      <w:proofErr w:type="gramStart"/>
      <w:r w:rsidRPr="00806720">
        <w:t>避險類</w:t>
      </w:r>
      <w:proofErr w:type="gramEnd"/>
      <w:r w:rsidRPr="00806720">
        <w:t>：亞洲債券基金、</w:t>
      </w:r>
      <w:proofErr w:type="gramStart"/>
      <w:r w:rsidRPr="00806720">
        <w:t>強積金</w:t>
      </w:r>
      <w:proofErr w:type="gramEnd"/>
      <w:r w:rsidRPr="00806720">
        <w:t>保守基金。</w:t>
      </w:r>
    </w:p>
    <w:p w14:paraId="6E50CC5C" w14:textId="77777777" w:rsidR="00195235" w:rsidRPr="00806720" w:rsidRDefault="00195235" w:rsidP="00195235">
      <w:r w:rsidRPr="00806720">
        <w:t xml:space="preserve">2.2 </w:t>
      </w:r>
      <w:r w:rsidRPr="00806720">
        <w:t>數據獲取與整合</w:t>
      </w:r>
      <w:r w:rsidRPr="00806720">
        <w:t xml:space="preserve"> (Data Acquisition)</w:t>
      </w:r>
    </w:p>
    <w:p w14:paraId="2CBCD597" w14:textId="77777777" w:rsidR="00195235" w:rsidRPr="00806720" w:rsidRDefault="00195235" w:rsidP="00195235">
      <w:r w:rsidRPr="00806720">
        <w:t>數據採集週期定為</w:t>
      </w:r>
      <w:r w:rsidRPr="00806720">
        <w:t xml:space="preserve"> 2017</w:t>
      </w:r>
      <w:r w:rsidRPr="00806720">
        <w:t>年</w:t>
      </w:r>
      <w:r w:rsidRPr="00806720">
        <w:t>5</w:t>
      </w:r>
      <w:r w:rsidRPr="00806720">
        <w:t>月</w:t>
      </w:r>
      <w:r w:rsidRPr="00806720">
        <w:t>1</w:t>
      </w:r>
      <w:r w:rsidRPr="00806720">
        <w:t>日至</w:t>
      </w:r>
      <w:r w:rsidRPr="00806720">
        <w:t>2026</w:t>
      </w:r>
      <w:r w:rsidRPr="00806720">
        <w:t>年</w:t>
      </w:r>
      <w:r w:rsidRPr="00806720">
        <w:t>4</w:t>
      </w:r>
      <w:r w:rsidRPr="00806720">
        <w:t>月</w:t>
      </w:r>
      <w:r w:rsidRPr="00806720">
        <w:t>1</w:t>
      </w:r>
      <w:r w:rsidRPr="00806720">
        <w:t>日，以確保涵蓋多個完整的市場週期（包括</w:t>
      </w:r>
      <w:proofErr w:type="gramStart"/>
      <w:r w:rsidRPr="00806720">
        <w:t>疫</w:t>
      </w:r>
      <w:proofErr w:type="gramEnd"/>
      <w:r w:rsidRPr="00806720">
        <w:t>情波動與高息環境）：</w:t>
      </w:r>
    </w:p>
    <w:p w14:paraId="635AD88C" w14:textId="77777777" w:rsidR="00195235" w:rsidRPr="00806720" w:rsidRDefault="00195235" w:rsidP="00195235">
      <w:pPr>
        <w:numPr>
          <w:ilvl w:val="0"/>
          <w:numId w:val="5"/>
        </w:numPr>
      </w:pPr>
      <w:r w:rsidRPr="00806720">
        <w:t xml:space="preserve">MPF </w:t>
      </w:r>
      <w:r w:rsidRPr="00806720">
        <w:t>原始數據：自</w:t>
      </w:r>
      <w:r w:rsidRPr="00806720">
        <w:t xml:space="preserve"> AIA </w:t>
      </w:r>
      <w:r w:rsidRPr="00806720">
        <w:t>官方網站擷取每日單位價格</w:t>
      </w:r>
      <w:r w:rsidRPr="00806720">
        <w:t xml:space="preserve"> (NAV)</w:t>
      </w:r>
      <w:r w:rsidRPr="00806720">
        <w:t>，透過</w:t>
      </w:r>
      <w:r w:rsidRPr="00806720">
        <w:t xml:space="preserve"> Excel </w:t>
      </w:r>
      <w:r w:rsidRPr="00806720">
        <w:t>處理提取每月首</w:t>
      </w:r>
      <w:proofErr w:type="gramStart"/>
      <w:r w:rsidRPr="00806720">
        <w:t>個</w:t>
      </w:r>
      <w:proofErr w:type="gramEnd"/>
      <w:r w:rsidRPr="00806720">
        <w:t>交易日之數值。</w:t>
      </w:r>
    </w:p>
    <w:p w14:paraId="2F3252C5" w14:textId="77777777" w:rsidR="00195235" w:rsidRPr="00806720" w:rsidRDefault="00195235" w:rsidP="00195235">
      <w:pPr>
        <w:numPr>
          <w:ilvl w:val="0"/>
          <w:numId w:val="5"/>
        </w:numPr>
      </w:pPr>
      <w:r w:rsidRPr="00806720">
        <w:t>市場基準</w:t>
      </w:r>
      <w:r w:rsidRPr="00806720">
        <w:t xml:space="preserve"> (Benchmarks)</w:t>
      </w:r>
      <w:r w:rsidRPr="00806720">
        <w:t>：利用</w:t>
      </w:r>
      <w:r w:rsidRPr="00806720">
        <w:t xml:space="preserve"> Python </w:t>
      </w:r>
      <w:proofErr w:type="spellStart"/>
      <w:r w:rsidRPr="00806720">
        <w:t>yfinance</w:t>
      </w:r>
      <w:proofErr w:type="spellEnd"/>
      <w:r w:rsidRPr="00806720">
        <w:t xml:space="preserve"> </w:t>
      </w:r>
      <w:r w:rsidRPr="00806720">
        <w:t>庫</w:t>
      </w:r>
      <w:proofErr w:type="gramStart"/>
      <w:r w:rsidRPr="00806720">
        <w:t>獲取標普</w:t>
      </w:r>
      <w:proofErr w:type="gramEnd"/>
      <w:r w:rsidRPr="00806720">
        <w:t xml:space="preserve">500 ETF (VOO) </w:t>
      </w:r>
      <w:r w:rsidRPr="00806720">
        <w:t>及盈富基金</w:t>
      </w:r>
      <w:r w:rsidRPr="00806720">
        <w:t xml:space="preserve"> (2800.HK) </w:t>
      </w:r>
      <w:r w:rsidRPr="00806720">
        <w:t>的調整收市價</w:t>
      </w:r>
      <w:r w:rsidRPr="00806720">
        <w:t xml:space="preserve"> (Adjusted Close)</w:t>
      </w:r>
      <w:r w:rsidRPr="00806720">
        <w:t>，同樣選取每月首日數據以達成時間對齊。</w:t>
      </w:r>
    </w:p>
    <w:p w14:paraId="5235B59D" w14:textId="3DC3CEBC" w:rsidR="003C3B80" w:rsidRPr="00806720" w:rsidRDefault="003C3B80" w:rsidP="00195235">
      <w:pPr>
        <w:numPr>
          <w:ilvl w:val="0"/>
          <w:numId w:val="5"/>
        </w:numPr>
      </w:pPr>
      <w:r w:rsidRPr="00806720">
        <w:t>R</w:t>
      </w:r>
      <w:r w:rsidRPr="00806720">
        <w:rPr>
          <w:rFonts w:hint="eastAsia"/>
        </w:rPr>
        <w:t>isk-free rate</w:t>
      </w:r>
      <w:r w:rsidRPr="00806720">
        <w:rPr>
          <w:rFonts w:hint="eastAsia"/>
        </w:rPr>
        <w:t>採用三個月的</w:t>
      </w:r>
      <w:r w:rsidRPr="00806720">
        <w:rPr>
          <w:rFonts w:hint="eastAsia"/>
        </w:rPr>
        <w:t>HIBOR</w:t>
      </w:r>
      <w:r w:rsidRPr="00806720">
        <w:rPr>
          <w:rFonts w:hint="eastAsia"/>
        </w:rPr>
        <w:t>利率除</w:t>
      </w:r>
      <w:r w:rsidRPr="00806720">
        <w:rPr>
          <w:rFonts w:hint="eastAsia"/>
        </w:rPr>
        <w:t>12:  2.28%/12</w:t>
      </w:r>
    </w:p>
    <w:p w14:paraId="389E1639" w14:textId="77777777" w:rsidR="00195235" w:rsidRPr="00806720" w:rsidRDefault="00195235" w:rsidP="00195235">
      <w:r w:rsidRPr="00806720">
        <w:t xml:space="preserve">2.3 </w:t>
      </w:r>
      <w:r w:rsidRPr="00806720">
        <w:t>數據清洗與異常值處理</w:t>
      </w:r>
      <w:r w:rsidRPr="00806720">
        <w:t xml:space="preserve"> (Data Cleaning)</w:t>
      </w:r>
    </w:p>
    <w:p w14:paraId="23C76D90" w14:textId="77777777" w:rsidR="00195235" w:rsidRPr="00806720" w:rsidRDefault="00195235" w:rsidP="00195235">
      <w:r w:rsidRPr="00806720">
        <w:t>為確保時間序列的連續性，針對特定交易中斷進行</w:t>
      </w:r>
      <w:proofErr w:type="gramStart"/>
      <w:r w:rsidRPr="00806720">
        <w:t>了補值處理</w:t>
      </w:r>
      <w:proofErr w:type="gramEnd"/>
      <w:r w:rsidRPr="00806720">
        <w:t>：</w:t>
      </w:r>
    </w:p>
    <w:p w14:paraId="34C2F385" w14:textId="77777777" w:rsidR="00195235" w:rsidRPr="00806720" w:rsidRDefault="00195235" w:rsidP="00195235">
      <w:pPr>
        <w:numPr>
          <w:ilvl w:val="0"/>
          <w:numId w:val="6"/>
        </w:numPr>
      </w:pPr>
      <w:r w:rsidRPr="00806720">
        <w:t>特殊事件處理：針對</w:t>
      </w:r>
      <w:r w:rsidRPr="00806720">
        <w:t xml:space="preserve"> 2023 </w:t>
      </w:r>
      <w:r w:rsidRPr="00806720">
        <w:t>年</w:t>
      </w:r>
      <w:r w:rsidRPr="00806720">
        <w:t xml:space="preserve"> 9 </w:t>
      </w:r>
      <w:r w:rsidRPr="00806720">
        <w:t>月</w:t>
      </w:r>
      <w:r w:rsidRPr="00806720">
        <w:t xml:space="preserve"> 1 </w:t>
      </w:r>
      <w:r w:rsidRPr="00806720">
        <w:t>日香港因極端天氣（颱風）</w:t>
      </w:r>
      <w:proofErr w:type="gramStart"/>
      <w:r w:rsidRPr="00806720">
        <w:t>閉市導致</w:t>
      </w:r>
      <w:proofErr w:type="gramEnd"/>
      <w:r w:rsidRPr="00806720">
        <w:t xml:space="preserve"> 2800.HK </w:t>
      </w:r>
      <w:r w:rsidRPr="00806720">
        <w:t>數據缺失之情況，本分析採用</w:t>
      </w:r>
      <w:r w:rsidRPr="00806720">
        <w:t xml:space="preserve"> </w:t>
      </w:r>
      <w:r w:rsidRPr="00806720">
        <w:t>前一交易日</w:t>
      </w:r>
      <w:r w:rsidRPr="00806720">
        <w:t xml:space="preserve"> (2023-08-31) </w:t>
      </w:r>
      <w:r w:rsidRPr="00806720">
        <w:t>之收市價進行遞補，以維持回報率計算的邏輯一致性。</w:t>
      </w:r>
    </w:p>
    <w:p w14:paraId="360516B9" w14:textId="77777777" w:rsidR="00195235" w:rsidRPr="00806720" w:rsidRDefault="00195235" w:rsidP="00195235">
      <w:r w:rsidRPr="00806720">
        <w:t xml:space="preserve">2.4 </w:t>
      </w:r>
      <w:r w:rsidRPr="00806720">
        <w:t>特徵工程</w:t>
      </w:r>
      <w:r w:rsidRPr="00806720">
        <w:t xml:space="preserve"> (Feature Engineering)</w:t>
      </w:r>
    </w:p>
    <w:p w14:paraId="7C459623" w14:textId="77777777" w:rsidR="00195235" w:rsidRPr="00806720" w:rsidRDefault="00195235" w:rsidP="00195235">
      <w:r w:rsidRPr="00806720">
        <w:t>為了多維度評估基金表現，本研究構建了以下量化指標矩陣：</w:t>
      </w:r>
    </w:p>
    <w:p w14:paraId="149DC23D" w14:textId="77777777" w:rsidR="00195235" w:rsidRPr="00806720" w:rsidRDefault="00195235" w:rsidP="00195235">
      <w:pPr>
        <w:numPr>
          <w:ilvl w:val="0"/>
          <w:numId w:val="7"/>
        </w:numPr>
      </w:pPr>
      <w:r w:rsidRPr="00806720">
        <w:lastRenderedPageBreak/>
        <w:t>回報與風險指標：計算年化平均回報</w:t>
      </w:r>
      <w:r w:rsidRPr="00806720">
        <w:t xml:space="preserve"> (Average Return)</w:t>
      </w:r>
      <w:r w:rsidRPr="00806720">
        <w:t>、標準差</w:t>
      </w:r>
      <w:r w:rsidRPr="00806720">
        <w:t xml:space="preserve"> (Standard Deviation) </w:t>
      </w:r>
      <w:r w:rsidRPr="00806720">
        <w:t>及</w:t>
      </w:r>
      <w:proofErr w:type="gramStart"/>
      <w:r w:rsidRPr="00806720">
        <w:t>最大回撤</w:t>
      </w:r>
      <w:proofErr w:type="gramEnd"/>
      <w:r w:rsidRPr="00806720">
        <w:t xml:space="preserve"> (Maximum Drawdown)</w:t>
      </w:r>
      <w:r w:rsidRPr="00806720">
        <w:t>。</w:t>
      </w:r>
    </w:p>
    <w:p w14:paraId="03316C04" w14:textId="77777777" w:rsidR="00195235" w:rsidRPr="00806720" w:rsidRDefault="00195235" w:rsidP="00195235">
      <w:pPr>
        <w:numPr>
          <w:ilvl w:val="0"/>
          <w:numId w:val="7"/>
        </w:numPr>
      </w:pPr>
      <w:r w:rsidRPr="00806720">
        <w:t>風險調整後收益：</w:t>
      </w:r>
    </w:p>
    <w:p w14:paraId="1A097E5E" w14:textId="77777777" w:rsidR="00195235" w:rsidRPr="00806720" w:rsidRDefault="00195235" w:rsidP="00195235">
      <w:pPr>
        <w:numPr>
          <w:ilvl w:val="1"/>
          <w:numId w:val="7"/>
        </w:numPr>
      </w:pPr>
      <w:r w:rsidRPr="00806720">
        <w:t>Sharpe Ratio</w:t>
      </w:r>
      <w:r w:rsidRPr="00806720">
        <w:t>：評估每單位總風險換取的超額回報。</w:t>
      </w:r>
    </w:p>
    <w:p w14:paraId="7941965E" w14:textId="77777777" w:rsidR="00195235" w:rsidRPr="00806720" w:rsidRDefault="00195235" w:rsidP="00195235">
      <w:pPr>
        <w:numPr>
          <w:ilvl w:val="1"/>
          <w:numId w:val="7"/>
        </w:numPr>
      </w:pPr>
      <w:r w:rsidRPr="00806720">
        <w:t>Sortino Ratio</w:t>
      </w:r>
      <w:r w:rsidRPr="00806720">
        <w:t>：專注於下行偏差</w:t>
      </w:r>
      <w:r w:rsidRPr="00806720">
        <w:t xml:space="preserve"> (Downside Deviation)</w:t>
      </w:r>
      <w:r w:rsidRPr="00806720">
        <w:t>，排除上行波動干擾。</w:t>
      </w:r>
    </w:p>
    <w:p w14:paraId="64328A29" w14:textId="77777777" w:rsidR="00195235" w:rsidRPr="00806720" w:rsidRDefault="00195235" w:rsidP="00195235">
      <w:pPr>
        <w:numPr>
          <w:ilvl w:val="1"/>
          <w:numId w:val="7"/>
        </w:numPr>
      </w:pPr>
      <w:r w:rsidRPr="00806720">
        <w:t>Calmar Ratio</w:t>
      </w:r>
      <w:r w:rsidRPr="00806720">
        <w:t>：衡量回報與最大</w:t>
      </w:r>
      <w:proofErr w:type="gramStart"/>
      <w:r w:rsidRPr="00806720">
        <w:t>回撤之間</w:t>
      </w:r>
      <w:proofErr w:type="gramEnd"/>
      <w:r w:rsidRPr="00806720">
        <w:t>的比例，評估恢復能力。</w:t>
      </w:r>
    </w:p>
    <w:p w14:paraId="01EB2409" w14:textId="77777777" w:rsidR="00195235" w:rsidRPr="00806720" w:rsidRDefault="00195235" w:rsidP="00195235">
      <w:pPr>
        <w:numPr>
          <w:ilvl w:val="0"/>
          <w:numId w:val="7"/>
        </w:numPr>
      </w:pPr>
      <w:r w:rsidRPr="00806720">
        <w:t>市場敏感度與相關性：</w:t>
      </w:r>
    </w:p>
    <w:p w14:paraId="34D21848" w14:textId="77777777" w:rsidR="00195235" w:rsidRPr="00806720" w:rsidRDefault="00195235" w:rsidP="00195235">
      <w:pPr>
        <w:numPr>
          <w:ilvl w:val="1"/>
          <w:numId w:val="7"/>
        </w:numPr>
      </w:pPr>
      <w:r w:rsidRPr="00806720">
        <w:t xml:space="preserve">CAPM </w:t>
      </w:r>
      <w:r w:rsidRPr="00806720">
        <w:t>模型分析：計算各基金對標</w:t>
      </w:r>
      <w:r w:rsidRPr="00806720">
        <w:t xml:space="preserve"> VOO </w:t>
      </w:r>
      <w:r w:rsidRPr="00806720">
        <w:t>及</w:t>
      </w:r>
      <w:r w:rsidRPr="00806720">
        <w:t xml:space="preserve"> 2800.HK </w:t>
      </w:r>
      <w:r w:rsidRPr="00806720">
        <w:t>的</w:t>
      </w:r>
      <w:r w:rsidRPr="00806720">
        <w:t xml:space="preserve"> Alpha (</w:t>
      </w:r>
      <w:r w:rsidRPr="00806720">
        <w:t>超額收益</w:t>
      </w:r>
      <w:r w:rsidRPr="00806720">
        <w:t>)</w:t>
      </w:r>
      <w:r w:rsidRPr="00806720">
        <w:t>、</w:t>
      </w:r>
      <w:r w:rsidRPr="00806720">
        <w:t>Beta (</w:t>
      </w:r>
      <w:r w:rsidRPr="00806720">
        <w:t>系統風險</w:t>
      </w:r>
      <w:r w:rsidRPr="00806720">
        <w:t xml:space="preserve">) </w:t>
      </w:r>
      <w:r w:rsidRPr="00806720">
        <w:t>及</w:t>
      </w:r>
      <w:r w:rsidRPr="00806720">
        <w:t xml:space="preserve"> R-squared (</w:t>
      </w:r>
      <w:r w:rsidRPr="00806720">
        <w:t>解釋力</w:t>
      </w:r>
      <w:r w:rsidRPr="00806720">
        <w:t>)</w:t>
      </w:r>
      <w:r w:rsidRPr="00806720">
        <w:t>。</w:t>
      </w:r>
    </w:p>
    <w:p w14:paraId="7AFA3FAC" w14:textId="77777777" w:rsidR="00195235" w:rsidRPr="00806720" w:rsidRDefault="00195235" w:rsidP="00195235">
      <w:pPr>
        <w:numPr>
          <w:ilvl w:val="1"/>
          <w:numId w:val="7"/>
        </w:numPr>
      </w:pPr>
      <w:r w:rsidRPr="00806720">
        <w:t>相關性分析：建立各基金與基準指標間、以及基金</w:t>
      </w:r>
      <w:proofErr w:type="gramStart"/>
      <w:r w:rsidRPr="00806720">
        <w:t>彼此間的</w:t>
      </w:r>
      <w:proofErr w:type="gramEnd"/>
      <w:r w:rsidRPr="00806720">
        <w:t xml:space="preserve"> </w:t>
      </w:r>
      <w:r w:rsidRPr="00806720">
        <w:t>相關係數矩陣</w:t>
      </w:r>
      <w:r w:rsidRPr="00806720">
        <w:t xml:space="preserve"> (Correlation Matrix)</w:t>
      </w:r>
      <w:r w:rsidRPr="00806720">
        <w:t>，藉以識別資產冗餘與分散投資之潛力。</w:t>
      </w:r>
    </w:p>
    <w:p w14:paraId="47C69E8A" w14:textId="18525506" w:rsidR="00DC493F" w:rsidRPr="00806720" w:rsidRDefault="00DC493F" w:rsidP="009B1E0D">
      <w:pPr>
        <w:rPr>
          <w:rFonts w:ascii="新細明體" w:eastAsia="新細明體" w:hAnsi="新細明體" w:cs="Times New Roman"/>
          <w:color w:val="000000"/>
          <w:sz w:val="24"/>
          <w:szCs w:val="24"/>
        </w:rPr>
      </w:pPr>
    </w:p>
    <w:p w14:paraId="29BCFAF0" w14:textId="77777777" w:rsidR="00DC493F" w:rsidRPr="00806720" w:rsidRDefault="00000000">
      <w:pPr>
        <w:pStyle w:val="2"/>
        <w:rPr>
          <w:rFonts w:ascii="Arial Unicode MS" w:hAnsi="Arial Unicode MS" w:cs="Arial Unicode MS" w:hint="eastAsia"/>
          <w:b w:val="0"/>
          <w:bCs w:val="0"/>
        </w:rPr>
      </w:pPr>
      <w:r w:rsidRPr="00806720">
        <w:rPr>
          <w:rFonts w:ascii="Arial Unicode MS" w:eastAsia="Arial Unicode MS" w:hAnsi="Arial Unicode MS" w:cs="Arial Unicode MS"/>
          <w:b w:val="0"/>
          <w:bCs w:val="0"/>
        </w:rPr>
        <w:t xml:space="preserve">3. </w:t>
      </w:r>
      <w:r w:rsidRPr="00806720">
        <w:rPr>
          <w:rFonts w:ascii="新細明體" w:eastAsia="新細明體" w:hAnsi="新細明體" w:cs="新細明體" w:hint="eastAsia"/>
          <w:b w:val="0"/>
          <w:bCs w:val="0"/>
        </w:rPr>
        <w:t>關鍵圖表分析</w:t>
      </w:r>
      <w:r w:rsidRPr="00806720">
        <w:rPr>
          <w:rFonts w:ascii="Arial Unicode MS" w:eastAsia="Arial Unicode MS" w:hAnsi="Arial Unicode MS" w:cs="Arial Unicode MS"/>
          <w:b w:val="0"/>
          <w:bCs w:val="0"/>
        </w:rPr>
        <w:t xml:space="preserve"> (</w:t>
      </w:r>
      <w:proofErr w:type="spellStart"/>
      <w:r w:rsidRPr="00806720">
        <w:rPr>
          <w:rFonts w:ascii="Arial Unicode MS" w:eastAsia="Arial Unicode MS" w:hAnsi="Arial Unicode MS" w:cs="Arial Unicode MS"/>
          <w:b w:val="0"/>
          <w:bCs w:val="0"/>
        </w:rPr>
        <w:t>Visualisation</w:t>
      </w:r>
      <w:proofErr w:type="spellEnd"/>
      <w:r w:rsidRPr="00806720">
        <w:rPr>
          <w:rFonts w:ascii="Arial Unicode MS" w:eastAsia="Arial Unicode MS" w:hAnsi="Arial Unicode MS" w:cs="Arial Unicode MS"/>
          <w:b w:val="0"/>
          <w:bCs w:val="0"/>
        </w:rPr>
        <w:t>)</w:t>
      </w:r>
    </w:p>
    <w:p w14:paraId="157716D6" w14:textId="45EC4D89" w:rsidR="006D739E" w:rsidRPr="00806720" w:rsidRDefault="006D739E" w:rsidP="006D739E">
      <w:r w:rsidRPr="00806720">
        <w:rPr>
          <w:noProof/>
        </w:rPr>
        <w:drawing>
          <wp:inline distT="0" distB="0" distL="0" distR="0" wp14:anchorId="15674DB9" wp14:editId="21E87EFC">
            <wp:extent cx="5943600" cy="2981325"/>
            <wp:effectExtent l="0" t="0" r="0" b="9525"/>
            <wp:docPr id="11145383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8317" name=""/>
                    <pic:cNvPicPr/>
                  </pic:nvPicPr>
                  <pic:blipFill>
                    <a:blip r:embed="rId6"/>
                    <a:stretch>
                      <a:fillRect/>
                    </a:stretch>
                  </pic:blipFill>
                  <pic:spPr>
                    <a:xfrm>
                      <a:off x="0" y="0"/>
                      <a:ext cx="5943600" cy="2981325"/>
                    </a:xfrm>
                    <a:prstGeom prst="rect">
                      <a:avLst/>
                    </a:prstGeom>
                  </pic:spPr>
                </pic:pic>
              </a:graphicData>
            </a:graphic>
          </wp:inline>
        </w:drawing>
      </w:r>
    </w:p>
    <w:p w14:paraId="693AF39F" w14:textId="77777777" w:rsidR="00213449" w:rsidRPr="00806720" w:rsidRDefault="00213449" w:rsidP="006D739E"/>
    <w:p w14:paraId="5D3E8DD0" w14:textId="1BEFC3D8" w:rsidR="00213449" w:rsidRPr="00806720" w:rsidRDefault="00213449" w:rsidP="006D739E">
      <w:r w:rsidRPr="00806720">
        <w:rPr>
          <w:rFonts w:hint="eastAsia"/>
        </w:rPr>
        <w:t>我們發現北美基金和美洲基金的累積回報是所以基金最高，股票基金除中港基金表現都</w:t>
      </w:r>
      <w:proofErr w:type="gramStart"/>
      <w:r w:rsidRPr="00806720">
        <w:rPr>
          <w:rFonts w:hint="eastAsia"/>
        </w:rPr>
        <w:t>名列前矛</w:t>
      </w:r>
      <w:proofErr w:type="gramEnd"/>
      <w:r w:rsidRPr="00806720">
        <w:rPr>
          <w:rFonts w:hint="eastAsia"/>
        </w:rPr>
        <w:t>，儘管如此，所有基金的回報率都遠低於</w:t>
      </w:r>
      <w:r w:rsidRPr="00806720">
        <w:rPr>
          <w:rFonts w:hint="eastAsia"/>
        </w:rPr>
        <w:t>VOO</w:t>
      </w:r>
      <w:r w:rsidRPr="00806720">
        <w:rPr>
          <w:rFonts w:hint="eastAsia"/>
        </w:rPr>
        <w:t>的回報率，即使</w:t>
      </w:r>
      <w:r w:rsidRPr="00806720">
        <w:rPr>
          <w:rFonts w:hint="eastAsia"/>
        </w:rPr>
        <w:t>VOO</w:t>
      </w:r>
      <w:r w:rsidRPr="00806720">
        <w:rPr>
          <w:rFonts w:hint="eastAsia"/>
        </w:rPr>
        <w:t>和美洲基金都是追踪</w:t>
      </w:r>
      <w:r w:rsidRPr="00806720">
        <w:rPr>
          <w:rFonts w:hint="eastAsia"/>
        </w:rPr>
        <w:t>S&amp;P 500</w:t>
      </w:r>
      <w:r w:rsidRPr="00806720">
        <w:rPr>
          <w:rFonts w:hint="eastAsia"/>
        </w:rPr>
        <w:t>指數，但因管理費和其他開支，長遠和</w:t>
      </w:r>
      <w:r w:rsidRPr="00806720">
        <w:rPr>
          <w:rFonts w:hint="eastAsia"/>
        </w:rPr>
        <w:t>VOO</w:t>
      </w:r>
      <w:r w:rsidRPr="00806720">
        <w:rPr>
          <w:rFonts w:hint="eastAsia"/>
        </w:rPr>
        <w:t>升幅有差距。</w:t>
      </w:r>
    </w:p>
    <w:p w14:paraId="43F0BA92" w14:textId="1F0A4E8B" w:rsidR="006D739E" w:rsidRPr="00806720" w:rsidRDefault="006D739E" w:rsidP="006D739E">
      <w:r w:rsidRPr="00806720">
        <w:rPr>
          <w:noProof/>
        </w:rPr>
        <w:lastRenderedPageBreak/>
        <w:drawing>
          <wp:inline distT="0" distB="0" distL="0" distR="0" wp14:anchorId="6973FC9E" wp14:editId="58423542">
            <wp:extent cx="5943600" cy="2273935"/>
            <wp:effectExtent l="0" t="0" r="0" b="0"/>
            <wp:docPr id="1559064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4849" name=""/>
                    <pic:cNvPicPr/>
                  </pic:nvPicPr>
                  <pic:blipFill>
                    <a:blip r:embed="rId7"/>
                    <a:stretch>
                      <a:fillRect/>
                    </a:stretch>
                  </pic:blipFill>
                  <pic:spPr>
                    <a:xfrm>
                      <a:off x="0" y="0"/>
                      <a:ext cx="5943600" cy="2273935"/>
                    </a:xfrm>
                    <a:prstGeom prst="rect">
                      <a:avLst/>
                    </a:prstGeom>
                  </pic:spPr>
                </pic:pic>
              </a:graphicData>
            </a:graphic>
          </wp:inline>
        </w:drawing>
      </w:r>
    </w:p>
    <w:p w14:paraId="58EF6AEC" w14:textId="14F14040" w:rsidR="002C2999" w:rsidRPr="00806720" w:rsidRDefault="002C2999" w:rsidP="006D739E">
      <w:proofErr w:type="gramStart"/>
      <w:r w:rsidRPr="00806720">
        <w:rPr>
          <w:rFonts w:ascii="新細明體" w:eastAsia="新細明體" w:hAnsi="新細明體" w:cs="新細明體" w:hint="eastAsia"/>
        </w:rPr>
        <w:t>在這圖我們</w:t>
      </w:r>
      <w:proofErr w:type="gramEnd"/>
      <w:r w:rsidRPr="00806720">
        <w:rPr>
          <w:rFonts w:ascii="新細明體" w:eastAsia="新細明體" w:hAnsi="新細明體" w:cs="新細明體" w:hint="eastAsia"/>
        </w:rPr>
        <w:t>能看見VOO有最高的平均回報率</w:t>
      </w:r>
      <w:r w:rsidR="00424BCB" w:rsidRPr="00806720">
        <w:rPr>
          <w:rFonts w:ascii="新細明體" w:eastAsia="新細明體" w:hAnsi="新細明體" w:cs="新細明體" w:hint="eastAsia"/>
        </w:rPr>
        <w:t>，而北美股票基金、美洲基金和亞洲股票基金都有較高的回報率，而中港基金和2800.HK風險比上述基金高但回報率比它們低。核心累積基金風險上比均衡組合和基金經理精選退休基金相近但回報率更高，比增長組合回報率相近但風險更低。</w:t>
      </w:r>
      <w:proofErr w:type="gramStart"/>
      <w:r w:rsidR="00424BCB" w:rsidRPr="00806720">
        <w:rPr>
          <w:rFonts w:ascii="新細明體" w:eastAsia="新細明體" w:hAnsi="新細明體" w:cs="新細明體" w:hint="eastAsia"/>
        </w:rPr>
        <w:t>強積金</w:t>
      </w:r>
      <w:proofErr w:type="gramEnd"/>
      <w:r w:rsidR="00424BCB" w:rsidRPr="00806720">
        <w:rPr>
          <w:rFonts w:ascii="新細明體" w:eastAsia="新細明體" w:hAnsi="新細明體" w:cs="新細明體" w:hint="eastAsia"/>
        </w:rPr>
        <w:t>保守基金比亞洲債券基金回報率相近但風險更低。</w:t>
      </w:r>
    </w:p>
    <w:p w14:paraId="69C78CA3" w14:textId="77777777" w:rsidR="002C2999" w:rsidRPr="00806720" w:rsidRDefault="002C2999" w:rsidP="006D739E"/>
    <w:p w14:paraId="1DDF7476" w14:textId="77777777" w:rsidR="00213449" w:rsidRPr="00806720" w:rsidRDefault="00213449" w:rsidP="006D739E"/>
    <w:p w14:paraId="0B7C8AD9" w14:textId="1AB85C8B" w:rsidR="006D739E" w:rsidRPr="00806720" w:rsidRDefault="006D739E" w:rsidP="006D739E">
      <w:r w:rsidRPr="00806720">
        <w:rPr>
          <w:noProof/>
        </w:rPr>
        <w:drawing>
          <wp:inline distT="0" distB="0" distL="0" distR="0" wp14:anchorId="2DC2FCBD" wp14:editId="09002274">
            <wp:extent cx="5943600" cy="3500755"/>
            <wp:effectExtent l="0" t="0" r="0" b="4445"/>
            <wp:docPr id="15131195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19548" name=""/>
                    <pic:cNvPicPr/>
                  </pic:nvPicPr>
                  <pic:blipFill>
                    <a:blip r:embed="rId8"/>
                    <a:stretch>
                      <a:fillRect/>
                    </a:stretch>
                  </pic:blipFill>
                  <pic:spPr>
                    <a:xfrm>
                      <a:off x="0" y="0"/>
                      <a:ext cx="5943600" cy="3500755"/>
                    </a:xfrm>
                    <a:prstGeom prst="rect">
                      <a:avLst/>
                    </a:prstGeom>
                  </pic:spPr>
                </pic:pic>
              </a:graphicData>
            </a:graphic>
          </wp:inline>
        </w:drawing>
      </w:r>
    </w:p>
    <w:p w14:paraId="1124D982" w14:textId="55FFA1AE" w:rsidR="00424BCB" w:rsidRPr="00806720" w:rsidRDefault="00B45013" w:rsidP="006D739E">
      <w:r w:rsidRPr="00806720">
        <w:t xml:space="preserve">Sortino Ratio </w:t>
      </w:r>
      <w:r w:rsidRPr="00806720">
        <w:t>只考慮下行風險，</w:t>
      </w:r>
      <w:proofErr w:type="gramStart"/>
      <w:r w:rsidRPr="00806720">
        <w:t>這圖中</w:t>
      </w:r>
      <w:proofErr w:type="gramEnd"/>
      <w:r w:rsidRPr="00806720">
        <w:t>北美股</w:t>
      </w:r>
      <w:r w:rsidRPr="00806720">
        <w:rPr>
          <w:rFonts w:eastAsia="新細明體"/>
        </w:rPr>
        <w:t>票基金、美洲基金和核心累積基金都有更高的</w:t>
      </w:r>
      <w:r w:rsidRPr="00806720">
        <w:t>Sortino Ratio</w:t>
      </w:r>
      <w:r w:rsidRPr="00806720">
        <w:t>，代表它的波動大多是「向上</w:t>
      </w:r>
      <w:proofErr w:type="gramStart"/>
      <w:r w:rsidRPr="00806720">
        <w:t>衝</w:t>
      </w:r>
      <w:proofErr w:type="gramEnd"/>
      <w:r w:rsidRPr="00806720">
        <w:t>」帶來的，但仍不及</w:t>
      </w:r>
      <w:r w:rsidRPr="00806720">
        <w:t>VOO</w:t>
      </w:r>
      <w:r w:rsidRPr="00806720">
        <w:t>。</w:t>
      </w:r>
      <w:r w:rsidRPr="00806720">
        <w:t>Calmar Ratio</w:t>
      </w:r>
      <w:r w:rsidRPr="00806720">
        <w:t>反映了回報與最大</w:t>
      </w:r>
      <w:proofErr w:type="gramStart"/>
      <w:r w:rsidRPr="00806720">
        <w:t>回撤的</w:t>
      </w:r>
      <w:proofErr w:type="gramEnd"/>
      <w:r w:rsidRPr="00806720">
        <w:t>關係，</w:t>
      </w:r>
      <w:proofErr w:type="gramStart"/>
      <w:r w:rsidRPr="00806720">
        <w:t>這圖中</w:t>
      </w:r>
      <w:proofErr w:type="gramEnd"/>
      <w:r w:rsidRPr="00806720">
        <w:t>北美股</w:t>
      </w:r>
      <w:r w:rsidRPr="00806720">
        <w:rPr>
          <w:rFonts w:eastAsia="新細明體"/>
        </w:rPr>
        <w:t>票基金、美洲基金和</w:t>
      </w:r>
      <w:r w:rsidRPr="00806720">
        <w:rPr>
          <w:rFonts w:eastAsia="新細明體"/>
        </w:rPr>
        <w:t>VOO</w:t>
      </w:r>
      <w:r w:rsidRPr="00806720">
        <w:rPr>
          <w:rFonts w:eastAsia="新細明體"/>
        </w:rPr>
        <w:t>都有更高的</w:t>
      </w:r>
      <w:r w:rsidRPr="00806720">
        <w:t>Calmar Ratio</w:t>
      </w:r>
      <w:r w:rsidRPr="00806720">
        <w:t>，展現了極強的抗壓性</w:t>
      </w:r>
      <w:r w:rsidRPr="00806720">
        <w:rPr>
          <w:rFonts w:hint="eastAsia"/>
        </w:rPr>
        <w:t>。</w:t>
      </w:r>
    </w:p>
    <w:p w14:paraId="02FB7DBB" w14:textId="41B206E2" w:rsidR="007D12B0" w:rsidRPr="00806720" w:rsidRDefault="007D12B0" w:rsidP="006D739E">
      <w:r w:rsidRPr="00806720">
        <w:rPr>
          <w:noProof/>
        </w:rPr>
        <w:lastRenderedPageBreak/>
        <w:drawing>
          <wp:inline distT="0" distB="0" distL="0" distR="0" wp14:anchorId="65BED4B5" wp14:editId="64F2FDF7">
            <wp:extent cx="5721644" cy="2863997"/>
            <wp:effectExtent l="0" t="0" r="0" b="0"/>
            <wp:docPr id="14384785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8586" name=""/>
                    <pic:cNvPicPr/>
                  </pic:nvPicPr>
                  <pic:blipFill>
                    <a:blip r:embed="rId9"/>
                    <a:stretch>
                      <a:fillRect/>
                    </a:stretch>
                  </pic:blipFill>
                  <pic:spPr>
                    <a:xfrm>
                      <a:off x="0" y="0"/>
                      <a:ext cx="5721644" cy="2863997"/>
                    </a:xfrm>
                    <a:prstGeom prst="rect">
                      <a:avLst/>
                    </a:prstGeom>
                  </pic:spPr>
                </pic:pic>
              </a:graphicData>
            </a:graphic>
          </wp:inline>
        </w:drawing>
      </w:r>
    </w:p>
    <w:p w14:paraId="2EE1B4A3" w14:textId="2398F8C7" w:rsidR="007D12B0" w:rsidRPr="00806720" w:rsidRDefault="007D12B0" w:rsidP="006D739E">
      <w:r w:rsidRPr="00806720">
        <w:rPr>
          <w:noProof/>
        </w:rPr>
        <w:drawing>
          <wp:inline distT="0" distB="0" distL="0" distR="0" wp14:anchorId="3E8CBB4A" wp14:editId="37F9ED49">
            <wp:extent cx="5493032" cy="2863997"/>
            <wp:effectExtent l="0" t="0" r="0" b="0"/>
            <wp:docPr id="18087373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7323" name=""/>
                    <pic:cNvPicPr/>
                  </pic:nvPicPr>
                  <pic:blipFill>
                    <a:blip r:embed="rId10"/>
                    <a:stretch>
                      <a:fillRect/>
                    </a:stretch>
                  </pic:blipFill>
                  <pic:spPr>
                    <a:xfrm>
                      <a:off x="0" y="0"/>
                      <a:ext cx="5493032" cy="2863997"/>
                    </a:xfrm>
                    <a:prstGeom prst="rect">
                      <a:avLst/>
                    </a:prstGeom>
                  </pic:spPr>
                </pic:pic>
              </a:graphicData>
            </a:graphic>
          </wp:inline>
        </w:drawing>
      </w:r>
    </w:p>
    <w:p w14:paraId="17684868" w14:textId="7A74CC9A" w:rsidR="00563A05" w:rsidRPr="00806720" w:rsidRDefault="00563A05" w:rsidP="006D739E">
      <w:r w:rsidRPr="00806720">
        <w:rPr>
          <w:rFonts w:hint="eastAsia"/>
        </w:rPr>
        <w:t>我們採用</w:t>
      </w:r>
      <w:r w:rsidRPr="00806720">
        <w:rPr>
          <w:rFonts w:hint="eastAsia"/>
        </w:rPr>
        <w:t>3</w:t>
      </w:r>
      <w:r w:rsidRPr="00806720">
        <w:rPr>
          <w:rFonts w:hint="eastAsia"/>
        </w:rPr>
        <w:t>個月</w:t>
      </w:r>
      <w:r w:rsidRPr="00806720">
        <w:rPr>
          <w:rFonts w:hint="eastAsia"/>
        </w:rPr>
        <w:t xml:space="preserve">HIBOR rate </w:t>
      </w:r>
      <w:r w:rsidRPr="00806720">
        <w:rPr>
          <w:rFonts w:hint="eastAsia"/>
        </w:rPr>
        <w:t>的月回報率作為</w:t>
      </w:r>
      <w:r w:rsidRPr="00806720">
        <w:rPr>
          <w:rFonts w:hint="eastAsia"/>
        </w:rPr>
        <w:t>risk-free rate</w:t>
      </w:r>
      <w:r w:rsidRPr="00806720">
        <w:rPr>
          <w:rFonts w:hint="eastAsia"/>
        </w:rPr>
        <w:t>，</w:t>
      </w:r>
      <w:r w:rsidRPr="00806720">
        <w:rPr>
          <w:rFonts w:hint="eastAsia"/>
        </w:rPr>
        <w:t>Sharpe ratio</w:t>
      </w:r>
      <w:r w:rsidRPr="00806720">
        <w:rPr>
          <w:rFonts w:hint="eastAsia"/>
        </w:rPr>
        <w:t>反映基金的性價比，我們能</w:t>
      </w:r>
      <w:proofErr w:type="gramStart"/>
      <w:r w:rsidRPr="00806720">
        <w:rPr>
          <w:rFonts w:hint="eastAsia"/>
        </w:rPr>
        <w:t>看到</w:t>
      </w:r>
      <w:r w:rsidRPr="00806720">
        <w:rPr>
          <w:rFonts w:ascii="新細明體" w:eastAsia="新細明體" w:hAnsi="新細明體" w:cs="新細明體" w:hint="eastAsia"/>
        </w:rPr>
        <w:t>強積金</w:t>
      </w:r>
      <w:proofErr w:type="gramEnd"/>
      <w:r w:rsidRPr="00806720">
        <w:rPr>
          <w:rFonts w:ascii="新細明體" w:eastAsia="新細明體" w:hAnsi="新細明體" w:cs="新細明體" w:hint="eastAsia"/>
        </w:rPr>
        <w:t>保守基金回報低於銀行利率因此Sharpe ratio負數。而北美股票基金、美洲基金和亞洲基金都較高的Sharper Ratio，其次是核心累積基金，但遠不及VOO</w:t>
      </w:r>
    </w:p>
    <w:p w14:paraId="4300A857" w14:textId="71811283" w:rsidR="007D12B0" w:rsidRPr="00806720" w:rsidRDefault="007D12B0" w:rsidP="006D739E">
      <w:r w:rsidRPr="00806720">
        <w:rPr>
          <w:noProof/>
        </w:rPr>
        <w:drawing>
          <wp:inline distT="0" distB="0" distL="0" distR="0" wp14:anchorId="7FB02113" wp14:editId="54C48485">
            <wp:extent cx="5943600" cy="1482090"/>
            <wp:effectExtent l="0" t="0" r="0" b="3810"/>
            <wp:docPr id="714396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96193" name=""/>
                    <pic:cNvPicPr/>
                  </pic:nvPicPr>
                  <pic:blipFill>
                    <a:blip r:embed="rId11"/>
                    <a:stretch>
                      <a:fillRect/>
                    </a:stretch>
                  </pic:blipFill>
                  <pic:spPr>
                    <a:xfrm>
                      <a:off x="0" y="0"/>
                      <a:ext cx="5943600" cy="1482090"/>
                    </a:xfrm>
                    <a:prstGeom prst="rect">
                      <a:avLst/>
                    </a:prstGeom>
                  </pic:spPr>
                </pic:pic>
              </a:graphicData>
            </a:graphic>
          </wp:inline>
        </w:drawing>
      </w:r>
    </w:p>
    <w:p w14:paraId="739821A6" w14:textId="4FC7AF64" w:rsidR="007021B1" w:rsidRPr="00806720" w:rsidRDefault="007021B1" w:rsidP="006D739E">
      <w:r w:rsidRPr="00806720">
        <w:rPr>
          <w:rFonts w:hint="eastAsia"/>
        </w:rPr>
        <w:t>這是各基金之</w:t>
      </w:r>
      <w:r w:rsidRPr="00806720">
        <w:rPr>
          <w:rFonts w:ascii="新細明體" w:eastAsia="新細明體" w:hAnsi="新細明體" w:cs="新細明體" w:hint="eastAsia"/>
        </w:rPr>
        <w:t>間的相</w:t>
      </w:r>
      <w:r w:rsidR="00A72728" w:rsidRPr="00806720">
        <w:rPr>
          <w:rFonts w:ascii="新細明體" w:eastAsia="新細明體" w:hAnsi="新細明體" w:cs="新細明體" w:hint="eastAsia"/>
        </w:rPr>
        <w:t>關係數圖</w:t>
      </w:r>
      <w:r w:rsidR="00163990" w:rsidRPr="00806720">
        <w:rPr>
          <w:rFonts w:ascii="新細明體" w:eastAsia="新細明體" w:hAnsi="新細明體" w:cs="新細明體" w:hint="eastAsia"/>
        </w:rPr>
        <w:t>，我們能夠發現北美股票基金、美洲基金、核心累積基金甚至於均衡組合、亞洲股票基金、基金經理精選退休基金和增長相關係數十分高，各基金之間關係數高意</w:t>
      </w:r>
      <w:r w:rsidR="00163990" w:rsidRPr="00806720">
        <w:rPr>
          <w:rFonts w:ascii="新細明體" w:eastAsia="新細明體" w:hAnsi="新細明體" w:cs="新細明體" w:hint="eastAsia"/>
        </w:rPr>
        <w:lastRenderedPageBreak/>
        <w:t>味它們的走勢相近，並不利進行分散風險投資，看似有得選擇其實沒有。</w:t>
      </w:r>
      <w:proofErr w:type="gramStart"/>
      <w:r w:rsidR="00163990" w:rsidRPr="00806720">
        <w:rPr>
          <w:rFonts w:ascii="新細明體" w:eastAsia="新細明體" w:hAnsi="新細明體" w:cs="新細明體" w:hint="eastAsia"/>
        </w:rPr>
        <w:t>而強積金</w:t>
      </w:r>
      <w:proofErr w:type="gramEnd"/>
      <w:r w:rsidR="00163990" w:rsidRPr="00806720">
        <w:rPr>
          <w:rFonts w:ascii="新細明體" w:eastAsia="新細明體" w:hAnsi="新細明體" w:cs="新細明體" w:hint="eastAsia"/>
        </w:rPr>
        <w:t>保守基金與其他基金相關係數都接近0，它的走勢與其他基金無關。</w:t>
      </w:r>
    </w:p>
    <w:p w14:paraId="740C14F5" w14:textId="04BF6EFD" w:rsidR="007D12B0" w:rsidRPr="00806720" w:rsidRDefault="007D12B0" w:rsidP="006D739E">
      <w:r w:rsidRPr="00806720">
        <w:rPr>
          <w:noProof/>
        </w:rPr>
        <w:drawing>
          <wp:inline distT="0" distB="0" distL="0" distR="0" wp14:anchorId="3F119496" wp14:editId="7F8C4A28">
            <wp:extent cx="5943600" cy="2839720"/>
            <wp:effectExtent l="0" t="0" r="0" b="0"/>
            <wp:docPr id="2762406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0602" name=""/>
                    <pic:cNvPicPr/>
                  </pic:nvPicPr>
                  <pic:blipFill>
                    <a:blip r:embed="rId12"/>
                    <a:stretch>
                      <a:fillRect/>
                    </a:stretch>
                  </pic:blipFill>
                  <pic:spPr>
                    <a:xfrm>
                      <a:off x="0" y="0"/>
                      <a:ext cx="5943600" cy="2839720"/>
                    </a:xfrm>
                    <a:prstGeom prst="rect">
                      <a:avLst/>
                    </a:prstGeom>
                  </pic:spPr>
                </pic:pic>
              </a:graphicData>
            </a:graphic>
          </wp:inline>
        </w:drawing>
      </w:r>
    </w:p>
    <w:p w14:paraId="5E2BCD59" w14:textId="4991F464" w:rsidR="00D23E43" w:rsidRPr="00806720" w:rsidRDefault="00D23E43" w:rsidP="006D739E">
      <w:r w:rsidRPr="00806720">
        <w:rPr>
          <w:rFonts w:hint="eastAsia"/>
        </w:rPr>
        <w:t>大部份基金</w:t>
      </w:r>
      <w:r w:rsidRPr="00806720">
        <w:rPr>
          <w:rFonts w:hint="eastAsia"/>
        </w:rPr>
        <w:t>(7</w:t>
      </w:r>
      <w:r w:rsidRPr="00806720">
        <w:rPr>
          <w:rFonts w:hint="eastAsia"/>
        </w:rPr>
        <w:t>隻</w:t>
      </w:r>
      <w:r w:rsidRPr="00806720">
        <w:rPr>
          <w:rFonts w:hint="eastAsia"/>
        </w:rPr>
        <w:t>)</w:t>
      </w:r>
      <w:r w:rsidRPr="00806720">
        <w:rPr>
          <w:rFonts w:hint="eastAsia"/>
        </w:rPr>
        <w:t>都</w:t>
      </w:r>
      <w:r w:rsidR="00730A30" w:rsidRPr="00806720">
        <w:rPr>
          <w:rFonts w:hint="eastAsia"/>
        </w:rPr>
        <w:t>與</w:t>
      </w:r>
      <w:r w:rsidR="00730A30" w:rsidRPr="00806720">
        <w:rPr>
          <w:rFonts w:hint="eastAsia"/>
        </w:rPr>
        <w:t>VOO</w:t>
      </w:r>
      <w:r w:rsidR="00730A30" w:rsidRPr="00806720">
        <w:rPr>
          <w:rFonts w:hint="eastAsia"/>
        </w:rPr>
        <w:t>有較高的相關係數，意味</w:t>
      </w:r>
      <w:r w:rsidRPr="00806720">
        <w:rPr>
          <w:rFonts w:hint="eastAsia"/>
        </w:rPr>
        <w:t>受</w:t>
      </w:r>
      <w:r w:rsidRPr="00806720">
        <w:rPr>
          <w:rFonts w:hint="eastAsia"/>
        </w:rPr>
        <w:t>S&amp;P500</w:t>
      </w:r>
      <w:r w:rsidR="00730A30" w:rsidRPr="00806720">
        <w:rPr>
          <w:rFonts w:hint="eastAsia"/>
        </w:rPr>
        <w:t>走勢</w:t>
      </w:r>
      <w:r w:rsidRPr="00806720">
        <w:rPr>
          <w:rFonts w:hint="eastAsia"/>
        </w:rPr>
        <w:t>影響，約一半基金</w:t>
      </w:r>
      <w:r w:rsidRPr="00806720">
        <w:rPr>
          <w:rFonts w:hint="eastAsia"/>
        </w:rPr>
        <w:t>(4</w:t>
      </w:r>
      <w:r w:rsidRPr="00806720">
        <w:rPr>
          <w:rFonts w:hint="eastAsia"/>
        </w:rPr>
        <w:t>隻</w:t>
      </w:r>
      <w:r w:rsidRPr="00806720">
        <w:rPr>
          <w:rFonts w:hint="eastAsia"/>
        </w:rPr>
        <w:t>)</w:t>
      </w:r>
      <w:r w:rsidR="00730A30" w:rsidRPr="00806720">
        <w:rPr>
          <w:rFonts w:hint="eastAsia"/>
        </w:rPr>
        <w:t xml:space="preserve"> </w:t>
      </w:r>
      <w:r w:rsidR="00730A30" w:rsidRPr="00806720">
        <w:rPr>
          <w:rFonts w:hint="eastAsia"/>
        </w:rPr>
        <w:t>與</w:t>
      </w:r>
      <w:r w:rsidR="00730A30" w:rsidRPr="00806720">
        <w:rPr>
          <w:rFonts w:hint="eastAsia"/>
        </w:rPr>
        <w:t>2800.HK</w:t>
      </w:r>
      <w:r w:rsidR="00730A30" w:rsidRPr="00806720">
        <w:rPr>
          <w:rFonts w:hint="eastAsia"/>
        </w:rPr>
        <w:t>有較高的相關係數，意味受</w:t>
      </w:r>
      <w:proofErr w:type="gramStart"/>
      <w:r w:rsidRPr="00806720">
        <w:rPr>
          <w:rFonts w:hint="eastAsia"/>
        </w:rPr>
        <w:t>恒</w:t>
      </w:r>
      <w:proofErr w:type="gramEnd"/>
      <w:r w:rsidRPr="00806720">
        <w:rPr>
          <w:rFonts w:hint="eastAsia"/>
        </w:rPr>
        <w:t>生指數影</w:t>
      </w:r>
      <w:r w:rsidRPr="00806720">
        <w:rPr>
          <w:rFonts w:ascii="新細明體-ExtB" w:eastAsia="新細明體-ExtB" w:hAnsi="新細明體-ExtB" w:cs="新細明體-ExtB" w:hint="eastAsia"/>
        </w:rPr>
        <w:t>𧬾</w:t>
      </w:r>
      <w:r w:rsidRPr="00806720">
        <w:rPr>
          <w:rFonts w:ascii="新細明體" w:eastAsia="新細明體" w:hAnsi="新細明體" w:cs="新細明體" w:hint="eastAsia"/>
        </w:rPr>
        <w:t>，強積金保守基金</w:t>
      </w:r>
      <w:r w:rsidR="00730A30" w:rsidRPr="00806720">
        <w:rPr>
          <w:rFonts w:ascii="新細明體" w:eastAsia="新細明體" w:hAnsi="新細明體" w:cs="新細明體" w:hint="eastAsia"/>
        </w:rPr>
        <w:t>與VOO和2800.HK相關係數接近0，意味</w:t>
      </w:r>
      <w:r w:rsidRPr="00806720">
        <w:rPr>
          <w:rFonts w:ascii="新細明體" w:eastAsia="新細明體" w:hAnsi="新細明體" w:cs="新細明體" w:hint="eastAsia"/>
        </w:rPr>
        <w:t>不受</w:t>
      </w:r>
      <w:r w:rsidR="00730A30" w:rsidRPr="00806720">
        <w:rPr>
          <w:rFonts w:ascii="新細明體" w:eastAsia="新細明體" w:hAnsi="新細明體" w:cs="新細明體" w:hint="eastAsia"/>
        </w:rPr>
        <w:t>影響</w:t>
      </w:r>
    </w:p>
    <w:p w14:paraId="519EF2AC" w14:textId="3FC4FB0A" w:rsidR="007D12B0" w:rsidRPr="00806720" w:rsidRDefault="007D12B0" w:rsidP="006D739E">
      <w:r w:rsidRPr="00806720">
        <w:rPr>
          <w:noProof/>
        </w:rPr>
        <w:drawing>
          <wp:inline distT="0" distB="0" distL="0" distR="0" wp14:anchorId="02DF9237" wp14:editId="55F90AD1">
            <wp:extent cx="4940554" cy="3340272"/>
            <wp:effectExtent l="0" t="0" r="0" b="0"/>
            <wp:docPr id="6603814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81410" name=""/>
                    <pic:cNvPicPr/>
                  </pic:nvPicPr>
                  <pic:blipFill>
                    <a:blip r:embed="rId13"/>
                    <a:stretch>
                      <a:fillRect/>
                    </a:stretch>
                  </pic:blipFill>
                  <pic:spPr>
                    <a:xfrm>
                      <a:off x="0" y="0"/>
                      <a:ext cx="4940554" cy="3340272"/>
                    </a:xfrm>
                    <a:prstGeom prst="rect">
                      <a:avLst/>
                    </a:prstGeom>
                  </pic:spPr>
                </pic:pic>
              </a:graphicData>
            </a:graphic>
          </wp:inline>
        </w:drawing>
      </w:r>
    </w:p>
    <w:p w14:paraId="5A4970DE" w14:textId="1EF83610" w:rsidR="00D23E43" w:rsidRPr="00806720" w:rsidRDefault="00D23E43" w:rsidP="006D739E">
      <w:r w:rsidRPr="00806720">
        <w:rPr>
          <w:rFonts w:hint="eastAsia"/>
        </w:rPr>
        <w:t>在</w:t>
      </w:r>
      <w:proofErr w:type="gramStart"/>
      <w:r w:rsidRPr="00806720">
        <w:rPr>
          <w:rFonts w:hint="eastAsia"/>
        </w:rPr>
        <w:t>這幅圖我們</w:t>
      </w:r>
      <w:proofErr w:type="gramEnd"/>
      <w:r w:rsidRPr="00806720">
        <w:rPr>
          <w:rFonts w:hint="eastAsia"/>
        </w:rPr>
        <w:t>能看</w:t>
      </w:r>
      <w:r w:rsidRPr="00806720">
        <w:rPr>
          <w:rFonts w:ascii="新細明體" w:eastAsia="新細明體" w:hAnsi="新細明體" w:cs="新細明體" w:hint="eastAsia"/>
        </w:rPr>
        <w:t>到中港基金的走勢大部分是跟從</w:t>
      </w:r>
      <w:proofErr w:type="gramStart"/>
      <w:r w:rsidRPr="00806720">
        <w:rPr>
          <w:rFonts w:ascii="新細明體" w:eastAsia="新細明體" w:hAnsi="新細明體" w:cs="新細明體" w:hint="eastAsia"/>
        </w:rPr>
        <w:t>恒</w:t>
      </w:r>
      <w:proofErr w:type="gramEnd"/>
      <w:r w:rsidRPr="00806720">
        <w:rPr>
          <w:rFonts w:ascii="新細明體" w:eastAsia="新細明體" w:hAnsi="新細明體" w:cs="新細明體" w:hint="eastAsia"/>
        </w:rPr>
        <w:t>生指數，其他卻沒有，</w:t>
      </w:r>
      <w:proofErr w:type="gramStart"/>
      <w:r w:rsidRPr="00806720">
        <w:rPr>
          <w:rFonts w:ascii="新細明體" w:eastAsia="新細明體" w:hAnsi="新細明體" w:cs="新細明體" w:hint="eastAsia"/>
        </w:rPr>
        <w:t>強積金</w:t>
      </w:r>
      <w:proofErr w:type="gramEnd"/>
      <w:r w:rsidRPr="00806720">
        <w:rPr>
          <w:rFonts w:ascii="新細明體" w:eastAsia="新細明體" w:hAnsi="新細明體" w:cs="新細明體" w:hint="eastAsia"/>
        </w:rPr>
        <w:t>保守基金不受</w:t>
      </w:r>
      <w:proofErr w:type="gramStart"/>
      <w:r w:rsidRPr="00806720">
        <w:rPr>
          <w:rFonts w:ascii="新細明體" w:eastAsia="新細明體" w:hAnsi="新細明體" w:cs="新細明體" w:hint="eastAsia"/>
        </w:rPr>
        <w:t>恒</w:t>
      </w:r>
      <w:proofErr w:type="gramEnd"/>
      <w:r w:rsidRPr="00806720">
        <w:rPr>
          <w:rFonts w:ascii="新細明體" w:eastAsia="新細明體" w:hAnsi="新細明體" w:cs="新細明體" w:hint="eastAsia"/>
        </w:rPr>
        <w:t>生指數走勢影響。</w:t>
      </w:r>
    </w:p>
    <w:p w14:paraId="5BA53F53" w14:textId="4AD699EC" w:rsidR="007D12B0" w:rsidRPr="00806720" w:rsidRDefault="007D12B0" w:rsidP="006D739E">
      <w:r w:rsidRPr="00806720">
        <w:rPr>
          <w:noProof/>
        </w:rPr>
        <w:lastRenderedPageBreak/>
        <w:drawing>
          <wp:inline distT="0" distB="0" distL="0" distR="0" wp14:anchorId="25DBDE69" wp14:editId="7056EAB7">
            <wp:extent cx="5943600" cy="2803525"/>
            <wp:effectExtent l="0" t="0" r="0" b="0"/>
            <wp:docPr id="15856449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4957" name=""/>
                    <pic:cNvPicPr/>
                  </pic:nvPicPr>
                  <pic:blipFill>
                    <a:blip r:embed="rId14"/>
                    <a:stretch>
                      <a:fillRect/>
                    </a:stretch>
                  </pic:blipFill>
                  <pic:spPr>
                    <a:xfrm>
                      <a:off x="0" y="0"/>
                      <a:ext cx="5943600" cy="2803525"/>
                    </a:xfrm>
                    <a:prstGeom prst="rect">
                      <a:avLst/>
                    </a:prstGeom>
                  </pic:spPr>
                </pic:pic>
              </a:graphicData>
            </a:graphic>
          </wp:inline>
        </w:drawing>
      </w:r>
    </w:p>
    <w:p w14:paraId="249F009E" w14:textId="27AF839F" w:rsidR="00D23E43" w:rsidRPr="00806720" w:rsidRDefault="00213449" w:rsidP="00D23E43">
      <w:r w:rsidRPr="00806720">
        <w:rPr>
          <w:rFonts w:hint="eastAsia"/>
        </w:rPr>
        <w:t>我們發現美洲基金和北美股票基金基本上和</w:t>
      </w:r>
      <w:r w:rsidRPr="00806720">
        <w:rPr>
          <w:rFonts w:hint="eastAsia"/>
        </w:rPr>
        <w:t>VOO</w:t>
      </w:r>
      <w:r w:rsidRPr="00806720">
        <w:rPr>
          <w:rFonts w:hint="eastAsia"/>
        </w:rPr>
        <w:t>的走勢相等，而亞洲股票基金和增長組合都深受</w:t>
      </w:r>
      <w:r w:rsidRPr="00806720">
        <w:rPr>
          <w:rFonts w:hint="eastAsia"/>
        </w:rPr>
        <w:t xml:space="preserve">S&amp;P500 </w:t>
      </w:r>
      <w:r w:rsidRPr="00806720">
        <w:rPr>
          <w:rFonts w:hint="eastAsia"/>
        </w:rPr>
        <w:t>影響，核心累積基金</w:t>
      </w:r>
      <w:r w:rsidRPr="00806720">
        <w:rPr>
          <w:rFonts w:hint="eastAsia"/>
        </w:rPr>
        <w:t>Beta</w:t>
      </w:r>
      <w:r w:rsidRPr="00806720">
        <w:rPr>
          <w:rFonts w:hint="eastAsia"/>
        </w:rPr>
        <w:t>雖然只有大約</w:t>
      </w:r>
      <w:r w:rsidRPr="00806720">
        <w:rPr>
          <w:rFonts w:hint="eastAsia"/>
        </w:rPr>
        <w:t>0.5</w:t>
      </w:r>
      <w:r w:rsidRPr="00806720">
        <w:rPr>
          <w:rFonts w:hint="eastAsia"/>
        </w:rPr>
        <w:t>但</w:t>
      </w:r>
      <w:r w:rsidRPr="00806720">
        <w:rPr>
          <w:rFonts w:hint="eastAsia"/>
        </w:rPr>
        <w:t>R-square</w:t>
      </w:r>
      <w:r w:rsidRPr="00806720">
        <w:rPr>
          <w:rFonts w:hint="eastAsia"/>
        </w:rPr>
        <w:t>十分高</w:t>
      </w:r>
      <w:r w:rsidR="00D23E43" w:rsidRPr="00806720">
        <w:rPr>
          <w:rFonts w:hint="eastAsia"/>
        </w:rPr>
        <w:t>，由此可見它的</w:t>
      </w:r>
      <w:r w:rsidR="00D23E43" w:rsidRPr="00806720">
        <w:t>走勢</w:t>
      </w:r>
      <w:r w:rsidR="00D23E43" w:rsidRPr="00806720">
        <w:rPr>
          <w:rFonts w:hint="eastAsia"/>
        </w:rPr>
        <w:t>和</w:t>
      </w:r>
      <w:r w:rsidR="00D23E43" w:rsidRPr="00806720">
        <w:rPr>
          <w:rFonts w:hint="eastAsia"/>
        </w:rPr>
        <w:t>VOO</w:t>
      </w:r>
      <w:r w:rsidR="00D23E43" w:rsidRPr="00806720">
        <w:t>一致</w:t>
      </w:r>
      <w:r w:rsidR="00D23E43" w:rsidRPr="00806720">
        <w:rPr>
          <w:rFonts w:hint="eastAsia"/>
        </w:rPr>
        <w:t>，但是升幅卻不一樣，這基金應該做了一定分散。</w:t>
      </w:r>
      <w:proofErr w:type="gramStart"/>
      <w:r w:rsidR="00D23E43" w:rsidRPr="00806720">
        <w:rPr>
          <w:rFonts w:ascii="新細明體" w:eastAsia="新細明體" w:hAnsi="新細明體" w:cs="新細明體" w:hint="eastAsia"/>
        </w:rPr>
        <w:t>強積金</w:t>
      </w:r>
      <w:proofErr w:type="gramEnd"/>
      <w:r w:rsidR="00D23E43" w:rsidRPr="00806720">
        <w:rPr>
          <w:rFonts w:ascii="新細明體" w:eastAsia="新細明體" w:hAnsi="新細明體" w:cs="新細明體" w:hint="eastAsia"/>
        </w:rPr>
        <w:t>保守基金不受S&amp;P500走勢影響。</w:t>
      </w:r>
    </w:p>
    <w:p w14:paraId="758878CE" w14:textId="02E7690C" w:rsidR="00213449" w:rsidRPr="00806720" w:rsidRDefault="00213449" w:rsidP="006D739E"/>
    <w:p w14:paraId="3FDA680A" w14:textId="6A5A28DD" w:rsidR="006327F6" w:rsidRPr="00806720" w:rsidRDefault="006327F6" w:rsidP="006D739E">
      <w:r w:rsidRPr="00806720">
        <w:rPr>
          <w:noProof/>
        </w:rPr>
        <w:drawing>
          <wp:inline distT="0" distB="0" distL="0" distR="0" wp14:anchorId="1FDE987A" wp14:editId="64030339">
            <wp:extent cx="5943600" cy="2733040"/>
            <wp:effectExtent l="0" t="0" r="0" b="0"/>
            <wp:docPr id="19659745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4536" name=""/>
                    <pic:cNvPicPr/>
                  </pic:nvPicPr>
                  <pic:blipFill>
                    <a:blip r:embed="rId15"/>
                    <a:stretch>
                      <a:fillRect/>
                    </a:stretch>
                  </pic:blipFill>
                  <pic:spPr>
                    <a:xfrm>
                      <a:off x="0" y="0"/>
                      <a:ext cx="5943600" cy="2733040"/>
                    </a:xfrm>
                    <a:prstGeom prst="rect">
                      <a:avLst/>
                    </a:prstGeom>
                  </pic:spPr>
                </pic:pic>
              </a:graphicData>
            </a:graphic>
          </wp:inline>
        </w:drawing>
      </w:r>
    </w:p>
    <w:p w14:paraId="0ADB3B77" w14:textId="26467F77" w:rsidR="00D23E43" w:rsidRPr="00806720" w:rsidRDefault="00D23E43" w:rsidP="006D739E">
      <w:proofErr w:type="gramStart"/>
      <w:r w:rsidRPr="00806720">
        <w:rPr>
          <w:rFonts w:hint="eastAsia"/>
        </w:rPr>
        <w:t>這圖可以</w:t>
      </w:r>
      <w:proofErr w:type="gramEnd"/>
      <w:r w:rsidRPr="00806720">
        <w:rPr>
          <w:rFonts w:hint="eastAsia"/>
        </w:rPr>
        <w:t>看到和</w:t>
      </w:r>
      <w:r w:rsidRPr="00806720">
        <w:rPr>
          <w:rFonts w:hint="eastAsia"/>
        </w:rPr>
        <w:t>VOO</w:t>
      </w:r>
      <w:r w:rsidRPr="00806720">
        <w:rPr>
          <w:rFonts w:hint="eastAsia"/>
        </w:rPr>
        <w:t>比較都是負數</w:t>
      </w:r>
      <w:r w:rsidRPr="00806720">
        <w:rPr>
          <w:rFonts w:hint="eastAsia"/>
        </w:rPr>
        <w:t>alpha</w:t>
      </w:r>
      <w:r w:rsidRPr="00806720">
        <w:rPr>
          <w:rFonts w:hint="eastAsia"/>
        </w:rPr>
        <w:t>，意味相比</w:t>
      </w:r>
      <w:r w:rsidRPr="00806720">
        <w:rPr>
          <w:rFonts w:hint="eastAsia"/>
        </w:rPr>
        <w:t>VOO</w:t>
      </w:r>
      <w:r w:rsidRPr="00806720">
        <w:rPr>
          <w:rFonts w:hint="eastAsia"/>
        </w:rPr>
        <w:t>沒有額外回報，基金表現都比</w:t>
      </w:r>
      <w:r w:rsidRPr="00806720">
        <w:rPr>
          <w:rFonts w:hint="eastAsia"/>
        </w:rPr>
        <w:t>VOO</w:t>
      </w:r>
      <w:r w:rsidRPr="00806720">
        <w:rPr>
          <w:rFonts w:hint="eastAsia"/>
        </w:rPr>
        <w:t>差。但相反，和</w:t>
      </w:r>
      <w:r w:rsidRPr="00806720">
        <w:rPr>
          <w:rFonts w:hint="eastAsia"/>
        </w:rPr>
        <w:t>2800.HK</w:t>
      </w:r>
      <w:r w:rsidRPr="00806720">
        <w:rPr>
          <w:rFonts w:hint="eastAsia"/>
        </w:rPr>
        <w:t>比較大部分是</w:t>
      </w:r>
      <w:r w:rsidRPr="00806720">
        <w:rPr>
          <w:rFonts w:ascii="新細明體" w:eastAsia="新細明體" w:hAnsi="新細明體" w:cs="新細明體" w:hint="eastAsia"/>
        </w:rPr>
        <w:t>正</w:t>
      </w:r>
      <w:r w:rsidRPr="00806720">
        <w:rPr>
          <w:rFonts w:hint="eastAsia"/>
        </w:rPr>
        <w:t>數</w:t>
      </w:r>
      <w:r w:rsidRPr="00806720">
        <w:rPr>
          <w:rFonts w:hint="eastAsia"/>
        </w:rPr>
        <w:t>alpha</w:t>
      </w:r>
      <w:r w:rsidRPr="00806720">
        <w:rPr>
          <w:rFonts w:hint="eastAsia"/>
        </w:rPr>
        <w:t>，意味相比</w:t>
      </w:r>
      <w:r w:rsidRPr="00806720">
        <w:rPr>
          <w:rFonts w:hint="eastAsia"/>
        </w:rPr>
        <w:t>2800.HK</w:t>
      </w:r>
      <w:r w:rsidRPr="00806720">
        <w:rPr>
          <w:rFonts w:hint="eastAsia"/>
        </w:rPr>
        <w:t>有額外回報，基金表現都比</w:t>
      </w:r>
      <w:r w:rsidRPr="00806720">
        <w:rPr>
          <w:rFonts w:hint="eastAsia"/>
        </w:rPr>
        <w:t>2800.HK</w:t>
      </w:r>
      <w:r w:rsidRPr="00806720">
        <w:rPr>
          <w:rFonts w:hint="eastAsia"/>
        </w:rPr>
        <w:t>好。</w:t>
      </w:r>
    </w:p>
    <w:p w14:paraId="73125332" w14:textId="77777777" w:rsidR="00DC493F" w:rsidRPr="00806720" w:rsidRDefault="00000000">
      <w:pPr>
        <w:pStyle w:val="2"/>
        <w:rPr>
          <w:b w:val="0"/>
          <w:bCs w:val="0"/>
        </w:rPr>
      </w:pPr>
      <w:r w:rsidRPr="00806720">
        <w:rPr>
          <w:rFonts w:ascii="Arial Unicode MS" w:eastAsia="Arial Unicode MS" w:hAnsi="Arial Unicode MS" w:cs="Arial Unicode MS"/>
          <w:b w:val="0"/>
          <w:bCs w:val="0"/>
        </w:rPr>
        <w:t xml:space="preserve">4. </w:t>
      </w:r>
      <w:r w:rsidRPr="00806720">
        <w:rPr>
          <w:rFonts w:ascii="新細明體" w:eastAsia="新細明體" w:hAnsi="新細明體" w:cs="新細明體" w:hint="eastAsia"/>
          <w:b w:val="0"/>
          <w:bCs w:val="0"/>
        </w:rPr>
        <w:t>回歸分析</w:t>
      </w:r>
      <w:r w:rsidRPr="00806720">
        <w:rPr>
          <w:rFonts w:ascii="Arial Unicode MS" w:eastAsia="Arial Unicode MS" w:hAnsi="Arial Unicode MS" w:cs="Arial Unicode MS"/>
          <w:b w:val="0"/>
          <w:bCs w:val="0"/>
        </w:rPr>
        <w:t xml:space="preserve"> (Regression Analysis)</w:t>
      </w:r>
    </w:p>
    <w:p w14:paraId="210E927D" w14:textId="77777777" w:rsidR="00DC493F" w:rsidRPr="00806720" w:rsidRDefault="00000000">
      <w:pPr>
        <w:pBdr>
          <w:top w:val="nil"/>
          <w:left w:val="nil"/>
          <w:bottom w:val="nil"/>
          <w:right w:val="nil"/>
          <w:between w:val="nil"/>
        </w:pBdr>
        <w:spacing w:line="300" w:lineRule="auto"/>
      </w:pPr>
      <w:r w:rsidRPr="00806720">
        <w:rPr>
          <w:rFonts w:ascii="新細明體" w:eastAsia="新細明體" w:hAnsi="新細明體" w:cs="新細明體" w:hint="eastAsia"/>
        </w:rPr>
        <w:t>針對「美洲基金」與「北美股票基金」進行最小平方法</w:t>
      </w:r>
      <w:r w:rsidRPr="00806720">
        <w:rPr>
          <w:rFonts w:ascii="Arial Unicode MS" w:eastAsia="Arial Unicode MS" w:hAnsi="Arial Unicode MS" w:cs="Arial Unicode MS"/>
        </w:rPr>
        <w:t xml:space="preserve"> (OLS) </w:t>
      </w:r>
      <w:r w:rsidRPr="00806720">
        <w:rPr>
          <w:rFonts w:ascii="新細明體" w:eastAsia="新細明體" w:hAnsi="新細明體" w:cs="新細明體" w:hint="eastAsia"/>
        </w:rPr>
        <w:t>回歸：</w:t>
      </w:r>
    </w:p>
    <w:p w14:paraId="4716797C" w14:textId="0416C64C" w:rsidR="00DC493F" w:rsidRPr="00806720" w:rsidRDefault="00000000">
      <w:pPr>
        <w:pBdr>
          <w:top w:val="nil"/>
          <w:left w:val="nil"/>
          <w:bottom w:val="nil"/>
          <w:right w:val="nil"/>
          <w:between w:val="nil"/>
        </w:pBdr>
        <w:spacing w:before="225" w:after="225"/>
        <w:ind w:left="225" w:right="225"/>
        <w:rPr>
          <w:rFonts w:ascii="Courier" w:eastAsia="Courier" w:hAnsi="Courier" w:cs="Courier"/>
          <w:shd w:val="clear" w:color="auto" w:fill="F8F9FA"/>
        </w:rPr>
      </w:pPr>
      <w:r w:rsidRPr="00806720">
        <w:rPr>
          <w:rFonts w:ascii="Courier" w:eastAsia="Courier" w:hAnsi="Courier" w:cs="Courier"/>
          <w:shd w:val="clear" w:color="auto" w:fill="F8F9FA"/>
        </w:rPr>
        <w:t xml:space="preserve">Intercept (Alpha): </w:t>
      </w:r>
      <w:r w:rsidR="00195235" w:rsidRPr="00806720">
        <w:rPr>
          <w:rFonts w:ascii="Courier" w:eastAsia="Courier" w:hAnsi="Courier" w:cs="Courier"/>
          <w:shd w:val="clear" w:color="auto" w:fill="F8F9FA"/>
        </w:rPr>
        <w:t>0.000432108</w:t>
      </w:r>
      <w:r w:rsidRPr="00806720">
        <w:rPr>
          <w:rFonts w:ascii="Courier" w:eastAsia="Courier" w:hAnsi="Courier" w:cs="Courier"/>
          <w:shd w:val="clear" w:color="auto" w:fill="F8F9FA"/>
        </w:rPr>
        <w:t xml:space="preserve"> (P=</w:t>
      </w:r>
      <w:r w:rsidR="00195235" w:rsidRPr="00806720">
        <w:rPr>
          <w:rFonts w:ascii="Courier" w:eastAsia="Courier" w:hAnsi="Courier" w:cs="Courier"/>
          <w:shd w:val="clear" w:color="auto" w:fill="F8F9FA"/>
        </w:rPr>
        <w:t>0.63485484</w:t>
      </w:r>
      <w:r w:rsidRPr="00806720">
        <w:rPr>
          <w:rFonts w:ascii="Courier" w:eastAsia="Courier" w:hAnsi="Courier" w:cs="Courier"/>
          <w:shd w:val="clear" w:color="auto" w:fill="F8F9FA"/>
        </w:rPr>
        <w:t xml:space="preserve">, </w:t>
      </w:r>
      <w:r w:rsidRPr="00806720">
        <w:rPr>
          <w:rFonts w:ascii="新細明體" w:eastAsia="新細明體" w:hAnsi="新細明體" w:cs="新細明體" w:hint="eastAsia"/>
          <w:shd w:val="clear" w:color="auto" w:fill="F8F9FA"/>
        </w:rPr>
        <w:t>不顯著</w:t>
      </w:r>
      <w:r w:rsidRPr="00806720">
        <w:rPr>
          <w:rFonts w:ascii="Courier" w:eastAsia="Courier" w:hAnsi="Courier" w:cs="Courier"/>
          <w:shd w:val="clear" w:color="auto" w:fill="F8F9FA"/>
        </w:rPr>
        <w:t>)</w:t>
      </w:r>
      <w:r w:rsidRPr="00806720">
        <w:rPr>
          <w:rFonts w:ascii="Courier" w:eastAsia="Courier" w:hAnsi="Courier" w:cs="Courier"/>
          <w:shd w:val="clear" w:color="auto" w:fill="F8F9FA"/>
        </w:rPr>
        <w:br/>
      </w:r>
      <w:r w:rsidRPr="00806720">
        <w:rPr>
          <w:rFonts w:ascii="Courier" w:eastAsia="Courier" w:hAnsi="Courier" w:cs="Courier"/>
          <w:shd w:val="clear" w:color="auto" w:fill="F8F9FA"/>
        </w:rPr>
        <w:lastRenderedPageBreak/>
        <w:t xml:space="preserve">Slope (Beta): </w:t>
      </w:r>
      <w:r w:rsidR="00195235" w:rsidRPr="00806720">
        <w:rPr>
          <w:rFonts w:ascii="Courier" w:eastAsia="Courier" w:hAnsi="Courier" w:cs="Courier"/>
          <w:shd w:val="clear" w:color="auto" w:fill="F8F9FA"/>
        </w:rPr>
        <w:t>0.937825365</w:t>
      </w:r>
      <w:r w:rsidRPr="00806720">
        <w:rPr>
          <w:rFonts w:ascii="Courier" w:eastAsia="Courier" w:hAnsi="Courier" w:cs="Courier"/>
          <w:shd w:val="clear" w:color="auto" w:fill="F8F9FA"/>
        </w:rPr>
        <w:t xml:space="preserve"> (P</w:t>
      </w:r>
      <w:r w:rsidR="00195235" w:rsidRPr="00806720">
        <w:rPr>
          <w:rFonts w:ascii="Courier" w:hAnsi="Courier" w:cs="Courier" w:hint="eastAsia"/>
          <w:shd w:val="clear" w:color="auto" w:fill="F8F9FA"/>
        </w:rPr>
        <w:t>=</w:t>
      </w:r>
      <w:r w:rsidR="00195235" w:rsidRPr="00806720">
        <w:rPr>
          <w:rFonts w:ascii="Courier" w:hAnsi="Courier" w:cs="Courier"/>
          <w:shd w:val="clear" w:color="auto" w:fill="F8F9FA"/>
        </w:rPr>
        <w:t>8.72801E-78</w:t>
      </w:r>
      <w:r w:rsidRPr="00806720">
        <w:rPr>
          <w:rFonts w:ascii="Courier" w:eastAsia="Courier" w:hAnsi="Courier" w:cs="Courier"/>
          <w:shd w:val="clear" w:color="auto" w:fill="F8F9FA"/>
        </w:rPr>
        <w:t xml:space="preserve"> &lt; 0.001, </w:t>
      </w:r>
      <w:r w:rsidRPr="00806720">
        <w:rPr>
          <w:rFonts w:ascii="新細明體" w:eastAsia="新細明體" w:hAnsi="新細明體" w:cs="新細明體" w:hint="eastAsia"/>
          <w:shd w:val="clear" w:color="auto" w:fill="F8F9FA"/>
        </w:rPr>
        <w:t>極其顯著</w:t>
      </w:r>
      <w:r w:rsidRPr="00806720">
        <w:rPr>
          <w:rFonts w:ascii="Courier" w:eastAsia="Courier" w:hAnsi="Courier" w:cs="Courier"/>
          <w:shd w:val="clear" w:color="auto" w:fill="F8F9FA"/>
        </w:rPr>
        <w:t>)</w:t>
      </w:r>
      <w:r w:rsidRPr="00806720">
        <w:rPr>
          <w:rFonts w:ascii="Courier" w:eastAsia="Courier" w:hAnsi="Courier" w:cs="Courier"/>
          <w:shd w:val="clear" w:color="auto" w:fill="F8F9FA"/>
        </w:rPr>
        <w:br/>
        <w:t xml:space="preserve">R-Squared: </w:t>
      </w:r>
      <w:r w:rsidR="00195235" w:rsidRPr="00806720">
        <w:rPr>
          <w:rFonts w:ascii="Courier" w:eastAsia="Courier" w:hAnsi="Courier" w:cs="Courier"/>
          <w:shd w:val="clear" w:color="auto" w:fill="F8F9FA"/>
        </w:rPr>
        <w:t>0.964256494</w:t>
      </w:r>
      <w:r w:rsidRPr="00806720">
        <w:rPr>
          <w:rFonts w:ascii="Courier" w:eastAsia="Courier" w:hAnsi="Courier" w:cs="Courier"/>
          <w:shd w:val="clear" w:color="auto" w:fill="F8F9FA"/>
        </w:rPr>
        <w:br/>
      </w:r>
    </w:p>
    <w:p w14:paraId="443F6D1A" w14:textId="694C7436" w:rsidR="00DC493F" w:rsidRPr="00806720" w:rsidRDefault="00000000">
      <w:pPr>
        <w:pBdr>
          <w:top w:val="nil"/>
          <w:left w:val="nil"/>
          <w:bottom w:val="nil"/>
          <w:right w:val="nil"/>
          <w:between w:val="nil"/>
        </w:pBdr>
        <w:spacing w:after="225" w:line="300" w:lineRule="auto"/>
        <w:rPr>
          <w:rFonts w:ascii="Arial Unicode MS" w:hAnsi="Arial Unicode MS" w:cs="Arial Unicode MS" w:hint="eastAsia"/>
        </w:rPr>
      </w:pPr>
      <w:r w:rsidRPr="00806720">
        <w:rPr>
          <w:rFonts w:ascii="新細明體" w:eastAsia="新細明體" w:hAnsi="新細明體" w:cs="新細明體" w:hint="eastAsia"/>
        </w:rPr>
        <w:t>結論：</w:t>
      </w:r>
      <w:r w:rsidRPr="00806720">
        <w:rPr>
          <w:rFonts w:ascii="Arial Unicode MS" w:eastAsia="Arial Unicode MS" w:hAnsi="Arial Unicode MS" w:cs="Arial Unicode MS"/>
        </w:rPr>
        <w:t xml:space="preserve"> </w:t>
      </w:r>
      <w:r w:rsidR="006D02E9" w:rsidRPr="00806720">
        <w:rPr>
          <w:rFonts w:ascii="新細明體" w:eastAsia="新細明體" w:hAnsi="新細明體" w:cs="新細明體" w:hint="eastAsia"/>
        </w:rPr>
        <w:t>北美基金為主動式基金，而美洲基金為指數式基金，北美基金</w:t>
      </w:r>
      <w:r w:rsidRPr="00806720">
        <w:rPr>
          <w:rFonts w:ascii="Arial Unicode MS" w:eastAsia="Arial Unicode MS" w:hAnsi="Arial Unicode MS" w:cs="Arial Unicode MS"/>
        </w:rPr>
        <w:t xml:space="preserve"> Beta </w:t>
      </w:r>
      <w:r w:rsidRPr="00806720">
        <w:rPr>
          <w:rFonts w:ascii="新細明體" w:eastAsia="新細明體" w:hAnsi="新細明體" w:cs="新細明體" w:hint="eastAsia"/>
        </w:rPr>
        <w:t>值在統計學上與</w:t>
      </w:r>
      <w:r w:rsidRPr="00806720">
        <w:rPr>
          <w:rFonts w:ascii="Arial Unicode MS" w:eastAsia="Arial Unicode MS" w:hAnsi="Arial Unicode MS" w:cs="Arial Unicode MS"/>
        </w:rPr>
        <w:t xml:space="preserve"> 1 </w:t>
      </w:r>
      <w:r w:rsidRPr="00806720">
        <w:rPr>
          <w:rFonts w:ascii="新細明體" w:eastAsia="新細明體" w:hAnsi="新細明體" w:cs="新細明體" w:hint="eastAsia"/>
        </w:rPr>
        <w:t>無異，證明兩者為影子基金。</w:t>
      </w:r>
      <w:proofErr w:type="gramStart"/>
      <w:r w:rsidRPr="00806720">
        <w:rPr>
          <w:rFonts w:ascii="新細明體" w:eastAsia="新細明體" w:hAnsi="新細明體" w:cs="新細明體" w:hint="eastAsia"/>
        </w:rPr>
        <w:t>此外，</w:t>
      </w:r>
      <w:proofErr w:type="gramEnd"/>
      <w:r w:rsidRPr="00806720">
        <w:rPr>
          <w:rFonts w:ascii="Arial Unicode MS" w:eastAsia="Arial Unicode MS" w:hAnsi="Arial Unicode MS" w:cs="Arial Unicode MS"/>
        </w:rPr>
        <w:t xml:space="preserve">Alpha </w:t>
      </w:r>
      <w:r w:rsidRPr="00806720">
        <w:rPr>
          <w:rFonts w:ascii="新細明體" w:eastAsia="新細明體" w:hAnsi="新細明體" w:cs="新細明體" w:hint="eastAsia"/>
        </w:rPr>
        <w:t>不顯著代表該基金未能在大盤之外創造額外超額收益。</w:t>
      </w:r>
    </w:p>
    <w:p w14:paraId="10E1E998" w14:textId="311EE7B5" w:rsidR="006D02E9" w:rsidRPr="00806720" w:rsidRDefault="006D02E9" w:rsidP="006D02E9">
      <w:pPr>
        <w:pBdr>
          <w:top w:val="nil"/>
          <w:left w:val="nil"/>
          <w:bottom w:val="nil"/>
          <w:right w:val="nil"/>
          <w:between w:val="nil"/>
        </w:pBdr>
        <w:spacing w:line="300" w:lineRule="auto"/>
      </w:pPr>
      <w:r w:rsidRPr="00806720">
        <w:rPr>
          <w:rFonts w:ascii="新細明體" w:eastAsia="新細明體" w:hAnsi="新細明體" w:cs="新細明體" w:hint="eastAsia"/>
        </w:rPr>
        <w:t>針對「</w:t>
      </w:r>
      <w:proofErr w:type="gramStart"/>
      <w:r w:rsidRPr="00806720">
        <w:rPr>
          <w:rFonts w:ascii="新細明體" w:eastAsia="新細明體" w:hAnsi="新細明體" w:cs="新細明體" w:hint="eastAsia"/>
        </w:rPr>
        <w:t>強積金</w:t>
      </w:r>
      <w:proofErr w:type="gramEnd"/>
      <w:r w:rsidRPr="00806720">
        <w:rPr>
          <w:rFonts w:ascii="新細明體" w:eastAsia="新細明體" w:hAnsi="新細明體" w:cs="新細明體" w:hint="eastAsia"/>
        </w:rPr>
        <w:t>保守基金」進行最小平方法</w:t>
      </w:r>
      <w:r w:rsidRPr="00806720">
        <w:rPr>
          <w:rFonts w:ascii="Arial Unicode MS" w:eastAsia="Arial Unicode MS" w:hAnsi="Arial Unicode MS" w:cs="Arial Unicode MS"/>
        </w:rPr>
        <w:t xml:space="preserve"> (OLS) </w:t>
      </w:r>
      <w:r w:rsidRPr="00806720">
        <w:rPr>
          <w:rFonts w:ascii="新細明體" w:eastAsia="新細明體" w:hAnsi="新細明體" w:cs="新細明體" w:hint="eastAsia"/>
        </w:rPr>
        <w:t>回歸：</w:t>
      </w:r>
    </w:p>
    <w:p w14:paraId="5503E12A" w14:textId="058DD1B3" w:rsidR="006D02E9" w:rsidRPr="00806720" w:rsidRDefault="006D02E9">
      <w:pPr>
        <w:pBdr>
          <w:top w:val="nil"/>
          <w:left w:val="nil"/>
          <w:bottom w:val="nil"/>
          <w:right w:val="nil"/>
          <w:between w:val="nil"/>
        </w:pBdr>
        <w:spacing w:after="225" w:line="300" w:lineRule="auto"/>
        <w:rPr>
          <w:rFonts w:ascii="Arial Unicode MS" w:hAnsi="Arial Unicode MS" w:cs="Arial Unicode MS" w:hint="eastAsia"/>
        </w:rPr>
      </w:pPr>
      <w:r w:rsidRPr="00806720">
        <w:rPr>
          <w:rFonts w:ascii="Courier" w:eastAsia="Courier" w:hAnsi="Courier" w:cs="Courier"/>
          <w:shd w:val="clear" w:color="auto" w:fill="F8F9FA"/>
        </w:rPr>
        <w:t>Intercept (Alpha): 0.001109849 (P=</w:t>
      </w:r>
      <w:r w:rsidRPr="00806720">
        <w:t xml:space="preserve"> </w:t>
      </w:r>
      <w:r w:rsidRPr="00806720">
        <w:rPr>
          <w:rFonts w:ascii="Courier" w:eastAsia="Courier" w:hAnsi="Courier" w:cs="Courier"/>
          <w:shd w:val="clear" w:color="auto" w:fill="F8F9FA"/>
        </w:rPr>
        <w:t xml:space="preserve">2.81287E-19, </w:t>
      </w:r>
      <w:r w:rsidRPr="00806720">
        <w:rPr>
          <w:rFonts w:ascii="新細明體" w:eastAsia="新細明體" w:hAnsi="新細明體" w:cs="新細明體" w:hint="eastAsia"/>
          <w:shd w:val="clear" w:color="auto" w:fill="F8F9FA"/>
        </w:rPr>
        <w:t>顯著</w:t>
      </w:r>
      <w:r w:rsidRPr="00806720">
        <w:rPr>
          <w:rFonts w:ascii="Courier" w:eastAsia="Courier" w:hAnsi="Courier" w:cs="Courier"/>
          <w:shd w:val="clear" w:color="auto" w:fill="F8F9FA"/>
        </w:rPr>
        <w:t>)</w:t>
      </w:r>
      <w:r w:rsidRPr="00806720">
        <w:rPr>
          <w:rFonts w:ascii="Courier" w:eastAsia="Courier" w:hAnsi="Courier" w:cs="Courier"/>
          <w:shd w:val="clear" w:color="auto" w:fill="F8F9FA"/>
        </w:rPr>
        <w:br/>
        <w:t>Slope (Beta): 0.001356237 (P</w:t>
      </w:r>
      <w:r w:rsidRPr="00806720">
        <w:rPr>
          <w:rFonts w:ascii="Courier" w:hAnsi="Courier" w:cs="Courier" w:hint="eastAsia"/>
          <w:shd w:val="clear" w:color="auto" w:fill="F8F9FA"/>
        </w:rPr>
        <w:t>=</w:t>
      </w:r>
      <w:r w:rsidRPr="00806720">
        <w:t xml:space="preserve"> </w:t>
      </w:r>
      <w:r w:rsidRPr="00806720">
        <w:rPr>
          <w:rFonts w:ascii="Courier" w:hAnsi="Courier" w:cs="Courier"/>
          <w:shd w:val="clear" w:color="auto" w:fill="F8F9FA"/>
        </w:rPr>
        <w:t>0.418810164</w:t>
      </w:r>
      <w:r w:rsidRPr="00806720">
        <w:rPr>
          <w:rFonts w:ascii="Courier" w:eastAsia="Courier" w:hAnsi="Courier" w:cs="Courier"/>
          <w:shd w:val="clear" w:color="auto" w:fill="F8F9FA"/>
        </w:rPr>
        <w:t xml:space="preserve"> </w:t>
      </w:r>
      <w:r w:rsidRPr="00806720">
        <w:rPr>
          <w:rFonts w:ascii="Courier" w:hAnsi="Courier" w:cs="Courier" w:hint="eastAsia"/>
          <w:shd w:val="clear" w:color="auto" w:fill="F8F9FA"/>
        </w:rPr>
        <w:t>&gt;</w:t>
      </w:r>
      <w:r w:rsidRPr="00806720">
        <w:rPr>
          <w:rFonts w:ascii="Courier" w:eastAsia="Courier" w:hAnsi="Courier" w:cs="Courier"/>
          <w:shd w:val="clear" w:color="auto" w:fill="F8F9FA"/>
        </w:rPr>
        <w:t xml:space="preserve"> 0.001, </w:t>
      </w:r>
      <w:r w:rsidRPr="00806720">
        <w:rPr>
          <w:rFonts w:ascii="新細明體" w:eastAsia="新細明體" w:hAnsi="新細明體" w:cs="新細明體" w:hint="eastAsia"/>
          <w:shd w:val="clear" w:color="auto" w:fill="F8F9FA"/>
        </w:rPr>
        <w:t>不顯著</w:t>
      </w:r>
      <w:r w:rsidRPr="00806720">
        <w:rPr>
          <w:rFonts w:ascii="Courier" w:eastAsia="Courier" w:hAnsi="Courier" w:cs="Courier"/>
          <w:shd w:val="clear" w:color="auto" w:fill="F8F9FA"/>
        </w:rPr>
        <w:t>)</w:t>
      </w:r>
      <w:r w:rsidRPr="00806720">
        <w:rPr>
          <w:rFonts w:ascii="Courier" w:eastAsia="Courier" w:hAnsi="Courier" w:cs="Courier"/>
          <w:shd w:val="clear" w:color="auto" w:fill="F8F9FA"/>
        </w:rPr>
        <w:br/>
        <w:t>R-Squared: 0.00623543</w:t>
      </w:r>
    </w:p>
    <w:p w14:paraId="54FD4DEC" w14:textId="3C397864" w:rsidR="006D02E9" w:rsidRPr="00806720" w:rsidRDefault="006D02E9" w:rsidP="003C3B80">
      <w:pPr>
        <w:rPr>
          <w:rFonts w:ascii="Arial Unicode MS" w:hAnsi="Arial Unicode MS" w:cs="Arial Unicode MS" w:hint="eastAsia"/>
        </w:rPr>
      </w:pPr>
      <w:r w:rsidRPr="00806720">
        <w:rPr>
          <w:rFonts w:ascii="新細明體" w:eastAsia="新細明體" w:hAnsi="新細明體" w:cs="新細明體" w:hint="eastAsia"/>
        </w:rPr>
        <w:t>結論：</w:t>
      </w:r>
      <w:r w:rsidRPr="00806720">
        <w:rPr>
          <w:rFonts w:ascii="Arial Unicode MS" w:eastAsia="Arial Unicode MS" w:hAnsi="Arial Unicode MS" w:cs="Arial Unicode MS"/>
        </w:rPr>
        <w:t xml:space="preserve"> </w:t>
      </w:r>
      <w:proofErr w:type="gramStart"/>
      <w:r w:rsidRPr="00806720">
        <w:rPr>
          <w:rFonts w:ascii="新細明體" w:eastAsia="新細明體" w:hAnsi="新細明體" w:cs="新細明體"/>
        </w:rPr>
        <w:t>強積金</w:t>
      </w:r>
      <w:proofErr w:type="gramEnd"/>
      <w:r w:rsidRPr="00806720">
        <w:rPr>
          <w:rFonts w:ascii="新細明體" w:eastAsia="新細明體" w:hAnsi="新細明體" w:cs="新細明體"/>
        </w:rPr>
        <w:t>保守基金</w:t>
      </w:r>
      <w:r w:rsidRPr="00806720">
        <w:rPr>
          <w:rFonts w:ascii="新細明體" w:eastAsia="新細明體" w:hAnsi="新細明體" w:cs="新細明體" w:hint="eastAsia"/>
        </w:rPr>
        <w:t>在</w:t>
      </w:r>
      <w:r w:rsidRPr="00806720">
        <w:rPr>
          <w:rFonts w:ascii="Arial Unicode MS" w:eastAsia="Arial Unicode MS" w:hAnsi="Arial Unicode MS" w:cs="Arial Unicode MS"/>
        </w:rPr>
        <w:t xml:space="preserve"> Beta </w:t>
      </w:r>
      <w:r w:rsidRPr="00806720">
        <w:rPr>
          <w:rFonts w:ascii="新細明體" w:eastAsia="新細明體" w:hAnsi="新細明體" w:cs="新細明體" w:hint="eastAsia"/>
        </w:rPr>
        <w:t>值在統計學上無法證明</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0</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有異，</w:t>
      </w:r>
      <w:r w:rsidRPr="00806720">
        <w:rPr>
          <w:rFonts w:ascii="Arial Unicode MS" w:eastAsia="Arial Unicode MS" w:hAnsi="Arial Unicode MS" w:cs="Arial Unicode MS"/>
        </w:rPr>
        <w:t>R-Squared</w:t>
      </w:r>
      <w:proofErr w:type="gramStart"/>
      <w:r w:rsidRPr="00806720">
        <w:rPr>
          <w:rFonts w:ascii="新細明體" w:eastAsia="新細明體" w:hAnsi="新細明體" w:cs="新細明體" w:hint="eastAsia"/>
        </w:rPr>
        <w:t>證明</w:t>
      </w:r>
      <w:r w:rsidRPr="00806720">
        <w:rPr>
          <w:rFonts w:ascii="新細明體" w:eastAsia="新細明體" w:hAnsi="新細明體" w:cs="新細明體"/>
        </w:rPr>
        <w:t>強積金</w:t>
      </w:r>
      <w:proofErr w:type="gramEnd"/>
      <w:r w:rsidRPr="00806720">
        <w:rPr>
          <w:rFonts w:ascii="新細明體" w:eastAsia="新細明體" w:hAnsi="新細明體" w:cs="新細明體"/>
        </w:rPr>
        <w:t>保守基金</w:t>
      </w:r>
      <w:r w:rsidRPr="00806720">
        <w:rPr>
          <w:rFonts w:ascii="新細明體" w:eastAsia="新細明體" w:hAnsi="新細明體" w:cs="新細明體" w:hint="eastAsia"/>
        </w:rPr>
        <w:t>與VOO</w:t>
      </w:r>
      <w:r w:rsidR="003C3B80" w:rsidRPr="00806720">
        <w:rPr>
          <w:rFonts w:ascii="新細明體" w:eastAsia="新細明體" w:hAnsi="新細明體" w:cs="新細明體" w:hint="eastAsia"/>
        </w:rPr>
        <w:t>無關</w:t>
      </w:r>
      <w:r w:rsidRPr="00806720">
        <w:rPr>
          <w:rFonts w:ascii="新細明體" w:eastAsia="新細明體" w:hAnsi="新細明體" w:cs="新細明體" w:hint="eastAsia"/>
        </w:rPr>
        <w:t>，</w:t>
      </w:r>
      <w:r w:rsidR="003C3B80" w:rsidRPr="00806720">
        <w:rPr>
          <w:rFonts w:ascii="新細明體" w:eastAsia="新細明體" w:hAnsi="新細明體" w:cs="新細明體" w:hint="eastAsia"/>
        </w:rPr>
        <w:t>而它的std只有</w:t>
      </w:r>
      <w:r w:rsidR="003C3B80" w:rsidRPr="00806720">
        <w:rPr>
          <w:rFonts w:ascii="新細明體" w:eastAsia="新細明體" w:hAnsi="新細明體" w:cs="Times New Roman"/>
          <w:color w:val="000000"/>
          <w:sz w:val="24"/>
          <w:szCs w:val="24"/>
        </w:rPr>
        <w:t>0.001031792</w:t>
      </w:r>
      <w:r w:rsidR="003C3B80" w:rsidRPr="00806720">
        <w:rPr>
          <w:rFonts w:ascii="新細明體" w:eastAsia="新細明體" w:hAnsi="新細明體" w:cs="Times New Roman" w:hint="eastAsia"/>
          <w:color w:val="000000"/>
          <w:sz w:val="24"/>
          <w:szCs w:val="24"/>
        </w:rPr>
        <w:t>，</w:t>
      </w:r>
      <w:r w:rsidR="003C3B80" w:rsidRPr="00806720">
        <w:rPr>
          <w:rFonts w:ascii="新細明體" w:eastAsia="新細明體" w:hAnsi="新細明體" w:cs="新細明體" w:hint="eastAsia"/>
        </w:rPr>
        <w:t>為10隻基金最低，</w:t>
      </w:r>
      <w:r w:rsidRPr="00806720">
        <w:rPr>
          <w:rFonts w:ascii="新細明體" w:eastAsia="新細明體" w:hAnsi="新細明體" w:cs="新細明體" w:hint="eastAsia"/>
        </w:rPr>
        <w:t>因此可以推斷這是無風險資產。</w:t>
      </w:r>
    </w:p>
    <w:p w14:paraId="1C680879" w14:textId="77777777" w:rsidR="006D02E9" w:rsidRPr="00806720" w:rsidRDefault="006D02E9">
      <w:pPr>
        <w:pBdr>
          <w:top w:val="nil"/>
          <w:left w:val="nil"/>
          <w:bottom w:val="nil"/>
          <w:right w:val="nil"/>
          <w:between w:val="nil"/>
        </w:pBdr>
        <w:spacing w:after="225" w:line="300" w:lineRule="auto"/>
      </w:pPr>
    </w:p>
    <w:p w14:paraId="50495D3B" w14:textId="77777777" w:rsidR="00DC493F" w:rsidRPr="00806720" w:rsidRDefault="00000000">
      <w:pPr>
        <w:pStyle w:val="2"/>
        <w:spacing w:before="0"/>
        <w:rPr>
          <w:rFonts w:ascii="Arial Unicode MS" w:hAnsi="Arial Unicode MS" w:cs="Arial Unicode MS" w:hint="eastAsia"/>
          <w:b w:val="0"/>
          <w:bCs w:val="0"/>
        </w:rPr>
      </w:pPr>
      <w:r w:rsidRPr="00806720">
        <w:rPr>
          <w:rFonts w:ascii="Arial Unicode MS" w:eastAsia="Arial Unicode MS" w:hAnsi="Arial Unicode MS" w:cs="Arial Unicode MS"/>
          <w:b w:val="0"/>
          <w:bCs w:val="0"/>
        </w:rPr>
        <w:t xml:space="preserve">5. </w:t>
      </w:r>
      <w:proofErr w:type="gramStart"/>
      <w:r w:rsidRPr="00806720">
        <w:rPr>
          <w:rFonts w:ascii="新細明體" w:eastAsia="新細明體" w:hAnsi="新細明體" w:cs="新細明體" w:hint="eastAsia"/>
          <w:b w:val="0"/>
          <w:bCs w:val="0"/>
        </w:rPr>
        <w:t>聚類分析</w:t>
      </w:r>
      <w:proofErr w:type="gramEnd"/>
      <w:r w:rsidRPr="00806720">
        <w:rPr>
          <w:rFonts w:ascii="Arial Unicode MS" w:eastAsia="Arial Unicode MS" w:hAnsi="Arial Unicode MS" w:cs="Arial Unicode MS"/>
          <w:b w:val="0"/>
          <w:bCs w:val="0"/>
        </w:rPr>
        <w:t xml:space="preserve"> (Clustering)</w:t>
      </w:r>
    </w:p>
    <w:p w14:paraId="36E993E8" w14:textId="4A04F931" w:rsidR="0048362D" w:rsidRPr="00806720" w:rsidRDefault="0048362D" w:rsidP="0048362D">
      <w:r w:rsidRPr="00806720">
        <w:rPr>
          <w:rFonts w:hint="eastAsia"/>
          <w:noProof/>
        </w:rPr>
        <w:drawing>
          <wp:inline distT="0" distB="0" distL="0" distR="0" wp14:anchorId="3BD89CC0" wp14:editId="42D157D1">
            <wp:extent cx="5943600" cy="4278630"/>
            <wp:effectExtent l="0" t="0" r="0" b="7620"/>
            <wp:docPr id="19915969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6950" name="圖片 1991596950"/>
                    <pic:cNvPicPr/>
                  </pic:nvPicPr>
                  <pic:blipFill>
                    <a:blip r:embed="rId16">
                      <a:extLst>
                        <a:ext uri="{28A0092B-C50C-407E-A947-70E740481C1C}">
                          <a14:useLocalDpi xmlns:a14="http://schemas.microsoft.com/office/drawing/2010/main" val="0"/>
                        </a:ext>
                      </a:extLst>
                    </a:blip>
                    <a:stretch>
                      <a:fillRect/>
                    </a:stretch>
                  </pic:blipFill>
                  <pic:spPr>
                    <a:xfrm>
                      <a:off x="0" y="0"/>
                      <a:ext cx="5943600" cy="4278630"/>
                    </a:xfrm>
                    <a:prstGeom prst="rect">
                      <a:avLst/>
                    </a:prstGeom>
                  </pic:spPr>
                </pic:pic>
              </a:graphicData>
            </a:graphic>
          </wp:inline>
        </w:drawing>
      </w:r>
    </w:p>
    <w:p w14:paraId="298A71A8" w14:textId="77777777" w:rsidR="00DC493F" w:rsidRPr="00806720" w:rsidRDefault="00000000">
      <w:pPr>
        <w:pBdr>
          <w:top w:val="nil"/>
          <w:left w:val="nil"/>
          <w:bottom w:val="nil"/>
          <w:right w:val="nil"/>
          <w:between w:val="nil"/>
        </w:pBdr>
        <w:spacing w:line="300" w:lineRule="auto"/>
      </w:pPr>
      <w:r w:rsidRPr="00806720">
        <w:rPr>
          <w:rFonts w:ascii="新細明體" w:eastAsia="新細明體" w:hAnsi="新細明體" w:cs="新細明體" w:hint="eastAsia"/>
        </w:rPr>
        <w:t>採用</w:t>
      </w:r>
      <w:r w:rsidRPr="00806720">
        <w:rPr>
          <w:rFonts w:ascii="Arial Unicode MS" w:eastAsia="Arial Unicode MS" w:hAnsi="Arial Unicode MS" w:cs="Arial Unicode MS"/>
        </w:rPr>
        <w:t xml:space="preserve"> K-Means </w:t>
      </w:r>
      <w:r w:rsidRPr="00806720">
        <w:rPr>
          <w:rFonts w:ascii="新細明體" w:eastAsia="新細明體" w:hAnsi="新細明體" w:cs="新細明體" w:hint="eastAsia"/>
        </w:rPr>
        <w:t>演算法將基金劃分為三個群組：</w:t>
      </w:r>
    </w:p>
    <w:p w14:paraId="3F370FF9" w14:textId="1F4E830C" w:rsidR="00DC493F" w:rsidRPr="00806720" w:rsidRDefault="00000000" w:rsidP="0048362D">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00DD1EB7" w:rsidRPr="00806720">
        <w:rPr>
          <w:rFonts w:ascii="Arial Unicode MS" w:hAnsi="Arial Unicode MS" w:cs="Arial Unicode MS" w:hint="eastAsia"/>
        </w:rPr>
        <w:t>0</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高效能區</w:t>
      </w:r>
      <w:r w:rsidRPr="00806720">
        <w:rPr>
          <w:rFonts w:ascii="Arial Unicode MS" w:eastAsia="Arial Unicode MS" w:hAnsi="Arial Unicode MS" w:cs="Arial Unicode MS"/>
        </w:rPr>
        <w:t>)</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北美股票、美洲基金</w:t>
      </w:r>
      <w:r w:rsidR="0048362D" w:rsidRPr="00806720">
        <w:rPr>
          <w:rFonts w:ascii="新細明體" w:eastAsia="新細明體" w:hAnsi="新細明體" w:cs="新細明體" w:hint="eastAsia"/>
        </w:rPr>
        <w:t>、亞洲股票基金、核心累積基金</w:t>
      </w:r>
      <w:r w:rsidRPr="00806720">
        <w:rPr>
          <w:rFonts w:ascii="新細明體" w:eastAsia="新細明體" w:hAnsi="新細明體" w:cs="新細明體" w:hint="eastAsia"/>
        </w:rPr>
        <w:t>。特點：高回報</w:t>
      </w:r>
      <w:r w:rsidRPr="00806720">
        <w:rPr>
          <w:rFonts w:ascii="新細明體" w:eastAsia="新細明體" w:hAnsi="新細明體" w:cs="新細明體" w:hint="eastAsia"/>
        </w:rPr>
        <w:lastRenderedPageBreak/>
        <w:t>補償了其高波動。</w:t>
      </w:r>
    </w:p>
    <w:p w14:paraId="3E6CAA69" w14:textId="5FF45269" w:rsidR="00DC493F" w:rsidRPr="00806720" w:rsidRDefault="00000000">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00DD1EB7" w:rsidRPr="00806720">
        <w:rPr>
          <w:rFonts w:ascii="Arial Unicode MS" w:hAnsi="Arial Unicode MS" w:cs="Arial Unicode MS" w:hint="eastAsia"/>
        </w:rPr>
        <w:t>1</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低效能區</w:t>
      </w:r>
      <w:r w:rsidRPr="00806720">
        <w:rPr>
          <w:rFonts w:ascii="Arial Unicode MS" w:eastAsia="Arial Unicode MS" w:hAnsi="Arial Unicode MS" w:cs="Arial Unicode MS"/>
        </w:rPr>
        <w:t>)</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中港基金</w:t>
      </w:r>
      <w:r w:rsidR="0048362D" w:rsidRPr="00806720">
        <w:rPr>
          <w:rFonts w:ascii="新細明體" w:eastAsia="新細明體" w:hAnsi="新細明體" w:cs="新細明體" w:hint="eastAsia"/>
        </w:rPr>
        <w:t>、增長組合、</w:t>
      </w:r>
      <w:r w:rsidR="0048362D" w:rsidRPr="00806720">
        <w:rPr>
          <w:rFonts w:ascii="新細明體" w:eastAsia="新細明體" w:hAnsi="新細明體" w:cs="新細明體"/>
        </w:rPr>
        <w:t>基金經理精選退休基</w:t>
      </w:r>
      <w:r w:rsidR="0048362D" w:rsidRPr="00806720">
        <w:rPr>
          <w:rFonts w:ascii="新細明體" w:eastAsia="新細明體" w:hAnsi="新細明體" w:cs="新細明體" w:hint="eastAsia"/>
        </w:rPr>
        <w:t>金、</w:t>
      </w:r>
      <w:r w:rsidR="0048362D" w:rsidRPr="00806720">
        <w:rPr>
          <w:rFonts w:ascii="新細明體" w:eastAsia="新細明體" w:hAnsi="新細明體" w:cs="新細明體"/>
        </w:rPr>
        <w:t>均衡組合</w:t>
      </w:r>
      <w:r w:rsidRPr="00806720">
        <w:rPr>
          <w:rFonts w:ascii="新細明體" w:eastAsia="新細明體" w:hAnsi="新細明體" w:cs="新細明體" w:hint="eastAsia"/>
        </w:rPr>
        <w:t>。特點：波動率極高但回報落後。</w:t>
      </w:r>
    </w:p>
    <w:p w14:paraId="69D247A6" w14:textId="1B19354E" w:rsidR="00DC493F" w:rsidRPr="00806720" w:rsidRDefault="00000000">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00DD1EB7" w:rsidRPr="00806720">
        <w:rPr>
          <w:rFonts w:ascii="Arial Unicode MS" w:hAnsi="Arial Unicode MS" w:cs="Arial Unicode MS" w:hint="eastAsia"/>
        </w:rPr>
        <w:t>2</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穩健避險區</w:t>
      </w:r>
      <w:r w:rsidRPr="00806720">
        <w:rPr>
          <w:rFonts w:ascii="Arial Unicode MS" w:eastAsia="Arial Unicode MS" w:hAnsi="Arial Unicode MS" w:cs="Arial Unicode MS"/>
        </w:rPr>
        <w:t>)</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proofErr w:type="gramStart"/>
      <w:r w:rsidRPr="00806720">
        <w:rPr>
          <w:rFonts w:ascii="新細明體" w:eastAsia="新細明體" w:hAnsi="新細明體" w:cs="新細明體" w:hint="eastAsia"/>
        </w:rPr>
        <w:t>強積金</w:t>
      </w:r>
      <w:proofErr w:type="gramEnd"/>
      <w:r w:rsidRPr="00806720">
        <w:rPr>
          <w:rFonts w:ascii="新細明體" w:eastAsia="新細明體" w:hAnsi="新細明體" w:cs="新細明體" w:hint="eastAsia"/>
        </w:rPr>
        <w:t>保守基金</w:t>
      </w:r>
      <w:r w:rsidR="0048362D" w:rsidRPr="00806720">
        <w:rPr>
          <w:rFonts w:ascii="新細明體" w:eastAsia="新細明體" w:hAnsi="新細明體" w:cs="新細明體" w:hint="eastAsia"/>
        </w:rPr>
        <w:t>和</w:t>
      </w:r>
      <w:r w:rsidR="0048362D" w:rsidRPr="00806720">
        <w:rPr>
          <w:rFonts w:ascii="新細明體" w:eastAsia="新細明體" w:hAnsi="新細明體" w:cs="新細明體"/>
        </w:rPr>
        <w:t>亞洲債券基金</w:t>
      </w:r>
      <w:r w:rsidRPr="00806720">
        <w:rPr>
          <w:rFonts w:ascii="新細明體" w:eastAsia="新細明體" w:hAnsi="新細明體" w:cs="新細明體" w:hint="eastAsia"/>
        </w:rPr>
        <w:t>。特點：</w:t>
      </w:r>
      <w:r w:rsidRPr="00806720">
        <w:rPr>
          <w:rFonts w:ascii="Arial Unicode MS" w:eastAsia="Arial Unicode MS" w:hAnsi="Arial Unicode MS" w:cs="Arial Unicode MS"/>
        </w:rPr>
        <w:t xml:space="preserve">Beta </w:t>
      </w:r>
      <w:r w:rsidRPr="00806720">
        <w:rPr>
          <w:rFonts w:ascii="新細明體" w:eastAsia="新細明體" w:hAnsi="新細明體" w:cs="新細明體" w:hint="eastAsia"/>
        </w:rPr>
        <w:t>趨近於</w:t>
      </w:r>
      <w:r w:rsidRPr="00806720">
        <w:rPr>
          <w:rFonts w:ascii="Arial Unicode MS" w:eastAsia="Arial Unicode MS" w:hAnsi="Arial Unicode MS" w:cs="Arial Unicode MS"/>
        </w:rPr>
        <w:t xml:space="preserve"> 0</w:t>
      </w:r>
      <w:r w:rsidRPr="00806720">
        <w:rPr>
          <w:rFonts w:ascii="新細明體" w:eastAsia="新細明體" w:hAnsi="新細明體" w:cs="新細明體" w:hint="eastAsia"/>
        </w:rPr>
        <w:t>，與市場完全脫</w:t>
      </w:r>
      <w:proofErr w:type="gramStart"/>
      <w:r w:rsidRPr="00806720">
        <w:rPr>
          <w:rFonts w:ascii="新細明體" w:eastAsia="新細明體" w:hAnsi="新細明體" w:cs="新細明體" w:hint="eastAsia"/>
        </w:rPr>
        <w:t>鉤</w:t>
      </w:r>
      <w:proofErr w:type="gramEnd"/>
      <w:r w:rsidRPr="00806720">
        <w:rPr>
          <w:rFonts w:ascii="新細明體" w:eastAsia="新細明體" w:hAnsi="新細明體" w:cs="新細明體" w:hint="eastAsia"/>
        </w:rPr>
        <w:t>。</w:t>
      </w:r>
    </w:p>
    <w:p w14:paraId="7C7EA1C6" w14:textId="2B6C4334" w:rsidR="0048362D" w:rsidRPr="00806720" w:rsidRDefault="0048362D" w:rsidP="0048362D">
      <w:pPr>
        <w:pBdr>
          <w:top w:val="nil"/>
          <w:left w:val="nil"/>
          <w:bottom w:val="nil"/>
          <w:right w:val="nil"/>
          <w:between w:val="nil"/>
        </w:pBdr>
        <w:ind w:left="240"/>
        <w:rPr>
          <w:rFonts w:ascii="Arial Unicode MS" w:hAnsi="Arial Unicode MS" w:cs="Arial Unicode MS" w:hint="eastAsia"/>
        </w:rPr>
      </w:pPr>
    </w:p>
    <w:p w14:paraId="005ED5D0" w14:textId="36F3C41E" w:rsidR="0048362D" w:rsidRPr="00806720" w:rsidRDefault="0048362D" w:rsidP="0048362D">
      <w:pPr>
        <w:pBdr>
          <w:top w:val="nil"/>
          <w:left w:val="nil"/>
          <w:bottom w:val="nil"/>
          <w:right w:val="nil"/>
          <w:between w:val="nil"/>
        </w:pBdr>
        <w:ind w:left="240"/>
      </w:pPr>
      <w:r w:rsidRPr="00806720">
        <w:rPr>
          <w:rFonts w:hint="eastAsia"/>
          <w:noProof/>
        </w:rPr>
        <w:drawing>
          <wp:inline distT="0" distB="0" distL="0" distR="0" wp14:anchorId="40B775F6" wp14:editId="1EEE7FD4">
            <wp:extent cx="5943600" cy="4278630"/>
            <wp:effectExtent l="0" t="0" r="0" b="7620"/>
            <wp:docPr id="20090413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1394" name="圖片 2009041394"/>
                    <pic:cNvPicPr/>
                  </pic:nvPicPr>
                  <pic:blipFill>
                    <a:blip r:embed="rId17">
                      <a:extLst>
                        <a:ext uri="{28A0092B-C50C-407E-A947-70E740481C1C}">
                          <a14:useLocalDpi xmlns:a14="http://schemas.microsoft.com/office/drawing/2010/main" val="0"/>
                        </a:ext>
                      </a:extLst>
                    </a:blip>
                    <a:stretch>
                      <a:fillRect/>
                    </a:stretch>
                  </pic:blipFill>
                  <pic:spPr>
                    <a:xfrm>
                      <a:off x="0" y="0"/>
                      <a:ext cx="5943600" cy="4278630"/>
                    </a:xfrm>
                    <a:prstGeom prst="rect">
                      <a:avLst/>
                    </a:prstGeom>
                  </pic:spPr>
                </pic:pic>
              </a:graphicData>
            </a:graphic>
          </wp:inline>
        </w:drawing>
      </w:r>
    </w:p>
    <w:p w14:paraId="7321614A" w14:textId="018BA96F" w:rsidR="00DD1EB7" w:rsidRPr="00806720" w:rsidRDefault="00DD1EB7" w:rsidP="00DD1EB7">
      <w:pPr>
        <w:pBdr>
          <w:top w:val="nil"/>
          <w:left w:val="nil"/>
          <w:bottom w:val="nil"/>
          <w:right w:val="nil"/>
          <w:between w:val="nil"/>
        </w:pBdr>
        <w:spacing w:line="300" w:lineRule="auto"/>
      </w:pPr>
      <w:r w:rsidRPr="00806720">
        <w:rPr>
          <w:rFonts w:ascii="新細明體" w:eastAsia="新細明體" w:hAnsi="新細明體" w:cs="新細明體" w:hint="eastAsia"/>
        </w:rPr>
        <w:t>採用</w:t>
      </w:r>
      <w:r w:rsidRPr="00806720">
        <w:rPr>
          <w:rFonts w:ascii="Arial Unicode MS" w:eastAsia="Arial Unicode MS" w:hAnsi="Arial Unicode MS" w:cs="Arial Unicode MS"/>
        </w:rPr>
        <w:t xml:space="preserve"> K-Means </w:t>
      </w:r>
      <w:r w:rsidRPr="00806720">
        <w:rPr>
          <w:rFonts w:ascii="新細明體" w:eastAsia="新細明體" w:hAnsi="新細明體" w:cs="新細明體" w:hint="eastAsia"/>
        </w:rPr>
        <w:t>演算法將基金劃分為六個群組：</w:t>
      </w:r>
    </w:p>
    <w:p w14:paraId="629E40FA" w14:textId="329438FF"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0</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 xml:space="preserve">核心累積基金 </w:t>
      </w:r>
      <w:r w:rsidRPr="00806720">
        <w:rPr>
          <w:rFonts w:ascii="新細明體" w:eastAsia="新細明體" w:hAnsi="新細明體" w:cs="新細明體"/>
        </w:rPr>
        <w:tab/>
      </w:r>
      <w:r w:rsidRPr="00806720">
        <w:rPr>
          <w:rFonts w:ascii="新細明體" w:eastAsia="新細明體" w:hAnsi="新細明體" w:cs="新細明體" w:hint="eastAsia"/>
        </w:rPr>
        <w:t xml:space="preserve">對應AIA分類: </w:t>
      </w:r>
      <w:r w:rsidRPr="00806720">
        <w:rPr>
          <w:rFonts w:ascii="新細明體" w:eastAsia="新細明體" w:hAnsi="新細明體" w:cs="新細明體"/>
        </w:rPr>
        <w:t>預設投資策略基金</w:t>
      </w:r>
    </w:p>
    <w:p w14:paraId="6C2FA2A4" w14:textId="142CC383"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1</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增長組合、</w:t>
      </w:r>
      <w:r w:rsidRPr="00806720">
        <w:rPr>
          <w:rFonts w:ascii="新細明體" w:eastAsia="新細明體" w:hAnsi="新細明體" w:cs="新細明體"/>
        </w:rPr>
        <w:t>基金經理精選退休基</w:t>
      </w:r>
      <w:r w:rsidRPr="00806720">
        <w:rPr>
          <w:rFonts w:ascii="新細明體" w:eastAsia="新細明體" w:hAnsi="新細明體" w:cs="新細明體" w:hint="eastAsia"/>
        </w:rPr>
        <w:t>金、</w:t>
      </w:r>
      <w:r w:rsidRPr="00806720">
        <w:rPr>
          <w:rFonts w:ascii="新細明體" w:eastAsia="新細明體" w:hAnsi="新細明體" w:cs="新細明體"/>
        </w:rPr>
        <w:t>均衡組合</w:t>
      </w:r>
      <w:r w:rsidRPr="00806720">
        <w:rPr>
          <w:rFonts w:ascii="新細明體" w:eastAsia="新細明體" w:hAnsi="新細明體" w:cs="新細明體"/>
        </w:rPr>
        <w:tab/>
      </w:r>
      <w:r w:rsidRPr="00806720">
        <w:rPr>
          <w:rFonts w:ascii="新細明體" w:eastAsia="新細明體" w:hAnsi="新細明體" w:cs="新細明體" w:hint="eastAsia"/>
        </w:rPr>
        <w:t>對應AIA分類:</w:t>
      </w:r>
      <w:r w:rsidRPr="00806720">
        <w:rPr>
          <w:rFonts w:hint="eastAsia"/>
        </w:rPr>
        <w:t xml:space="preserve"> </w:t>
      </w:r>
      <w:r w:rsidRPr="00806720">
        <w:rPr>
          <w:rFonts w:ascii="新細明體" w:eastAsia="新細明體" w:hAnsi="新細明體" w:cs="新細明體"/>
        </w:rPr>
        <w:t>人生階段基金</w:t>
      </w:r>
      <w:r w:rsidRPr="00806720">
        <w:rPr>
          <w:rFonts w:ascii="新細明體" w:eastAsia="新細明體" w:hAnsi="新細明體" w:cs="新細明體" w:hint="eastAsia"/>
        </w:rPr>
        <w:t>/</w:t>
      </w:r>
      <w:r w:rsidRPr="00806720">
        <w:rPr>
          <w:rFonts w:ascii="新細明體" w:eastAsia="新細明體" w:hAnsi="新細明體" w:cs="新細明體"/>
        </w:rPr>
        <w:t>動態資產配置基金</w:t>
      </w:r>
    </w:p>
    <w:p w14:paraId="7A7F5606" w14:textId="1A92E008"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2</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r w:rsidRPr="00806720">
        <w:rPr>
          <w:rFonts w:ascii="Arial Unicode MS" w:eastAsia="Arial Unicode MS" w:hAnsi="Arial Unicode MS" w:cs="Arial Unicode MS"/>
        </w:rPr>
        <w:t xml:space="preserve"> </w:t>
      </w:r>
      <w:r w:rsidRPr="00806720">
        <w:rPr>
          <w:rFonts w:hint="eastAsia"/>
        </w:rPr>
        <w:t>中港基金</w:t>
      </w:r>
      <w:r w:rsidRPr="00806720">
        <w:tab/>
      </w:r>
      <w:r w:rsidRPr="00806720">
        <w:rPr>
          <w:rFonts w:ascii="新細明體" w:eastAsia="新細明體" w:hAnsi="新細明體" w:cs="新細明體" w:hint="eastAsia"/>
        </w:rPr>
        <w:t xml:space="preserve">對應AIA分類: </w:t>
      </w:r>
      <w:r w:rsidRPr="00806720">
        <w:t>股票基金</w:t>
      </w:r>
    </w:p>
    <w:p w14:paraId="2CFD89E2" w14:textId="1CF15D2F"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3</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proofErr w:type="gramStart"/>
      <w:r w:rsidRPr="00806720">
        <w:rPr>
          <w:rFonts w:hint="eastAsia"/>
        </w:rPr>
        <w:t>強積金</w:t>
      </w:r>
      <w:proofErr w:type="gramEnd"/>
      <w:r w:rsidRPr="00806720">
        <w:rPr>
          <w:rFonts w:hint="eastAsia"/>
        </w:rPr>
        <w:t>保守基金</w:t>
      </w:r>
      <w:r w:rsidRPr="00806720">
        <w:tab/>
      </w:r>
      <w:r w:rsidRPr="00806720">
        <w:rPr>
          <w:rFonts w:ascii="新細明體" w:eastAsia="新細明體" w:hAnsi="新細明體" w:cs="新細明體" w:hint="eastAsia"/>
        </w:rPr>
        <w:t xml:space="preserve">對應AIA分類: </w:t>
      </w:r>
      <w:r w:rsidRPr="00806720">
        <w:rPr>
          <w:rFonts w:ascii="新細明體" w:eastAsia="新細明體" w:hAnsi="新細明體" w:cs="新細明體"/>
        </w:rPr>
        <w:t>固定入息基金</w:t>
      </w:r>
    </w:p>
    <w:p w14:paraId="3167D44F" w14:textId="56AA6928"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4</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r w:rsidRPr="00806720">
        <w:rPr>
          <w:rFonts w:hint="eastAsia"/>
        </w:rPr>
        <w:t>亞洲股票基金</w:t>
      </w:r>
      <w:r w:rsidRPr="00806720">
        <w:rPr>
          <w:rFonts w:ascii="新細明體" w:eastAsia="新細明體" w:hAnsi="新細明體" w:cs="新細明體" w:hint="eastAsia"/>
        </w:rPr>
        <w:t>、</w:t>
      </w:r>
      <w:r w:rsidRPr="00806720">
        <w:rPr>
          <w:rFonts w:hint="eastAsia"/>
        </w:rPr>
        <w:t>北美股票基金</w:t>
      </w:r>
      <w:r w:rsidRPr="00806720">
        <w:rPr>
          <w:rFonts w:ascii="新細明體" w:eastAsia="新細明體" w:hAnsi="新細明體" w:cs="新細明體" w:hint="eastAsia"/>
        </w:rPr>
        <w:t>、</w:t>
      </w:r>
      <w:r w:rsidRPr="00806720">
        <w:rPr>
          <w:rFonts w:hint="eastAsia"/>
        </w:rPr>
        <w:t>美洲基金</w:t>
      </w:r>
      <w:r w:rsidRPr="00806720">
        <w:tab/>
      </w:r>
      <w:r w:rsidRPr="00806720">
        <w:rPr>
          <w:rFonts w:ascii="新細明體" w:eastAsia="新細明體" w:hAnsi="新細明體" w:cs="新細明體" w:hint="eastAsia"/>
        </w:rPr>
        <w:t xml:space="preserve">對應AIA分類: </w:t>
      </w:r>
      <w:r w:rsidRPr="00806720">
        <w:t>股票基金</w:t>
      </w:r>
    </w:p>
    <w:p w14:paraId="46229D06" w14:textId="608DB7DF" w:rsidR="00DD1EB7" w:rsidRPr="00806720" w:rsidRDefault="00DD1EB7" w:rsidP="00DD1EB7">
      <w:pPr>
        <w:numPr>
          <w:ilvl w:val="0"/>
          <w:numId w:val="2"/>
        </w:numPr>
        <w:pBdr>
          <w:top w:val="nil"/>
          <w:left w:val="nil"/>
          <w:bottom w:val="nil"/>
          <w:right w:val="nil"/>
          <w:between w:val="nil"/>
        </w:pBdr>
      </w:pPr>
      <w:r w:rsidRPr="00806720">
        <w:rPr>
          <w:rFonts w:ascii="新細明體" w:eastAsia="新細明體" w:hAnsi="新細明體" w:cs="新細明體" w:hint="eastAsia"/>
        </w:rPr>
        <w:t>群組</w:t>
      </w:r>
      <w:r w:rsidRPr="00806720">
        <w:rPr>
          <w:rFonts w:ascii="Arial Unicode MS" w:eastAsia="Arial Unicode MS" w:hAnsi="Arial Unicode MS" w:cs="Arial Unicode MS"/>
        </w:rPr>
        <w:t xml:space="preserve"> </w:t>
      </w:r>
      <w:r w:rsidRPr="00806720">
        <w:rPr>
          <w:rFonts w:ascii="Arial Unicode MS" w:hAnsi="Arial Unicode MS" w:cs="Arial Unicode MS" w:hint="eastAsia"/>
        </w:rPr>
        <w:t>5</w:t>
      </w:r>
      <w:r w:rsidRPr="00806720">
        <w:rPr>
          <w:rFonts w:ascii="Arial Unicode MS" w:eastAsia="Arial Unicode MS" w:hAnsi="Arial Unicode MS" w:cs="Arial Unicode MS"/>
        </w:rPr>
        <w:t xml:space="preserve"> </w:t>
      </w:r>
      <w:r w:rsidRPr="00806720">
        <w:rPr>
          <w:rFonts w:ascii="新細明體" w:eastAsia="新細明體" w:hAnsi="新細明體" w:cs="新細明體" w:hint="eastAsia"/>
        </w:rPr>
        <w:t>：</w:t>
      </w:r>
      <w:r w:rsidRPr="00806720">
        <w:rPr>
          <w:rFonts w:hint="eastAsia"/>
        </w:rPr>
        <w:t>亞洲債券基金</w:t>
      </w:r>
      <w:r w:rsidRPr="00806720">
        <w:tab/>
      </w:r>
      <w:r w:rsidRPr="00806720">
        <w:tab/>
      </w:r>
      <w:r w:rsidRPr="00806720">
        <w:rPr>
          <w:rFonts w:ascii="新細明體" w:eastAsia="新細明體" w:hAnsi="新細明體" w:cs="新細明體" w:hint="eastAsia"/>
        </w:rPr>
        <w:t xml:space="preserve">對應AIA分類: </w:t>
      </w:r>
      <w:r w:rsidRPr="00806720">
        <w:t>固定入息基金</w:t>
      </w:r>
    </w:p>
    <w:p w14:paraId="0B0B61E9" w14:textId="1F0F8F4B" w:rsidR="00DD1EB7" w:rsidRPr="00806720" w:rsidRDefault="00DD1EB7" w:rsidP="00DD1EB7">
      <w:pPr>
        <w:pBdr>
          <w:top w:val="nil"/>
          <w:left w:val="nil"/>
          <w:bottom w:val="nil"/>
          <w:right w:val="nil"/>
          <w:between w:val="nil"/>
        </w:pBdr>
        <w:ind w:left="240"/>
      </w:pPr>
      <w:r w:rsidRPr="00806720">
        <w:rPr>
          <w:rFonts w:hint="eastAsia"/>
        </w:rPr>
        <w:t>發現</w:t>
      </w:r>
      <w:r w:rsidRPr="00806720">
        <w:rPr>
          <w:rFonts w:hint="eastAsia"/>
        </w:rPr>
        <w:t>K-mean</w:t>
      </w:r>
      <w:r w:rsidRPr="00806720">
        <w:rPr>
          <w:rFonts w:hint="eastAsia"/>
        </w:rPr>
        <w:t>分類</w:t>
      </w:r>
      <w:r w:rsidR="0026509B" w:rsidRPr="00806720">
        <w:rPr>
          <w:rFonts w:hint="eastAsia"/>
        </w:rPr>
        <w:t>和</w:t>
      </w:r>
      <w:r w:rsidR="0026509B" w:rsidRPr="00806720">
        <w:rPr>
          <w:rFonts w:hint="eastAsia"/>
        </w:rPr>
        <w:t>AIA</w:t>
      </w:r>
      <w:r w:rsidR="0026509B" w:rsidRPr="00806720">
        <w:rPr>
          <w:rFonts w:hint="eastAsia"/>
        </w:rPr>
        <w:t>分類有些不同，但大體能分開各種基金的類別，例如股票基金、固定入息基金和人生階段基金，但</w:t>
      </w:r>
      <w:r w:rsidR="0026509B" w:rsidRPr="00806720">
        <w:rPr>
          <w:rFonts w:hint="eastAsia"/>
        </w:rPr>
        <w:t>K-mean</w:t>
      </w:r>
      <w:r w:rsidR="0026509B" w:rsidRPr="00806720">
        <w:rPr>
          <w:rFonts w:hint="eastAsia"/>
        </w:rPr>
        <w:t>會</w:t>
      </w:r>
      <w:proofErr w:type="gramStart"/>
      <w:r w:rsidR="0026509B" w:rsidRPr="00806720">
        <w:rPr>
          <w:rFonts w:hint="eastAsia"/>
        </w:rPr>
        <w:t>跟據更多</w:t>
      </w:r>
      <w:proofErr w:type="gramEnd"/>
      <w:r w:rsidR="0026509B" w:rsidRPr="00806720">
        <w:rPr>
          <w:rFonts w:hint="eastAsia"/>
        </w:rPr>
        <w:t>的指標再深入分類，例如會跟據表現將同</w:t>
      </w:r>
      <w:r w:rsidR="0026509B" w:rsidRPr="00806720">
        <w:rPr>
          <w:rFonts w:ascii="新細明體" w:eastAsia="新細明體" w:hAnsi="新細明體" w:cs="新細明體" w:hint="eastAsia"/>
        </w:rPr>
        <w:t>屬股票基金的</w:t>
      </w:r>
      <w:r w:rsidR="0026509B" w:rsidRPr="00806720">
        <w:rPr>
          <w:rFonts w:hint="eastAsia"/>
        </w:rPr>
        <w:t>中港基金、亞洲股票基金</w:t>
      </w:r>
      <w:r w:rsidR="0026509B" w:rsidRPr="00806720">
        <w:rPr>
          <w:rFonts w:ascii="新細明體" w:eastAsia="新細明體" w:hAnsi="新細明體" w:cs="新細明體" w:hint="eastAsia"/>
        </w:rPr>
        <w:t>、</w:t>
      </w:r>
      <w:r w:rsidR="0026509B" w:rsidRPr="00806720">
        <w:rPr>
          <w:rFonts w:hint="eastAsia"/>
        </w:rPr>
        <w:t>北美股票基金</w:t>
      </w:r>
      <w:r w:rsidR="0026509B" w:rsidRPr="00806720">
        <w:rPr>
          <w:rFonts w:ascii="新細明體" w:eastAsia="新細明體" w:hAnsi="新細明體" w:cs="新細明體" w:hint="eastAsia"/>
        </w:rPr>
        <w:t>和</w:t>
      </w:r>
      <w:r w:rsidR="0026509B" w:rsidRPr="00806720">
        <w:rPr>
          <w:rFonts w:hint="eastAsia"/>
        </w:rPr>
        <w:t>美洲基金分作兩類。</w:t>
      </w:r>
    </w:p>
    <w:p w14:paraId="43138C69" w14:textId="77777777" w:rsidR="00DC493F" w:rsidRPr="00806720" w:rsidRDefault="00000000">
      <w:pPr>
        <w:pStyle w:val="2"/>
        <w:rPr>
          <w:b w:val="0"/>
          <w:bCs w:val="0"/>
        </w:rPr>
      </w:pPr>
      <w:r w:rsidRPr="00806720">
        <w:rPr>
          <w:rFonts w:ascii="Arial Unicode MS" w:eastAsia="Arial Unicode MS" w:hAnsi="Arial Unicode MS" w:cs="Arial Unicode MS"/>
          <w:b w:val="0"/>
          <w:bCs w:val="0"/>
        </w:rPr>
        <w:t xml:space="preserve">6. </w:t>
      </w:r>
      <w:r w:rsidRPr="00806720">
        <w:rPr>
          <w:rFonts w:ascii="新細明體" w:eastAsia="新細明體" w:hAnsi="新細明體" w:cs="新細明體" w:hint="eastAsia"/>
          <w:b w:val="0"/>
          <w:bCs w:val="0"/>
        </w:rPr>
        <w:t>投資組合優化</w:t>
      </w:r>
      <w:r w:rsidRPr="00806720">
        <w:rPr>
          <w:rFonts w:ascii="Arial Unicode MS" w:eastAsia="Arial Unicode MS" w:hAnsi="Arial Unicode MS" w:cs="Arial Unicode MS"/>
          <w:b w:val="0"/>
          <w:bCs w:val="0"/>
        </w:rPr>
        <w:t xml:space="preserve"> (Portfolio </w:t>
      </w:r>
      <w:proofErr w:type="spellStart"/>
      <w:r w:rsidRPr="00806720">
        <w:rPr>
          <w:rFonts w:ascii="Arial Unicode MS" w:eastAsia="Arial Unicode MS" w:hAnsi="Arial Unicode MS" w:cs="Arial Unicode MS"/>
          <w:b w:val="0"/>
          <w:bCs w:val="0"/>
        </w:rPr>
        <w:t>Optimisation</w:t>
      </w:r>
      <w:proofErr w:type="spellEnd"/>
      <w:r w:rsidRPr="00806720">
        <w:rPr>
          <w:rFonts w:ascii="Arial Unicode MS" w:eastAsia="Arial Unicode MS" w:hAnsi="Arial Unicode MS" w:cs="Arial Unicode MS"/>
          <w:b w:val="0"/>
          <w:bCs w:val="0"/>
        </w:rPr>
        <w:t>)</w:t>
      </w:r>
    </w:p>
    <w:p w14:paraId="4880286F" w14:textId="77777777" w:rsidR="003B30AC" w:rsidRPr="00806720" w:rsidRDefault="003B30AC" w:rsidP="0026509B">
      <w:pPr>
        <w:pBdr>
          <w:top w:val="nil"/>
          <w:left w:val="nil"/>
          <w:bottom w:val="nil"/>
          <w:right w:val="nil"/>
          <w:between w:val="nil"/>
        </w:pBdr>
        <w:rPr>
          <w:rFonts w:ascii="Arial Unicode MS" w:hAnsi="Arial Unicode MS" w:cs="Arial Unicode MS" w:hint="eastAsia"/>
        </w:rPr>
      </w:pPr>
      <w:r w:rsidRPr="00806720">
        <w:rPr>
          <w:rFonts w:ascii="Arial Unicode MS" w:hAnsi="Arial Unicode MS" w:cs="Arial Unicode MS"/>
        </w:rPr>
        <w:t>本研究利用各成分基金</w:t>
      </w:r>
      <w:proofErr w:type="gramStart"/>
      <w:r w:rsidRPr="00806720">
        <w:rPr>
          <w:rFonts w:ascii="Arial Unicode MS" w:hAnsi="Arial Unicode MS" w:cs="Arial Unicode MS"/>
        </w:rPr>
        <w:t>的月度回報率</w:t>
      </w:r>
      <w:proofErr w:type="gramEnd"/>
      <w:r w:rsidRPr="00806720">
        <w:rPr>
          <w:rFonts w:ascii="Arial Unicode MS" w:hAnsi="Arial Unicode MS" w:cs="Arial Unicode MS"/>
        </w:rPr>
        <w:t>構建</w:t>
      </w:r>
      <w:r w:rsidRPr="00806720">
        <w:rPr>
          <w:rFonts w:ascii="Arial Unicode MS" w:hAnsi="Arial Unicode MS" w:cs="Arial Unicode MS"/>
        </w:rPr>
        <w:t xml:space="preserve"> </w:t>
      </w:r>
      <w:r w:rsidRPr="00806720">
        <w:rPr>
          <w:rFonts w:ascii="Arial Unicode MS" w:hAnsi="Arial Unicode MS" w:cs="Arial Unicode MS"/>
        </w:rPr>
        <w:t>共變異數矩陣</w:t>
      </w:r>
      <w:r w:rsidRPr="00806720">
        <w:rPr>
          <w:rFonts w:ascii="Arial Unicode MS" w:hAnsi="Arial Unicode MS" w:cs="Arial Unicode MS"/>
        </w:rPr>
        <w:t xml:space="preserve"> (Covariance Matrix)</w:t>
      </w:r>
      <w:r w:rsidRPr="00806720">
        <w:rPr>
          <w:rFonts w:ascii="Arial Unicode MS" w:hAnsi="Arial Unicode MS" w:cs="Arial Unicode MS"/>
        </w:rPr>
        <w:t>，並</w:t>
      </w:r>
      <w:proofErr w:type="gramStart"/>
      <w:r w:rsidRPr="00806720">
        <w:rPr>
          <w:rFonts w:ascii="Arial Unicode MS" w:hAnsi="Arial Unicode MS" w:cs="Arial Unicode MS"/>
        </w:rPr>
        <w:t>透過均值</w:t>
      </w:r>
      <w:proofErr w:type="gramEnd"/>
      <w:r w:rsidRPr="00806720">
        <w:rPr>
          <w:rFonts w:ascii="Arial Unicode MS" w:hAnsi="Arial Unicode MS" w:cs="Arial Unicode MS"/>
        </w:rPr>
        <w:t>-</w:t>
      </w:r>
      <w:r w:rsidRPr="00806720">
        <w:rPr>
          <w:rFonts w:ascii="Arial Unicode MS" w:hAnsi="Arial Unicode MS" w:cs="Arial Unicode MS"/>
        </w:rPr>
        <w:t>變異</w:t>
      </w:r>
      <w:r w:rsidRPr="00806720">
        <w:rPr>
          <w:rFonts w:ascii="Arial Unicode MS" w:hAnsi="Arial Unicode MS" w:cs="Arial Unicode MS"/>
        </w:rPr>
        <w:lastRenderedPageBreak/>
        <w:t>數優化</w:t>
      </w:r>
      <w:r w:rsidRPr="00806720">
        <w:rPr>
          <w:rFonts w:ascii="Arial Unicode MS" w:hAnsi="Arial Unicode MS" w:cs="Arial Unicode MS"/>
        </w:rPr>
        <w:t xml:space="preserve"> (Mean-Variance Optimization) </w:t>
      </w:r>
      <w:r w:rsidRPr="00806720">
        <w:rPr>
          <w:rFonts w:ascii="Arial Unicode MS" w:hAnsi="Arial Unicode MS" w:cs="Arial Unicode MS"/>
        </w:rPr>
        <w:t>求解</w:t>
      </w:r>
      <w:r w:rsidRPr="00806720">
        <w:rPr>
          <w:rFonts w:ascii="Arial Unicode MS" w:hAnsi="Arial Unicode MS" w:cs="Arial Unicode MS"/>
        </w:rPr>
        <w:t xml:space="preserve"> </w:t>
      </w:r>
      <w:r w:rsidRPr="00806720">
        <w:rPr>
          <w:rFonts w:ascii="Arial Unicode MS" w:hAnsi="Arial Unicode MS" w:cs="Arial Unicode MS"/>
        </w:rPr>
        <w:t>最大夏普比率</w:t>
      </w:r>
      <w:r w:rsidRPr="00806720">
        <w:rPr>
          <w:rFonts w:ascii="Arial Unicode MS" w:hAnsi="Arial Unicode MS" w:cs="Arial Unicode MS"/>
        </w:rPr>
        <w:t xml:space="preserve"> (Maximum Sharpe Ratio) </w:t>
      </w:r>
      <w:r w:rsidRPr="00806720">
        <w:rPr>
          <w:rFonts w:ascii="Arial Unicode MS" w:hAnsi="Arial Unicode MS" w:cs="Arial Unicode MS"/>
        </w:rPr>
        <w:t>之組合。</w:t>
      </w:r>
    </w:p>
    <w:p w14:paraId="0CB12BAA" w14:textId="429CA453" w:rsidR="0026509B" w:rsidRPr="00806720" w:rsidRDefault="00806720" w:rsidP="0026509B">
      <w:pPr>
        <w:pBdr>
          <w:top w:val="nil"/>
          <w:left w:val="nil"/>
          <w:bottom w:val="nil"/>
          <w:right w:val="nil"/>
          <w:between w:val="nil"/>
        </w:pBdr>
        <w:rPr>
          <w:rFonts w:ascii="新細明體" w:eastAsia="新細明體" w:hAnsi="新細明體" w:cs="新細明體"/>
        </w:rPr>
      </w:pPr>
      <m:oMathPara>
        <m:oMath>
          <m:r>
            <w:rPr>
              <w:rFonts w:ascii="Cambria Math" w:hAnsi="Cambria Math"/>
            </w:rPr>
            <m:t xml:space="preserve">Max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σ</m:t>
                  </m:r>
                </m:e>
                <m:sub>
                  <m:r>
                    <w:rPr>
                      <w:rFonts w:ascii="Cambria Math" w:hAnsi="Cambria Math"/>
                    </w:rPr>
                    <m:t>p</m:t>
                  </m:r>
                </m:sub>
              </m:sSub>
            </m:den>
          </m:f>
        </m:oMath>
      </m:oMathPara>
    </w:p>
    <w:p w14:paraId="1F17B6BD" w14:textId="67468717" w:rsidR="0026509B" w:rsidRPr="00806720" w:rsidRDefault="00806720" w:rsidP="0026509B">
      <w:pPr>
        <w:pBdr>
          <w:top w:val="nil"/>
          <w:left w:val="nil"/>
          <w:bottom w:val="nil"/>
          <w:right w:val="nil"/>
          <w:between w:val="nil"/>
        </w:pBdr>
        <w:rPr>
          <w:rFonts w:ascii="新細明體" w:eastAsia="新細明體" w:hAnsi="新細明體" w:cs="新細明體"/>
        </w:rPr>
      </w:pPr>
      <m:oMathPara>
        <m:oMath>
          <m:r>
            <w:rPr>
              <w:rFonts w:ascii="Cambria Math" w:eastAsia="新細明體" w:hAnsi="Cambria Math" w:cs="新細明體"/>
            </w:rPr>
            <m:t xml:space="preserve">st. </m:t>
          </m:r>
          <m:nary>
            <m:naryPr>
              <m:chr m:val="∑"/>
              <m:limLoc m:val="undOvr"/>
              <m:subHide m:val="1"/>
              <m:supHide m:val="1"/>
              <m:ctrlPr>
                <w:rPr>
                  <w:rFonts w:ascii="Cambria Math" w:eastAsia="新細明體" w:hAnsi="Cambria Math" w:cs="新細明體"/>
                  <w:i/>
                </w:rPr>
              </m:ctrlPr>
            </m:naryPr>
            <m:sub/>
            <m:sup/>
            <m:e>
              <m:r>
                <w:rPr>
                  <w:rFonts w:ascii="Cambria Math" w:eastAsia="新細明體" w:hAnsi="Cambria Math" w:cs="新細明體"/>
                </w:rPr>
                <m:t>w</m:t>
              </m:r>
            </m:e>
          </m:nary>
          <m:r>
            <w:rPr>
              <w:rFonts w:ascii="Cambria Math" w:eastAsia="新細明體" w:hAnsi="Cambria Math" w:cs="新細明體"/>
            </w:rPr>
            <m:t>=1</m:t>
          </m:r>
        </m:oMath>
      </m:oMathPara>
    </w:p>
    <w:p w14:paraId="2E78CB0E" w14:textId="556E4C83" w:rsidR="0026509B" w:rsidRPr="00806720" w:rsidRDefault="00806720" w:rsidP="0026509B">
      <w:pPr>
        <w:pBdr>
          <w:top w:val="nil"/>
          <w:left w:val="nil"/>
          <w:bottom w:val="nil"/>
          <w:right w:val="nil"/>
          <w:between w:val="nil"/>
        </w:pBdr>
        <w:rPr>
          <w:rFonts w:ascii="新細明體" w:eastAsia="新細明體" w:hAnsi="新細明體" w:cs="新細明體"/>
        </w:rPr>
      </w:pPr>
      <m:oMathPara>
        <m:oMath>
          <m:r>
            <w:rPr>
              <w:rFonts w:ascii="Cambria Math" w:eastAsia="新細明體" w:hAnsi="Cambria Math" w:cs="新細明體"/>
            </w:rPr>
            <m:t>0≤w≤1</m:t>
          </m:r>
        </m:oMath>
      </m:oMathPara>
    </w:p>
    <w:p w14:paraId="157C355B" w14:textId="77777777" w:rsidR="003B30AC" w:rsidRPr="00806720" w:rsidRDefault="003B30AC" w:rsidP="0026509B">
      <w:pPr>
        <w:pBdr>
          <w:top w:val="nil"/>
          <w:left w:val="nil"/>
          <w:bottom w:val="nil"/>
          <w:right w:val="nil"/>
          <w:between w:val="nil"/>
        </w:pBdr>
        <w:rPr>
          <w:rFonts w:ascii="新細明體" w:eastAsia="新細明體" w:hAnsi="新細明體" w:cs="新細明體"/>
        </w:rPr>
      </w:pPr>
    </w:p>
    <w:p w14:paraId="3CD0D96E" w14:textId="4BC31151" w:rsidR="0026509B" w:rsidRPr="00806720" w:rsidRDefault="003B30AC" w:rsidP="0026509B">
      <w:pPr>
        <w:pBdr>
          <w:top w:val="nil"/>
          <w:left w:val="nil"/>
          <w:bottom w:val="nil"/>
          <w:right w:val="nil"/>
          <w:between w:val="nil"/>
        </w:pBdr>
        <w:rPr>
          <w:rFonts w:ascii="新細明體" w:eastAsia="新細明體" w:hAnsi="新細明體" w:cs="新細明體"/>
        </w:rPr>
      </w:pPr>
      <w:r w:rsidRPr="00806720">
        <w:rPr>
          <w:rFonts w:ascii="新細明體" w:eastAsia="新細明體" w:hAnsi="新細明體" w:cs="新細明體" w:hint="eastAsia"/>
        </w:rPr>
        <w:t>結果:</w:t>
      </w:r>
    </w:p>
    <w:tbl>
      <w:tblPr>
        <w:tblW w:w="3810" w:type="dxa"/>
        <w:tblCellMar>
          <w:left w:w="28" w:type="dxa"/>
          <w:right w:w="28" w:type="dxa"/>
        </w:tblCellMar>
        <w:tblLook w:val="04A0" w:firstRow="1" w:lastRow="0" w:firstColumn="1" w:lastColumn="0" w:noHBand="0" w:noVBand="1"/>
      </w:tblPr>
      <w:tblGrid>
        <w:gridCol w:w="2430"/>
        <w:gridCol w:w="1380"/>
      </w:tblGrid>
      <w:tr w:rsidR="003B30AC" w:rsidRPr="00806720" w14:paraId="7240AE6C" w14:textId="77777777" w:rsidTr="003B30AC">
        <w:trPr>
          <w:trHeight w:val="350"/>
        </w:trPr>
        <w:tc>
          <w:tcPr>
            <w:tcW w:w="2430" w:type="dxa"/>
            <w:tcBorders>
              <w:top w:val="nil"/>
              <w:left w:val="nil"/>
              <w:bottom w:val="nil"/>
              <w:right w:val="nil"/>
            </w:tcBorders>
            <w:noWrap/>
            <w:vAlign w:val="center"/>
            <w:hideMark/>
          </w:tcPr>
          <w:p w14:paraId="33B1286A" w14:textId="77777777" w:rsidR="003B30AC" w:rsidRPr="00806720" w:rsidRDefault="003B30AC" w:rsidP="003B30AC">
            <w:pPr>
              <w:widowControl/>
              <w:rPr>
                <w:rFonts w:ascii="Times New Roman" w:eastAsia="Times New Roman" w:hAnsi="Times New Roman" w:cs="Times New Roman"/>
                <w:sz w:val="24"/>
                <w:szCs w:val="24"/>
              </w:rPr>
            </w:pPr>
          </w:p>
        </w:tc>
        <w:tc>
          <w:tcPr>
            <w:tcW w:w="1380" w:type="dxa"/>
            <w:tcBorders>
              <w:top w:val="nil"/>
              <w:left w:val="nil"/>
              <w:bottom w:val="nil"/>
              <w:right w:val="nil"/>
            </w:tcBorders>
            <w:noWrap/>
            <w:vAlign w:val="center"/>
            <w:hideMark/>
          </w:tcPr>
          <w:p w14:paraId="2E684C37"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weight</w:t>
            </w:r>
          </w:p>
        </w:tc>
      </w:tr>
      <w:tr w:rsidR="003B30AC" w:rsidRPr="00806720" w14:paraId="3E91FFD8" w14:textId="77777777" w:rsidTr="003B30AC">
        <w:trPr>
          <w:trHeight w:val="340"/>
        </w:trPr>
        <w:tc>
          <w:tcPr>
            <w:tcW w:w="2430" w:type="dxa"/>
            <w:tcBorders>
              <w:top w:val="nil"/>
              <w:left w:val="nil"/>
              <w:bottom w:val="nil"/>
              <w:right w:val="nil"/>
            </w:tcBorders>
            <w:noWrap/>
            <w:vAlign w:val="center"/>
            <w:hideMark/>
          </w:tcPr>
          <w:p w14:paraId="36705A46" w14:textId="77777777" w:rsidR="003B30AC" w:rsidRPr="00806720" w:rsidRDefault="003B30AC" w:rsidP="003B30AC">
            <w:pPr>
              <w:widowControl/>
              <w:rPr>
                <w:rFonts w:ascii="新細明體" w:eastAsia="新細明體" w:hAnsi="新細明體" w:cs="Times New Roman"/>
                <w:color w:val="000000"/>
                <w:sz w:val="24"/>
                <w:szCs w:val="24"/>
              </w:rPr>
            </w:pPr>
          </w:p>
        </w:tc>
        <w:tc>
          <w:tcPr>
            <w:tcW w:w="1380" w:type="dxa"/>
            <w:tcBorders>
              <w:top w:val="nil"/>
              <w:left w:val="nil"/>
              <w:bottom w:val="nil"/>
              <w:right w:val="nil"/>
            </w:tcBorders>
            <w:noWrap/>
            <w:vAlign w:val="center"/>
            <w:hideMark/>
          </w:tcPr>
          <w:p w14:paraId="0F43FEC8" w14:textId="77777777" w:rsidR="003B30AC" w:rsidRPr="00806720" w:rsidRDefault="003B30AC" w:rsidP="003B30AC">
            <w:pPr>
              <w:widowControl/>
              <w:rPr>
                <w:rFonts w:ascii="Times New Roman" w:eastAsia="Times New Roman" w:hAnsi="Times New Roman" w:cs="Times New Roman"/>
                <w:sz w:val="20"/>
                <w:szCs w:val="20"/>
              </w:rPr>
            </w:pPr>
          </w:p>
        </w:tc>
      </w:tr>
      <w:tr w:rsidR="003B30AC" w:rsidRPr="00806720" w14:paraId="19C4DB60" w14:textId="77777777" w:rsidTr="003B30AC">
        <w:trPr>
          <w:trHeight w:val="350"/>
        </w:trPr>
        <w:tc>
          <w:tcPr>
            <w:tcW w:w="2430" w:type="dxa"/>
            <w:tcBorders>
              <w:top w:val="nil"/>
              <w:left w:val="nil"/>
              <w:bottom w:val="nil"/>
              <w:right w:val="nil"/>
            </w:tcBorders>
            <w:noWrap/>
            <w:vAlign w:val="center"/>
            <w:hideMark/>
          </w:tcPr>
          <w:p w14:paraId="0210DC5C"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中港基金</w:t>
            </w:r>
          </w:p>
        </w:tc>
        <w:tc>
          <w:tcPr>
            <w:tcW w:w="1380" w:type="dxa"/>
            <w:tcBorders>
              <w:top w:val="nil"/>
              <w:left w:val="nil"/>
              <w:bottom w:val="nil"/>
              <w:right w:val="nil"/>
            </w:tcBorders>
            <w:noWrap/>
            <w:vAlign w:val="center"/>
            <w:hideMark/>
          </w:tcPr>
          <w:p w14:paraId="5BE2758F"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7ABFA643" w14:textId="77777777" w:rsidTr="003B30AC">
        <w:trPr>
          <w:trHeight w:val="350"/>
        </w:trPr>
        <w:tc>
          <w:tcPr>
            <w:tcW w:w="2430" w:type="dxa"/>
            <w:tcBorders>
              <w:top w:val="nil"/>
              <w:left w:val="nil"/>
              <w:bottom w:val="nil"/>
              <w:right w:val="nil"/>
            </w:tcBorders>
            <w:noWrap/>
            <w:vAlign w:val="center"/>
            <w:hideMark/>
          </w:tcPr>
          <w:p w14:paraId="3020B5FC"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亞洲股票基金</w:t>
            </w:r>
          </w:p>
        </w:tc>
        <w:tc>
          <w:tcPr>
            <w:tcW w:w="1380" w:type="dxa"/>
            <w:tcBorders>
              <w:top w:val="nil"/>
              <w:left w:val="nil"/>
              <w:bottom w:val="nil"/>
              <w:right w:val="nil"/>
            </w:tcBorders>
            <w:noWrap/>
            <w:vAlign w:val="center"/>
            <w:hideMark/>
          </w:tcPr>
          <w:p w14:paraId="71F262A7"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0.121428077</w:t>
            </w:r>
          </w:p>
        </w:tc>
      </w:tr>
      <w:tr w:rsidR="003B30AC" w:rsidRPr="00806720" w14:paraId="59267051" w14:textId="77777777" w:rsidTr="003B30AC">
        <w:trPr>
          <w:trHeight w:val="350"/>
        </w:trPr>
        <w:tc>
          <w:tcPr>
            <w:tcW w:w="2430" w:type="dxa"/>
            <w:tcBorders>
              <w:top w:val="nil"/>
              <w:left w:val="nil"/>
              <w:bottom w:val="nil"/>
              <w:right w:val="nil"/>
            </w:tcBorders>
            <w:noWrap/>
            <w:vAlign w:val="center"/>
            <w:hideMark/>
          </w:tcPr>
          <w:p w14:paraId="255A5373"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亞洲債券基金</w:t>
            </w:r>
          </w:p>
        </w:tc>
        <w:tc>
          <w:tcPr>
            <w:tcW w:w="1380" w:type="dxa"/>
            <w:tcBorders>
              <w:top w:val="nil"/>
              <w:left w:val="nil"/>
              <w:bottom w:val="nil"/>
              <w:right w:val="nil"/>
            </w:tcBorders>
            <w:noWrap/>
            <w:vAlign w:val="center"/>
            <w:hideMark/>
          </w:tcPr>
          <w:p w14:paraId="1540270A"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0FF7136C" w14:textId="77777777" w:rsidTr="003B30AC">
        <w:trPr>
          <w:trHeight w:val="350"/>
        </w:trPr>
        <w:tc>
          <w:tcPr>
            <w:tcW w:w="2430" w:type="dxa"/>
            <w:tcBorders>
              <w:top w:val="nil"/>
              <w:left w:val="nil"/>
              <w:bottom w:val="nil"/>
              <w:right w:val="nil"/>
            </w:tcBorders>
            <w:noWrap/>
            <w:vAlign w:val="center"/>
            <w:hideMark/>
          </w:tcPr>
          <w:p w14:paraId="32AFAA6B"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核心累積基金</w:t>
            </w:r>
          </w:p>
        </w:tc>
        <w:tc>
          <w:tcPr>
            <w:tcW w:w="1380" w:type="dxa"/>
            <w:tcBorders>
              <w:top w:val="nil"/>
              <w:left w:val="nil"/>
              <w:bottom w:val="nil"/>
              <w:right w:val="nil"/>
            </w:tcBorders>
            <w:noWrap/>
            <w:vAlign w:val="center"/>
            <w:hideMark/>
          </w:tcPr>
          <w:p w14:paraId="1829A04B"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16475E84" w14:textId="77777777" w:rsidTr="003B30AC">
        <w:trPr>
          <w:trHeight w:val="350"/>
        </w:trPr>
        <w:tc>
          <w:tcPr>
            <w:tcW w:w="2430" w:type="dxa"/>
            <w:tcBorders>
              <w:top w:val="nil"/>
              <w:left w:val="nil"/>
              <w:bottom w:val="nil"/>
              <w:right w:val="nil"/>
            </w:tcBorders>
            <w:noWrap/>
            <w:vAlign w:val="center"/>
            <w:hideMark/>
          </w:tcPr>
          <w:p w14:paraId="14B0D63A"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增長組合</w:t>
            </w:r>
          </w:p>
        </w:tc>
        <w:tc>
          <w:tcPr>
            <w:tcW w:w="1380" w:type="dxa"/>
            <w:tcBorders>
              <w:top w:val="nil"/>
              <w:left w:val="nil"/>
              <w:bottom w:val="nil"/>
              <w:right w:val="nil"/>
            </w:tcBorders>
            <w:noWrap/>
            <w:vAlign w:val="center"/>
            <w:hideMark/>
          </w:tcPr>
          <w:p w14:paraId="5F172731"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6391FFDF" w14:textId="77777777" w:rsidTr="003B30AC">
        <w:trPr>
          <w:trHeight w:val="350"/>
        </w:trPr>
        <w:tc>
          <w:tcPr>
            <w:tcW w:w="2430" w:type="dxa"/>
            <w:tcBorders>
              <w:top w:val="nil"/>
              <w:left w:val="nil"/>
              <w:bottom w:val="nil"/>
              <w:right w:val="nil"/>
            </w:tcBorders>
            <w:noWrap/>
            <w:vAlign w:val="center"/>
            <w:hideMark/>
          </w:tcPr>
          <w:p w14:paraId="4B01AE04"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北美股票基金</w:t>
            </w:r>
          </w:p>
        </w:tc>
        <w:tc>
          <w:tcPr>
            <w:tcW w:w="1380" w:type="dxa"/>
            <w:tcBorders>
              <w:top w:val="nil"/>
              <w:left w:val="nil"/>
              <w:bottom w:val="nil"/>
              <w:right w:val="nil"/>
            </w:tcBorders>
            <w:noWrap/>
            <w:vAlign w:val="center"/>
            <w:hideMark/>
          </w:tcPr>
          <w:p w14:paraId="1A7DB4E9"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0.878572823</w:t>
            </w:r>
          </w:p>
        </w:tc>
      </w:tr>
      <w:tr w:rsidR="003B30AC" w:rsidRPr="00806720" w14:paraId="2A4B1833" w14:textId="77777777" w:rsidTr="003B30AC">
        <w:trPr>
          <w:trHeight w:val="350"/>
        </w:trPr>
        <w:tc>
          <w:tcPr>
            <w:tcW w:w="2430" w:type="dxa"/>
            <w:tcBorders>
              <w:top w:val="nil"/>
              <w:left w:val="nil"/>
              <w:bottom w:val="nil"/>
              <w:right w:val="nil"/>
            </w:tcBorders>
            <w:noWrap/>
            <w:vAlign w:val="center"/>
            <w:hideMark/>
          </w:tcPr>
          <w:p w14:paraId="7311F4CF"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基金經理精選退休基金</w:t>
            </w:r>
          </w:p>
        </w:tc>
        <w:tc>
          <w:tcPr>
            <w:tcW w:w="1380" w:type="dxa"/>
            <w:tcBorders>
              <w:top w:val="nil"/>
              <w:left w:val="nil"/>
              <w:bottom w:val="nil"/>
              <w:right w:val="nil"/>
            </w:tcBorders>
            <w:noWrap/>
            <w:vAlign w:val="center"/>
            <w:hideMark/>
          </w:tcPr>
          <w:p w14:paraId="12E9B17F"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6BC738D7" w14:textId="77777777" w:rsidTr="003B30AC">
        <w:trPr>
          <w:trHeight w:val="350"/>
        </w:trPr>
        <w:tc>
          <w:tcPr>
            <w:tcW w:w="2430" w:type="dxa"/>
            <w:tcBorders>
              <w:top w:val="nil"/>
              <w:left w:val="nil"/>
              <w:bottom w:val="nil"/>
              <w:right w:val="nil"/>
            </w:tcBorders>
            <w:noWrap/>
            <w:vAlign w:val="center"/>
            <w:hideMark/>
          </w:tcPr>
          <w:p w14:paraId="1DEC25CF"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美洲基金</w:t>
            </w:r>
          </w:p>
        </w:tc>
        <w:tc>
          <w:tcPr>
            <w:tcW w:w="1380" w:type="dxa"/>
            <w:tcBorders>
              <w:top w:val="nil"/>
              <w:left w:val="nil"/>
              <w:bottom w:val="nil"/>
              <w:right w:val="nil"/>
            </w:tcBorders>
            <w:noWrap/>
            <w:vAlign w:val="center"/>
            <w:hideMark/>
          </w:tcPr>
          <w:p w14:paraId="07734268"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r w:rsidR="003B30AC" w:rsidRPr="00806720" w14:paraId="5A966F93" w14:textId="77777777" w:rsidTr="003B30AC">
        <w:trPr>
          <w:trHeight w:val="350"/>
        </w:trPr>
        <w:tc>
          <w:tcPr>
            <w:tcW w:w="2430" w:type="dxa"/>
            <w:tcBorders>
              <w:top w:val="nil"/>
              <w:left w:val="nil"/>
              <w:bottom w:val="single" w:sz="8" w:space="0" w:color="auto"/>
              <w:right w:val="nil"/>
            </w:tcBorders>
            <w:noWrap/>
            <w:vAlign w:val="center"/>
            <w:hideMark/>
          </w:tcPr>
          <w:p w14:paraId="54DC7EA0" w14:textId="77777777" w:rsidR="003B30AC" w:rsidRPr="00806720" w:rsidRDefault="003B30AC" w:rsidP="003B30AC">
            <w:pPr>
              <w:widowControl/>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均衡組合</w:t>
            </w:r>
          </w:p>
        </w:tc>
        <w:tc>
          <w:tcPr>
            <w:tcW w:w="1380" w:type="dxa"/>
            <w:tcBorders>
              <w:top w:val="nil"/>
              <w:left w:val="nil"/>
              <w:bottom w:val="nil"/>
              <w:right w:val="nil"/>
            </w:tcBorders>
            <w:noWrap/>
            <w:vAlign w:val="center"/>
            <w:hideMark/>
          </w:tcPr>
          <w:p w14:paraId="29F296F8" w14:textId="77777777" w:rsidR="003B30AC" w:rsidRPr="00806720" w:rsidRDefault="003B30AC" w:rsidP="003B30AC">
            <w:pPr>
              <w:widowControl/>
              <w:jc w:val="right"/>
              <w:rPr>
                <w:rFonts w:ascii="新細明體" w:eastAsia="新細明體" w:hAnsi="新細明體" w:cs="Times New Roman"/>
                <w:color w:val="000000"/>
                <w:sz w:val="24"/>
                <w:szCs w:val="24"/>
              </w:rPr>
            </w:pPr>
            <w:r w:rsidRPr="00806720">
              <w:rPr>
                <w:rFonts w:ascii="新細明體" w:eastAsia="新細明體" w:hAnsi="新細明體" w:cs="Times New Roman"/>
                <w:color w:val="000000"/>
                <w:sz w:val="24"/>
                <w:szCs w:val="24"/>
              </w:rPr>
              <w:t>0</w:t>
            </w:r>
          </w:p>
        </w:tc>
      </w:tr>
    </w:tbl>
    <w:p w14:paraId="5E8E8FAC" w14:textId="60A61822" w:rsidR="003B30AC" w:rsidRPr="00806720" w:rsidRDefault="003B30AC" w:rsidP="003B30AC">
      <w:pPr>
        <w:pBdr>
          <w:top w:val="nil"/>
          <w:left w:val="nil"/>
          <w:bottom w:val="nil"/>
          <w:right w:val="nil"/>
          <w:between w:val="nil"/>
        </w:pBdr>
        <w:rPr>
          <w:rFonts w:ascii="新細明體" w:eastAsia="新細明體" w:hAnsi="新細明體" w:cs="新細明體"/>
        </w:rPr>
      </w:pPr>
    </w:p>
    <w:p w14:paraId="3BE9B6BD" w14:textId="77777777" w:rsidR="003B30AC" w:rsidRPr="00806720" w:rsidRDefault="003B30AC" w:rsidP="003B30AC">
      <w:pPr>
        <w:pBdr>
          <w:top w:val="nil"/>
          <w:left w:val="nil"/>
          <w:bottom w:val="nil"/>
          <w:right w:val="nil"/>
          <w:between w:val="nil"/>
        </w:pBdr>
        <w:rPr>
          <w:rFonts w:ascii="新細明體" w:eastAsia="新細明體" w:hAnsi="新細明體" w:cs="新細明體"/>
        </w:rPr>
      </w:pPr>
      <w:r w:rsidRPr="00806720">
        <w:rPr>
          <w:rFonts w:ascii="新細明體" w:eastAsia="新細明體" w:hAnsi="新細明體" w:cs="新細明體"/>
        </w:rPr>
        <w:t>預期回報: 0.83%</w:t>
      </w:r>
    </w:p>
    <w:p w14:paraId="10144302" w14:textId="77777777" w:rsidR="003B30AC" w:rsidRPr="00806720" w:rsidRDefault="003B30AC" w:rsidP="003B30AC">
      <w:pPr>
        <w:pBdr>
          <w:top w:val="nil"/>
          <w:left w:val="nil"/>
          <w:bottom w:val="nil"/>
          <w:right w:val="nil"/>
          <w:between w:val="nil"/>
        </w:pBdr>
        <w:rPr>
          <w:rFonts w:ascii="新細明體" w:eastAsia="新細明體" w:hAnsi="新細明體" w:cs="新細明體"/>
        </w:rPr>
      </w:pPr>
      <w:r w:rsidRPr="00806720">
        <w:rPr>
          <w:rFonts w:ascii="新細明體" w:eastAsia="新細明體" w:hAnsi="新細明體" w:cs="新細明體"/>
        </w:rPr>
        <w:t>波動率 (風險): 4.78%</w:t>
      </w:r>
    </w:p>
    <w:p w14:paraId="7CF72814" w14:textId="30BFF841" w:rsidR="003B30AC" w:rsidRPr="00806720" w:rsidRDefault="003B30AC" w:rsidP="003B30AC">
      <w:pPr>
        <w:pBdr>
          <w:top w:val="nil"/>
          <w:left w:val="nil"/>
          <w:bottom w:val="nil"/>
          <w:right w:val="nil"/>
          <w:between w:val="nil"/>
        </w:pBdr>
        <w:rPr>
          <w:rFonts w:ascii="新細明體" w:eastAsia="新細明體" w:hAnsi="新細明體" w:cs="新細明體"/>
        </w:rPr>
      </w:pPr>
      <w:r w:rsidRPr="00806720">
        <w:rPr>
          <w:rFonts w:ascii="新細明體" w:eastAsia="新細明體" w:hAnsi="新細明體" w:cs="新細明體"/>
        </w:rPr>
        <w:t>最大夏普比率: 0.1507</w:t>
      </w:r>
    </w:p>
    <w:p w14:paraId="2428A862" w14:textId="77777777" w:rsidR="003B30AC" w:rsidRPr="00806720" w:rsidRDefault="003B30AC" w:rsidP="003B30AC">
      <w:pPr>
        <w:pBdr>
          <w:top w:val="nil"/>
          <w:left w:val="nil"/>
          <w:bottom w:val="nil"/>
          <w:right w:val="nil"/>
          <w:between w:val="nil"/>
        </w:pBdr>
        <w:rPr>
          <w:rFonts w:ascii="新細明體" w:eastAsia="新細明體" w:hAnsi="新細明體" w:cs="新細明體"/>
        </w:rPr>
      </w:pPr>
    </w:p>
    <w:p w14:paraId="377DEF40" w14:textId="45844515" w:rsidR="003B30AC" w:rsidRPr="00806720" w:rsidRDefault="003B30AC" w:rsidP="003B30AC">
      <w:pPr>
        <w:pBdr>
          <w:top w:val="nil"/>
          <w:left w:val="nil"/>
          <w:bottom w:val="nil"/>
          <w:right w:val="nil"/>
          <w:between w:val="nil"/>
        </w:pBdr>
        <w:rPr>
          <w:rFonts w:ascii="新細明體" w:eastAsia="新細明體" w:hAnsi="新細明體" w:cs="新細明體"/>
        </w:rPr>
      </w:pPr>
      <w:r w:rsidRPr="00806720">
        <w:rPr>
          <w:rFonts w:ascii="新細明體" w:eastAsia="新細明體" w:hAnsi="新細明體" w:cs="新細明體"/>
        </w:rPr>
        <w:t>模型將約 88% 的權重分配給「北美股票基金」，反映出該資產在樣本期間具備極強的風險補償能力。其餘 12% 分配給「亞洲股票基金」，則是在統計學上利用了兩者之間的低相關性，以達到分散風險的效果</w:t>
      </w:r>
      <w:r w:rsidRPr="00806720">
        <w:rPr>
          <w:rFonts w:ascii="新細明體" w:eastAsia="新細明體" w:hAnsi="新細明體" w:cs="新細明體" w:hint="eastAsia"/>
        </w:rPr>
        <w:t>，</w:t>
      </w:r>
      <w:r w:rsidRPr="00806720">
        <w:rPr>
          <w:rFonts w:ascii="新細明體" w:eastAsia="新細明體" w:hAnsi="新細明體" w:cs="新細明體"/>
        </w:rPr>
        <w:t xml:space="preserve">雖然 4.78% </w:t>
      </w:r>
      <w:proofErr w:type="gramStart"/>
      <w:r w:rsidRPr="00806720">
        <w:rPr>
          <w:rFonts w:ascii="新細明體" w:eastAsia="新細明體" w:hAnsi="新細明體" w:cs="新細明體"/>
        </w:rPr>
        <w:t>的月度波動</w:t>
      </w:r>
      <w:proofErr w:type="gramEnd"/>
      <w:r w:rsidRPr="00806720">
        <w:rPr>
          <w:rFonts w:ascii="新細明體" w:eastAsia="新細明體" w:hAnsi="新細明體" w:cs="新細明體"/>
        </w:rPr>
        <w:t>率屬於中高風險範疇，但透過 MPT 優化後的組合，</w:t>
      </w:r>
      <w:proofErr w:type="gramStart"/>
      <w:r w:rsidRPr="00806720">
        <w:rPr>
          <w:rFonts w:ascii="新細明體" w:eastAsia="新細明體" w:hAnsi="新細明體" w:cs="新細明體"/>
        </w:rPr>
        <w:t>其夏普</w:t>
      </w:r>
      <w:proofErr w:type="gramEnd"/>
      <w:r w:rsidRPr="00806720">
        <w:rPr>
          <w:rFonts w:ascii="新細明體" w:eastAsia="新細明體" w:hAnsi="新細明體" w:cs="新細明體"/>
        </w:rPr>
        <w:t>比率 (0.1507) 顯著高於單一持有中港或亞洲債券之表現。</w:t>
      </w:r>
    </w:p>
    <w:sectPr w:rsidR="003B30AC" w:rsidRPr="008067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1" w:fontKey="{4BE1BE6E-0FD0-4611-AC41-0C5114A9A252}"/>
  </w:font>
  <w:font w:name="Arial Unicode MS">
    <w:altName w:val="Arial"/>
    <w:panose1 w:val="020B0604020202020204"/>
    <w:charset w:val="00"/>
    <w:family w:val="auto"/>
    <w:pitch w:val="default"/>
  </w:font>
  <w:font w:name="新細明體-ExtB">
    <w:panose1 w:val="02020500000000000000"/>
    <w:charset w:val="88"/>
    <w:family w:val="roman"/>
    <w:pitch w:val="variable"/>
    <w:sig w:usb0="8000002F" w:usb1="0A080008" w:usb2="00000010" w:usb3="00000000" w:csb0="00100001" w:csb1="00000000"/>
    <w:embedRegular r:id="rId2" w:subsetted="1" w:fontKey="{FE2D9C23-4B6D-43F7-873C-BA7BE3321EF2}"/>
  </w:font>
  <w:font w:name="Courier">
    <w:altName w:val="Courier New"/>
    <w:panose1 w:val="020704090202050204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3" w:fontKey="{FEAA29AB-60B7-47B0-A28D-762A60E98891}"/>
  </w:font>
  <w:font w:name="Calibri">
    <w:panose1 w:val="020F0502020204030204"/>
    <w:charset w:val="00"/>
    <w:family w:val="swiss"/>
    <w:pitch w:val="variable"/>
    <w:sig w:usb0="E4002EFF" w:usb1="C200247B" w:usb2="00000009" w:usb3="00000000" w:csb0="000001FF" w:csb1="00000000"/>
    <w:embedRegular r:id="rId4" w:fontKey="{50EDBEAC-1B73-4761-B7EA-7A760DFEABDA}"/>
  </w:font>
  <w:font w:name="Cambria">
    <w:panose1 w:val="02040503050406030204"/>
    <w:charset w:val="00"/>
    <w:family w:val="roman"/>
    <w:pitch w:val="variable"/>
    <w:sig w:usb0="E00006FF" w:usb1="420024FF" w:usb2="02000000" w:usb3="00000000" w:csb0="0000019F" w:csb1="00000000"/>
    <w:embedRegular r:id="rId5" w:fontKey="{9D44988B-AB7B-4B04-8038-373C7B708D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852"/>
    <w:multiLevelType w:val="multilevel"/>
    <w:tmpl w:val="DF7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57BF8"/>
    <w:multiLevelType w:val="multilevel"/>
    <w:tmpl w:val="45F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A1DBC"/>
    <w:multiLevelType w:val="multilevel"/>
    <w:tmpl w:val="D60078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DCD6A36"/>
    <w:multiLevelType w:val="multilevel"/>
    <w:tmpl w:val="EC68F9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CB12AEC"/>
    <w:multiLevelType w:val="multilevel"/>
    <w:tmpl w:val="F384B9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F213E71"/>
    <w:multiLevelType w:val="multilevel"/>
    <w:tmpl w:val="692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C364E"/>
    <w:multiLevelType w:val="multilevel"/>
    <w:tmpl w:val="1B74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531269">
    <w:abstractNumId w:val="4"/>
  </w:num>
  <w:num w:numId="2" w16cid:durableId="270556899">
    <w:abstractNumId w:val="2"/>
  </w:num>
  <w:num w:numId="3" w16cid:durableId="1657420913">
    <w:abstractNumId w:val="3"/>
  </w:num>
  <w:num w:numId="4" w16cid:durableId="1095054346">
    <w:abstractNumId w:val="0"/>
  </w:num>
  <w:num w:numId="5" w16cid:durableId="141235309">
    <w:abstractNumId w:val="1"/>
  </w:num>
  <w:num w:numId="6" w16cid:durableId="1073433824">
    <w:abstractNumId w:val="5"/>
  </w:num>
  <w:num w:numId="7" w16cid:durableId="1445804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3F"/>
    <w:rsid w:val="00163990"/>
    <w:rsid w:val="00195235"/>
    <w:rsid w:val="00213449"/>
    <w:rsid w:val="0026509B"/>
    <w:rsid w:val="002C2999"/>
    <w:rsid w:val="003B30AC"/>
    <w:rsid w:val="003C3B80"/>
    <w:rsid w:val="00424BCB"/>
    <w:rsid w:val="0048362D"/>
    <w:rsid w:val="004B752A"/>
    <w:rsid w:val="00563A05"/>
    <w:rsid w:val="006160C1"/>
    <w:rsid w:val="006327F6"/>
    <w:rsid w:val="006D02E9"/>
    <w:rsid w:val="006D739E"/>
    <w:rsid w:val="007021B1"/>
    <w:rsid w:val="00730A30"/>
    <w:rsid w:val="007D12B0"/>
    <w:rsid w:val="00806720"/>
    <w:rsid w:val="00922B15"/>
    <w:rsid w:val="00983CEB"/>
    <w:rsid w:val="009B1E0D"/>
    <w:rsid w:val="009B3A89"/>
    <w:rsid w:val="00A72728"/>
    <w:rsid w:val="00A84FA7"/>
    <w:rsid w:val="00AA0C82"/>
    <w:rsid w:val="00B06E5D"/>
    <w:rsid w:val="00B45013"/>
    <w:rsid w:val="00D23E43"/>
    <w:rsid w:val="00D97EA1"/>
    <w:rsid w:val="00DC493F"/>
    <w:rsid w:val="00DD1E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34FA"/>
  <w15:docId w15:val="{CBC9EB61-AD7D-4922-A486-ADB0B82D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Placeholder Text"/>
    <w:basedOn w:val="a0"/>
    <w:uiPriority w:val="99"/>
    <w:semiHidden/>
    <w:rsid w:val="002650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CC9A6-A82A-4ED7-AC33-4095B3A79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9</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Ka Hing</cp:lastModifiedBy>
  <cp:revision>21</cp:revision>
  <dcterms:created xsi:type="dcterms:W3CDTF">2026-05-12T10:53:00Z</dcterms:created>
  <dcterms:modified xsi:type="dcterms:W3CDTF">2026-05-17T18:55:00Z</dcterms:modified>
</cp:coreProperties>
</file>