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20"/>
        <w:jc w:val="center"/>
      </w:pPr>
      <w:r>
        <w:rPr>
          <w:b/>
          <w:bCs/>
        </w:rPr>
        <w:t xml:space="preserve">Trade Participation and Emissions Efficiency</w:t>
      </w:r>
    </w:p>
    <w:p>
      <w:pPr>
        <w:pStyle w:val="BodyText"/>
        <w:spacing w:after="120"/>
        <w:jc w:val="center"/>
      </w:pPr>
      <w:r>
        <w:rPr>
          <w:b/>
          <w:bCs/>
        </w:rPr>
        <w:t xml:space="preserve">of Indonesian Manufacturing Firms</w:t>
      </w:r>
    </w:p>
    <w:p>
      <w:pPr>
        <w:pStyle w:val="BodyText"/>
        <w:spacing w:after="120"/>
        <w:jc w:val="center"/>
      </w:pPr>
      <w:r>
        <w:rPr>
          <w:i/>
          <w:iCs/>
        </w:rPr>
        <w:t xml:space="preserve">Deasy D.P. Pane, Natanael W.G. Massie, Riandy Laksono,</w:t>
      </w:r>
    </w:p>
    <w:p>
      <w:pPr>
        <w:pStyle w:val="BodyText"/>
        <w:spacing w:after="120"/>
        <w:jc w:val="center"/>
      </w:pPr>
      <w:r>
        <w:rPr>
          <w:i/>
          <w:iCs/>
        </w:rPr>
        <w:t xml:space="preserve">Schalke Anindya, Albert Ludi A. &amp; Ariel T.W. Massie</w:t>
      </w:r>
    </w:p>
    <w:bookmarkStart w:id="9" w:name="introduction"/>
    <w:p>
      <w:pPr>
        <w:pStyle w:val="Heading1"/>
      </w:pPr>
      <w:r>
        <w:t xml:space="preserve">1. Introduction</w:t>
      </w:r>
    </w:p>
    <w:p>
      <w:pPr>
        <w:pStyle w:val="FirstParagraph"/>
        <w:spacing w:after="200" w:line="360" w:lineRule="auto"/>
        <w:jc w:val="both"/>
      </w:pPr>
      <w:r>
        <w:t xml:space="preserve">The relationship between international trade and environmental outcomes has been a central concern in economics for more than three decades. The theoretical foundations laid by Grossman and Krueger (1991, 1995), Copeland and Taylor (1994, 2004), and Antweiler, Copeland, and Taylor (2001) established that trade affects pollution through three channels: a scale effect, whereby trade expansion raises output and potentially pollution; a composition effect, whereby trade shifts the industrial mix toward cleaner or dirtier sectors depending on comparative advantage; and a technique effect, whereby trade-induced income growth and competition raise demand for and adoption of cleaner production technologies. The empirical evidence from cross-country studies has generally concluded that the technique effect dominates, so that freer trade tends to be associated with lower pollution concentrations (Antweiler et al., 2001). Yet these aggregate findings leave open a question that is increasingly important for policy: through which firm-level mechanisms does trade participation affect emissions, and does the evidence hold for developing-country manufacturers operating in carbon-intensive energy environments?</w:t>
      </w:r>
    </w:p>
    <w:p>
      <w:pPr>
        <w:pStyle w:val="BodyText"/>
        <w:spacing w:after="200" w:line="360" w:lineRule="auto"/>
        <w:jc w:val="both"/>
      </w:pPr>
      <w:r>
        <w:t xml:space="preserve">This paper addresses that question using firm-level data from Indonesia’s manufacturing sector. We examine whether entry into international markets, through exporting, importing intermediate inputs, or receiving foreign direct investment, improves the emissions efficiency of Indonesian manufacturers. We investigate two aspects of energy and emissions efficiency, namely the value added produced per unit of energy consumed (VA/GJ) and per unit of CO₂ emitted (VA/CO₂). These efficiency-based measures capture whether firms produce more economic value with less environmental cost, which is the relevant margin for assessing whether trade participation generates a technique effect at the firm level.</w:t>
      </w:r>
    </w:p>
    <w:p>
      <w:pPr>
        <w:pStyle w:val="BodyText"/>
        <w:spacing w:after="200" w:line="360" w:lineRule="auto"/>
        <w:jc w:val="both"/>
      </w:pPr>
      <w:r>
        <w:t xml:space="preserve">The question matters for several reasons. First, Indonesia is among the world’s top ten CO₂ emitters, with approximately 812 million tonnes of emissions in 2024 (Global Carbon Budget, 2025). Manufacturing plays a dual role in this profile. It is central to Indonesia’s economic development strategy, contributing to employment, productivity, and export growth, but it is also a major consumer of energy and a significant source of industrial emissions. The tension between these two roles makes manufacturing the critical arena for any green transition strategy. If trade participation can improve the energy and emissions efficiency of manufacturing firms, then trade-facilitating policies may deliver a form of double dividend outcomes, namely improving economic competitiveness alongside reducing emissions intensity.</w:t>
      </w:r>
    </w:p>
    <w:p>
      <w:pPr>
        <w:pStyle w:val="BodyText"/>
        <w:spacing w:after="200" w:line="360" w:lineRule="auto"/>
        <w:jc w:val="both"/>
      </w:pPr>
      <w:r>
        <w:t xml:space="preserve">Second, the global trade-climate landscape has changed in ways that make embedded emissions increasingly relevant to export competitiveness. Since the adoption of the Paris Agreement in 2015, climate policy has moved from a largely environmental agenda into the core of trade, investment, and industrial policy. The European Union’s Carbon Border Adjustment Mechanism (CBAM), which entered its definitive phase in January 2026 after a transitional reporting period, places a carbon price on embedded emissions in selected imports, including iron and steel, aluminium, cement, fertilisers, hydrogen, and electricity. For Indonesian exporters in these sectors, the carbon intensity of production is no longer only a domestic environmental issue. It now directly affects price competitiveness and market access in one of the world’s largest import markets.</w:t>
      </w:r>
    </w:p>
    <w:p>
      <w:pPr>
        <w:pStyle w:val="BodyText"/>
        <w:spacing w:after="200" w:line="360" w:lineRule="auto"/>
        <w:jc w:val="both"/>
      </w:pPr>
      <w:r>
        <w:t xml:space="preserve">Beyond formal carbon pricing, multinational lead firms are also tightening climate-related requirements across their supply chains. Apple’s Supplier Clean Energy Program, for example, requires participating suppliers to use 100 per cent clean energy for Apple production by 2030. Similar pressures are emerging from other global companies through supplier decarbonisation targets, low-carbon material sourcing, and Scope 3 emissions commitments. Volkswagen, for instance, has set decarbonisation targets across its production system and supply chain, while Unilever has worked with major retailers to reduce Scope 3 emissions across its value chain. These private-sector requirements operate as a form of de facto carbon regulation, transmitting new cost and compliance pressures to upstream producers in countries such as Indonesia.</w:t>
      </w:r>
    </w:p>
    <w:p>
      <w:pPr>
        <w:pStyle w:val="BodyText"/>
        <w:spacing w:after="200" w:line="360" w:lineRule="auto"/>
        <w:jc w:val="both"/>
      </w:pPr>
      <w:r>
        <w:t xml:space="preserve">Consumer demand is also moving in the same direction, although unevenly. Survey and market evidence suggests that many consumers, especially in advanced economies, are willing to pay more for sustainably produced or sourced goods, while sustainability-marketed products have continued to gain market share in several consumer markets.</w:t>
      </w:r>
    </w:p>
    <w:p>
      <w:pPr>
        <w:pStyle w:val="BodyText"/>
        <w:spacing w:after="200" w:line="360" w:lineRule="auto"/>
        <w:jc w:val="both"/>
      </w:pPr>
      <w:r>
        <w:t xml:space="preserve">Third, the evidence base on trade and emissions at the firm level remains thin for developing countries. The existing literature draws primarily on advanced-economy samples. Holladay (2016) documents that US exporters emit 9 to 13 per cent less pollution than non-exporters after controlling for output. Forslid, Okubo, and Ulltveit-Moe (2018), using Swedish firm-level data, find that exporters are 11 to 27 per cent less emissions-intensive for CO₂, NOx, and SO₂, and provide a theoretical mechanism through the fixed-cost nature of abatement investment. Cherniwchan (2017) shows that NAFTA reduced US manufacturing emissions by approximately 8 per cent, concentrated in the within-plant technique effect. Shapiro and Walker (2018) decompose the 60 per cent decline in US manufacturing emissions between 1990 and 2008 and find that environmental regulation, rather than trade per se, accounts for the bulk of the reduction. From developing countries, Rodrigue, Sheng, and Tan (2024) study Chinese manufacturers following WTO accession and find that exporters are significantly less emissions-intensive, with productivity-driven technique effects playing a role alongside abatement investment. He, Yin, and Zheng (2023) provide the most directly relevant evidence on the import channel, showing that both importing and exporting reduce firm-level emission intensities in China.</w:t>
      </w:r>
    </w:p>
    <w:p>
      <w:pPr>
        <w:pStyle w:val="BodyText"/>
        <w:spacing w:after="200" w:line="360" w:lineRule="auto"/>
        <w:jc w:val="both"/>
      </w:pPr>
      <w:r>
        <w:t xml:space="preserve">Indonesia offers a particularly informative setting for studying these questions for three reasons. First, its manufacturing sector is large and highly heterogeneous, with substantial variation across firms in energy intensity, trade participation, technology use, and ownership structure. This heterogeneity makes it possible to examine whether exposure to international markets is associated with improvements in energy and emissions efficiency, rather than only differences across sectors. Second, Indonesia’s electricity system remains heavily dependent on coal, which accounted for around 69 per cent of power generation in 2023 according to IEA data. This creates a structural constraint that distinguishes Indonesia from the Swedish and US settings that dominate much of the existing firm-level literature. Even when firms improve their energy efficiency, the resulting emissions gains may be partly dampened by the high carbon intensity of the electricity grid, especially for firms that rely heavily on purchased electricity. Third, Indonesia’s trade policy environment has become more interventionist, with the growing use of non-tariff measures, local content requirements, and import restrictions that may limit firms’ access to imported intermediate inputs (Pane, 2026). Existing studies show that internationalisation can improve firm productivity and export performance. However, less is known about whether these benefits also extend to the environmental dimension. This paper therefore asks whether export, import, and FDI participation help Indonesian manufacturing firms produce more value with less energy use and lower emissions intensity.</w:t>
      </w:r>
    </w:p>
    <w:p>
      <w:pPr>
        <w:pStyle w:val="BodyText"/>
        <w:spacing w:after="200" w:line="360" w:lineRule="auto"/>
        <w:jc w:val="both"/>
      </w:pPr>
      <w:r>
        <w:t xml:space="preserve">Our empirical strategy uses staggered difference-in-differences to estimate the causal effect of trade entry on emissions efficiency. The staggered design exploits the fact that firms enter international markets in different years, allowing us to compare changes in efficiency for firms that just entered with changes for similar firms that have not yet entered or never enter. We use four complementary estimators. The Borusyak, Jaravel, and Spiess (2024) imputation estimator is used as the primary specification. The Callaway and Sant’Anna (2021) group-time average treatment effect estimator provide an additional robustness check by allowing treatment effects to vary across cohorts and over time. The de Chaisemartin and D’Haultfœuille (2020) dynamic estimator is used for validation and pre-trend diagnostics, while standard two-way fixed effects are reported as a benchmark for comparability with the earlier literature. We also introduce a sustained-entry timing rule that requires trade participation to persist for at least two consecutive years, reducing attenuation from transient trade spells.</w:t>
      </w:r>
    </w:p>
    <w:p>
      <w:pPr>
        <w:pStyle w:val="BodyText"/>
        <w:spacing w:after="200" w:line="360" w:lineRule="auto"/>
        <w:jc w:val="both"/>
      </w:pPr>
      <w:r>
        <w:t xml:space="preserve">The emissions data are constructed from the ground up using the Annual Manufacturing Survey for 2000–2014 from the Statistic Office of Indonesia (BPS). We convert physical fuel consumption into Scope 1 emissions using net calorific values from Indonesia’s energy balance and IPCC 2006 emission factors. Scope 2 emissions are estimated by multiplying purchased electricity by a grid emission factor that we construct year by year from national electricity generation data. This bottom-up approach, using physical energy quantities rather than monetary expenditure, provides a more reliable basis for estimating firm-level emissions because it avoids distortions from energy subsidies, price variation, and accounting inconsistencies.</w:t>
      </w:r>
    </w:p>
    <w:p>
      <w:pPr>
        <w:pStyle w:val="BodyText"/>
        <w:spacing w:after="200" w:line="360" w:lineRule="auto"/>
        <w:jc w:val="both"/>
      </w:pPr>
      <w:r>
        <w:t xml:space="preserve">Our main findings are as follows. First, sustained entry into export is associated with efficiency gains of approximately 8 per cent on VA/GJ and 6.5 per cent on VA/CO₂, under the preferred BJS specification. consistent with the scale-and-abatement mechanism documented in the advanced-economy literature. Second, the import channel produces larger effects sustained import entry raises energy efficiency by 11.3 per cent and emission efficiency by 9.9 per cent, under BJS approach, consistent with the hypothesis that imported inputs embody technologies that improve energy and emissions performance. Third, FDI entry does not produce a statistically significant effect, possibly reflecting the weak environmental regulatory environment during the sample period. Fifth, the effect on energy efficiency (VA/GJ) consistently exceeds the effect on emissions efficiency (VA/CO₂), pointing to a structural constraint imposed by Indonesia’s coal-heavy grid. Even if a firm uses less energy per unit of value added, the emissions gain will be smaller if the energy it still uses comes from carbon-intensive sources.</w:t>
      </w:r>
    </w:p>
    <w:p>
      <w:pPr>
        <w:pStyle w:val="BodyText"/>
        <w:spacing w:after="200" w:line="360" w:lineRule="auto"/>
        <w:jc w:val="both"/>
      </w:pPr>
      <w:r>
        <w:t xml:space="preserve">The paper makes three contributions. First, it provides the first staggered difference-in-differences estimates of trade’s effect on emissions efficiency in a major developing-country manufacturing sector, with export and import channels identified separately. Second, it constructs firm-level emissions indicators from physical energy data for the full universe of medium and large Indonesian manufacturers over a 15-year panel, a dataset that has not previously been used for environmental analysis in this form. Third, it documents a new empirical regularity, that is the gap between energy efficiency and emissions efficiency effects as a function of grid carbon intensity, which has implications for the complementarity between trade policy and energy policy in the green transition.</w:t>
      </w:r>
    </w:p>
    <w:p>
      <w:pPr>
        <w:pStyle w:val="BodyText"/>
        <w:spacing w:after="200" w:line="360" w:lineRule="auto"/>
        <w:jc w:val="both"/>
      </w:pPr>
      <w:r>
        <w:t xml:space="preserve">The remainder of the paper is organised as follows. Section 2 reviews the theoretical and empirical literature on trade and the environment at the country, industry, and firm levels. Section 3 describes the data and the construction of emissions variables. Section 4 presents the identification strategy. Section 5 reports the main results and robustness checks. Section 6 discusses the findings in the context of the existing literature and their policy implications. Section 7 concludes.</w:t>
      </w:r>
    </w:p>
    <w:bookmarkEnd w:id="9"/>
    <w:bookmarkStart w:id="16" w:name="literature-review"/>
    <w:p>
      <w:pPr>
        <w:pStyle w:val="Heading1"/>
      </w:pPr>
      <w:r>
        <w:t xml:space="preserve">2. Literature Review</w:t>
      </w:r>
    </w:p>
    <w:bookmarkStart w:id="10" w:name="X0298a7d1077d7e439f953bb315b9146f532f822"/>
    <w:p>
      <w:pPr>
        <w:pStyle w:val="Heading2"/>
      </w:pPr>
      <w:r>
        <w:t xml:space="preserve">2.1. Trade and the environment: the aggregate evidence</w:t>
      </w:r>
    </w:p>
    <w:p>
      <w:pPr>
        <w:pStyle w:val="FirstParagraph"/>
        <w:spacing w:after="200" w:line="360" w:lineRule="auto"/>
        <w:jc w:val="both"/>
      </w:pPr>
      <w:r>
        <w:t xml:space="preserve">The theoretical framework for analysing trade’s environmental effects was established by Grossman and Krueger (1991, 1995) and formalised by Copeland and Taylor (1994, 2004). Their models decompose the environmental impact of trade into three effects. The scale effect captures the increase in pollution associated with higher output when trade raises the overall level of economic activity. The composition effect reflects changes in the industrial mix: if trade shifts a country’s production toward sectors in which it has a comparative advantage, and if those sectors happen to be more (or less) pollution-intensive, the composition of output changes accordingly. The technique effect captures the adoption of cleaner production methods, driven by higher incomes, stricter environmental regulation, or competitive pressure from international markets.</w:t>
      </w:r>
    </w:p>
    <w:p>
      <w:pPr>
        <w:pStyle w:val="BodyText"/>
        <w:spacing w:after="200" w:line="360" w:lineRule="auto"/>
        <w:jc w:val="both"/>
      </w:pPr>
      <w:r>
        <w:t xml:space="preserve">Antweiler, Copeland, and Taylor (2001) operationalised this framework empirically using data on sulphur dioxide concentrations across countries. Their central finding is that the technique effect dominates: freer trade appears to reduce pollution concentrations, because the income gains from trade induce both stronger environmental regulation and cleaner production technologies. This result is qualified by the composition effect, which depends on factor endowments and comparative advantage, but the net effect is negative (i.e. trade reduces pollution). Copeland and Taylor (2004) provide a comprehensive survey of this literature and emphasise that the aggregate outcome is the product of these three forces, so the environmental consequences of trade are theoretically ambiguous and must be resolved empirically.</w:t>
      </w:r>
    </w:p>
    <w:p>
      <w:pPr>
        <w:pStyle w:val="BodyText"/>
        <w:spacing w:after="200" w:line="360" w:lineRule="auto"/>
        <w:jc w:val="both"/>
      </w:pPr>
      <w:r>
        <w:t xml:space="preserve">The pollution haven hypothesis, which predicts that trade liberalisation causes pollution-intensive production to relocate to countries with weaker environmental regulation, has received mixed empirical support. Levinson and Taylor (2008) find some evidence that higher abatement costs in the United States are associated with increased imports from Mexico, consistent with pollution-haven effects. However, the magnitude is modest relative to the technique effect. More recently, Shapiro (2021) provides a clean test using a gravity framework and finds that environmental policy differences do influence the pattern of trade, but the implied emissions leakage is small.</w:t>
      </w:r>
    </w:p>
    <w:bookmarkEnd w:id="10"/>
    <w:bookmarkStart w:id="11" w:name="from-aggregate-to-firm-level-analysis"/>
    <w:p>
      <w:pPr>
        <w:pStyle w:val="Heading2"/>
      </w:pPr>
      <w:r>
        <w:t xml:space="preserve">2.2. From aggregate to firm-level analysis</w:t>
      </w:r>
    </w:p>
    <w:p>
      <w:pPr>
        <w:pStyle w:val="FirstParagraph"/>
        <w:spacing w:after="200" w:line="360" w:lineRule="auto"/>
        <w:jc w:val="both"/>
      </w:pPr>
      <w:r>
        <w:t xml:space="preserve">While the aggregate evidence is informative, it cannot identify the mechanisms through which trade affects emissions at the level of the firm. This matters because aggregate industry-level changes in emissions can arise from multiple margins: individual firms may become cleaner (the intensity effect), market shares may shift toward cleaner firms (the reallocation effect), or dirtier firms may exit (the selection effect).</w:t>
      </w:r>
    </w:p>
    <w:p>
      <w:pPr>
        <w:pStyle w:val="BodyText"/>
        <w:spacing w:after="200" w:line="360" w:lineRule="auto"/>
        <w:jc w:val="both"/>
      </w:pPr>
      <w:r>
        <w:t xml:space="preserve">Cherniwchan, Copeland, and Taylor (2017) provide a systematic decomposition of these margins and argue that firm-level evidence is necessary to identify which mechanisms are at work. At the firm level, the study provides the first clean causal evidence on trade liberalisation and plant-level emissions. Exploiting NAFTA as a quasi-natural experiment, she finds that trade liberalisation reduced total emissions from US manufacturing by approximately 8 per cent, with the reduction concentrated in the within-plant technique effect rather than compositional shifts. This is an important finding because it confirms that trade can make individual plants cleaner, not merely shift production toward cleaner sectors or force dirty plants to exit.</w:t>
      </w:r>
    </w:p>
    <w:p>
      <w:pPr>
        <w:pStyle w:val="BodyText"/>
        <w:spacing w:after="200" w:line="360" w:lineRule="auto"/>
        <w:jc w:val="both"/>
      </w:pPr>
      <w:r>
        <w:t xml:space="preserve">Shapiro and Walker (2018), in a comprehensive decomposition of the 60 per cent decline in US manufacturing emissions between 1990 and 2008, find that within-product changes in emissions intensity, rather than shifts in output composition, drive the aggregate decline. They attribute roughly three-quarters of the reduction to environmental regulation, specifically the implicit pollution tax faced by US manufacturers, which approximately doubled over the period. Their framework is important for the present study because it clarifies the relative roles of regulation and trade in driving firm-level emissions reductions. In the US context, regulation dominated. In a country like Indonesia, where formal environmental regulation during the sample period was relatively weak, the question is whether trade participation can serve as a substitute mechanism for inducing firm-level efficiency gains.</w:t>
      </w:r>
    </w:p>
    <w:bookmarkEnd w:id="11"/>
    <w:bookmarkStart w:id="12" w:name="exporting-and-emissions-efficiency"/>
    <w:p>
      <w:pPr>
        <w:pStyle w:val="Heading2"/>
      </w:pPr>
      <w:r>
        <w:t xml:space="preserve">2.3. Exporting and emissions efficiency</w:t>
      </w:r>
    </w:p>
    <w:p>
      <w:pPr>
        <w:pStyle w:val="FirstParagraph"/>
        <w:spacing w:after="200" w:line="360" w:lineRule="auto"/>
        <w:jc w:val="both"/>
      </w:pPr>
      <w:r>
        <w:t xml:space="preserve">The firm-level evidence on the export-emissions relationship draws on two theoretical channels. The first is the productivity-sorting channel, which follows from Melitz (2003): more productive firms self-select into exporting, and if productivity and emissions efficiency are correlated, exporters will appear cleaner even without a causal effect of exporting itself. The second is the scale-and-abatement channel, formalised by Forslid, Okubo, and Ulltveit-Moe (2018): exporting raises production volumes, which allows firms to spread the fixed costs of abatement investment over more units, thereby lowering emissions intensity. Their model predicts that emissions intensity is negatively related to both firm productivity and export status, and that trade liberalisation can reduce global emissions even in the presence of pollution-haven effects.</w:t>
      </w:r>
    </w:p>
    <w:p>
      <w:pPr>
        <w:pStyle w:val="BodyText"/>
        <w:spacing w:after="200" w:line="360" w:lineRule="auto"/>
        <w:jc w:val="both"/>
      </w:pPr>
      <w:r>
        <w:t xml:space="preserve">Empirically, Holladay (2016) documents that US exporters emit 9 to 13 per cent less pollution than non-exporters after controlling for output, industry, state, and year effects. Cui, Lapan, and Moschini (2016) confirm this pattern for multiple pollutants using direct plant-level productivity measures. Forslid, Okubo, and Ulltveit-Moe (2018), using Swedish firm-level data with precise export sales tracking, find a strong negative relationship between exporting and emission intensity for CO₂, NOx, and SO₂, with exporters being 11 to 27 per cent less emissions-intensive than comparable non-exporters.</w:t>
      </w:r>
    </w:p>
    <w:p>
      <w:pPr>
        <w:pStyle w:val="BodyText"/>
        <w:spacing w:after="200" w:line="360" w:lineRule="auto"/>
        <w:jc w:val="both"/>
      </w:pPr>
      <w:r>
        <w:t xml:space="preserve">From developing countries, the evidence is more recent and thinner. Rodrigue, Sheng, and Tan (2024), examine Chinese manufacturers following WTO accession. They document that exporters are significantly less emissions-intensive than non-exporters for SO₂ and industrial dust emissions, and that this gap widened over the accession period. Importantly, they show that the lower emissions intensity of exporters cannot be fully explained by differential rates of abatement investment, suggesting that productivity-driven technique effects also play a role. This finding is relevant for the present study because it indicates that the benefits of exporting for environmental performance are not confined to advanced economies with strong environmental regulation.</w:t>
      </w:r>
    </w:p>
    <w:p>
      <w:pPr>
        <w:pStyle w:val="BodyText"/>
        <w:spacing w:after="200" w:line="360" w:lineRule="auto"/>
        <w:jc w:val="both"/>
      </w:pPr>
      <w:r>
        <w:t xml:space="preserve">Gao, Yu, Jiang, and Pei (2024), using Chinese firm-level data matched with input-output tables, find that firms positioned further downstream in global value chains have lower pollutant emission intensity, and attribute this to production factor structure effects, knowledge absorption, and abatement investment. Their work suggests that the position of a firm in international production networks, not merely its export status, matters for environmental outcomes.</w:t>
      </w:r>
    </w:p>
    <w:bookmarkEnd w:id="12"/>
    <w:bookmarkStart w:id="13" w:name="importing-and-emissions-efficiency"/>
    <w:p>
      <w:pPr>
        <w:pStyle w:val="Heading2"/>
      </w:pPr>
      <w:r>
        <w:t xml:space="preserve">2.4. Importing and emissions efficiency</w:t>
      </w:r>
    </w:p>
    <w:p>
      <w:pPr>
        <w:pStyle w:val="FirstParagraph"/>
        <w:spacing w:after="200" w:line="360" w:lineRule="auto"/>
        <w:jc w:val="both"/>
      </w:pPr>
      <w:r>
        <w:t xml:space="preserve">The import channel has received less attention in the trade-environment literature than the export channel, but it is potentially important because imported intermediate inputs can directly alter the production technology frontier. The theoretical case rests on the insight that imported inputs may embody technologies, materials, or process innovations that improve energy and emissions efficiency per unit of output. This channel is distinct from the export channel, which operates more indirectly through learning, scale, and buyer-induced upgrading.</w:t>
      </w:r>
    </w:p>
    <w:p>
      <w:pPr>
        <w:pStyle w:val="BodyText"/>
        <w:spacing w:after="200" w:line="360" w:lineRule="auto"/>
        <w:jc w:val="both"/>
      </w:pPr>
      <w:r>
        <w:t xml:space="preserve">He, Yin, and Zheng (2023), develop a theoretical framework showing that firms have a greater incentive to invest in abatement when they become importers, exporters, or both. Using Chinese firm-level data, they confirm that both importing and exporting contribute to significant reductions in emission intensities. Their finding that the import channel operates through access to cleaner or more efficient intermediate inputs is directly relevant to the present study. The framework also predicts that firms investing in imported inputs have stronger incentives to adopt complementary abatement technologies, creating a reinforcing dynamic between trade participation and environmental performance.</w:t>
      </w:r>
    </w:p>
    <w:p>
      <w:pPr>
        <w:pStyle w:val="BodyText"/>
        <w:spacing w:after="200" w:line="360" w:lineRule="auto"/>
        <w:jc w:val="both"/>
      </w:pPr>
      <w:r>
        <w:t xml:space="preserve">The broader literature on imported inputs and firm performance supports this channel. Amiti and Konings (2007) show that input tariff reductions raise firm productivity more than output tariff reductions, using Indonesian data. Goldberg, Khandelwal, Pavcnik, and Topalova (2010) find that imported inputs expand the product scope of Indian firms through access to new input varieties. Pane and Patunru (2023), using Indonesian data show that imported inputs raise firm productivity and export performance, with the variety margin (access to broader alternatives of inputs) being more important than the volume margin.</w:t>
      </w:r>
    </w:p>
    <w:p>
      <w:pPr>
        <w:pStyle w:val="BodyText"/>
        <w:spacing w:after="200" w:line="360" w:lineRule="auto"/>
        <w:jc w:val="both"/>
      </w:pPr>
      <w:r>
        <w:t xml:space="preserve">The most directly related paper for Indonesia is Imbruno and Ketterer (2018). They study whether importing intermediate inputs improves firm-level environmental performance in Indonesian manufacturing. Using firm-level data and a combined propensity score matching and difference-in-differences approach, they find energy efficiency gains from importing, particularly through access to new imported input varieties. Their evidence strongly supports the argument that the import channel can improve environmental performance in a developing economy. The present paper differs by using a longer manufacturing panel, constructing Scope 1 and Scope 2 emissions from physical energy data, examining value added per unit of energy and per unit of CO2, separating export, import, and FDI entry, and applying modern staggered difference-in-differences estimators.</w:t>
      </w:r>
    </w:p>
    <w:bookmarkEnd w:id="13"/>
    <w:bookmarkStart w:id="14" w:name="Xc4ae9791bf23ffa377dfd4a6503b499d4057948"/>
    <w:p>
      <w:pPr>
        <w:pStyle w:val="Heading2"/>
      </w:pPr>
      <w:r>
        <w:t xml:space="preserve">2.5. Foreign direct investment and environmental performance</w:t>
      </w:r>
    </w:p>
    <w:p>
      <w:pPr>
        <w:pStyle w:val="FirstParagraph"/>
        <w:spacing w:after="200" w:line="360" w:lineRule="auto"/>
        <w:jc w:val="both"/>
      </w:pPr>
      <w:r>
        <w:t xml:space="preserve">The relationship between FDI and environmental performance has been studied through two competing hypotheses. The pollution haven hypothesis predicts that FDI flows to countries with weaker environmental regulation, implying that foreign-owned plants may be dirtier than domestic firms. The pollution halo hypothesis predicts the opposite: foreign investors bring cleaner technologies, better management practices, and stronger environmental standards, so foreign-owned plants should be cleaner.</w:t>
      </w:r>
    </w:p>
    <w:p>
      <w:pPr>
        <w:pStyle w:val="BodyText"/>
        <w:spacing w:after="200" w:line="360" w:lineRule="auto"/>
        <w:jc w:val="both"/>
      </w:pPr>
      <w:r>
        <w:t xml:space="preserve">Brucal, Javorcik, and Love (2019) provide the most relevant evidence. Using establishment-level data from Indonesia and 60 other countries, they find that foreign-acquired plants improve their energy intensity, but that the magnitude depends on the regulatory stringency of the acquirer’s home country. The effect is stronger when the acquiring firm comes from a country with more stringent environmental standards, consistent with the transfer of cleaner technologies and management practices. This finding is important because it suggests that the environmental benefit of FDI is not automatic; it depends on the institutional and regulatory context.</w:t>
      </w:r>
    </w:p>
    <w:p>
      <w:pPr>
        <w:pStyle w:val="BodyText"/>
        <w:spacing w:after="200" w:line="360" w:lineRule="auto"/>
        <w:jc w:val="both"/>
      </w:pPr>
      <w:r>
        <w:t xml:space="preserve">Eskeland and Harrison (2003), in an earlier study, find little evidence that foreign firms are attracted to developing countries because of laxer environmental regulation. Instead, they find that foreign plants tend to be more energy-efficient than their domestic counterparts. Cole, Elliott, and Strobl (2008) confirm this using plant-level data from Ghana, finding that foreign-owned plants are less energy-intensive. The evidence is thus more consistent with the pollution halo hypothesis, but the magnitude and significance of the FDI-environment link appear to depend on the regulatory gap between the source and host countries.</w:t>
      </w:r>
    </w:p>
    <w:bookmarkEnd w:id="14"/>
    <w:bookmarkStart w:id="15" w:name="Xf0543eb79810fdfde89debe739bbe0245652d28"/>
    <w:p>
      <w:pPr>
        <w:pStyle w:val="Heading2"/>
      </w:pPr>
      <w:r>
        <w:t xml:space="preserve">2.6. Methodological advances: staggered difference-in-differences</w:t>
      </w:r>
    </w:p>
    <w:p>
      <w:pPr>
        <w:pStyle w:val="FirstParagraph"/>
        <w:spacing w:after="200" w:line="360" w:lineRule="auto"/>
        <w:jc w:val="both"/>
      </w:pPr>
      <w:r>
        <w:t xml:space="preserve">A growing literature has demonstrated that the conventional two-way fixed effects (TWFE) estimator can produce biased estimates of average treatment effects under staggered treatment adoption with heterogeneous treatment effects. Goodman-Bacon (2021), provides the canonical decomposition showing that the TWFE estimator is a weighted average of all possible two-by-two difference-in-differences comparisons, some of which use already-treated units as controls, potentially introducing negative weights and bias.</w:t>
      </w:r>
    </w:p>
    <w:p>
      <w:pPr>
        <w:pStyle w:val="BodyText"/>
        <w:spacing w:after="200" w:line="360" w:lineRule="auto"/>
        <w:jc w:val="both"/>
      </w:pPr>
      <w:r>
        <w:t xml:space="preserve">Several solutions have been proposed. Callaway and Sant’Anna (2021) develop a group-time average treatment effect estimator that avoids problematic comparisons. Sun and Abraham (2021) propose an interaction-weighted estimator. Borusyak, Jaravel, and Spiess (2024), develop an imputation estimator that first estimates a model on untreated observations to impute counterfactual outcomes for treated units, then computes treatment effects as the difference between observed and imputed outcomes. De Chaisemartin and D’Haultfœuille (2020) develop a dynamic estimator that separately reports placebo coefficients at pre-treatment leads, providing explicit identification diagnostics.</w:t>
      </w:r>
    </w:p>
    <w:p>
      <w:pPr>
        <w:pStyle w:val="BodyText"/>
        <w:spacing w:after="200" w:line="360" w:lineRule="auto"/>
        <w:jc w:val="both"/>
      </w:pPr>
      <w:r>
        <w:t xml:space="preserve">The present paper uses the BJS imputation estimator as the primary specification, complemented by the dCDH dynamic estimator for validation and pre-trend testing, and TWFE as a benchmark. This triangulation strategy is motivated by the staggered nature of trade entry across Indonesian manufacturing firms over the 15-year panel: firms enter export, import, and FDI markets in different years, which is precisely the setting where TWFE can produce misleading results. The use of multiple modern DID estimators provides a more credible basis for causal inference than any single estimator alone.</w:t>
      </w:r>
    </w:p>
    <w:bookmarkEnd w:id="15"/>
    <w:bookmarkEnd w:id="16"/>
    <w:bookmarkStart w:id="21" w:name="data"/>
    <w:p>
      <w:pPr>
        <w:pStyle w:val="Heading1"/>
      </w:pPr>
      <w:r>
        <w:t xml:space="preserve">3. Data</w:t>
      </w:r>
    </w:p>
    <w:bookmarkStart w:id="17" w:name="data-sources-and-sample"/>
    <w:p>
      <w:pPr>
        <w:pStyle w:val="Heading2"/>
      </w:pPr>
      <w:r>
        <w:t xml:space="preserve">3.1. Data sources and sample</w:t>
      </w:r>
    </w:p>
    <w:p>
      <w:pPr>
        <w:pStyle w:val="FirstParagraph"/>
        <w:spacing w:after="200" w:line="360" w:lineRule="auto"/>
        <w:jc w:val="both"/>
      </w:pPr>
      <w:r>
        <w:t>We construct the firm-level panel from the Indonesian Industrial Survey (Survei Industri Besar dan Sedang, or SI/IBS), the annual census of manufacturing establishments conducted by Statistics Indonesia (BPS). The survey covers all medium and large establishments, defined as those with twenty or more workers, and our sample spans the years 2000 to 2014. The survey records detailed physical quantities of energy consumed by fuel type and electricity source, alongside establishment characteristics including value added, gross output, employment, intermediate inputs, industry classification, and region. We link each establishment’s energy records to its full set of characteristics using the plant identifier (psid) and survey year, retaining only observations with complete coverage. The matched panel comprises 326,382 firm-year observations. We then apply the outlier-trimming rule of Amiti and Konings (2007), dropping establishments with extreme year-on-year changes in plant-level output and input growth together with extreme within-industry energy levels. This step removes 11,806 firm-years, or 3.6 percent of the matched panel, leaving a final analysis sample of 314,576 firm-year observations.</w:t>
      </w:r>
    </w:p>
    <w:bookmarkEnd w:id="17"/>
    <w:bookmarkStart w:id="18" w:name="measuring-trade-participation"/>
    <w:p>
      <w:pPr>
        <w:pStyle w:val="Heading2"/>
      </w:pPr>
      <w:r>
        <w:t xml:space="preserve">3.2. Measuring trade participation</w:t>
      </w:r>
    </w:p>
    <w:p>
      <w:pPr>
        <w:pStyle w:val="FirstParagraph"/>
        <w:spacing w:after="200" w:line="360" w:lineRule="auto"/>
        <w:jc w:val="both"/>
      </w:pPr>
      <w:r>
        <w:t xml:space="preserve">[Placeholder — to be completed by co-authors. This subsection will define export, import, and FDI entry indicators, the sustained-entry timing rule, and treatment cohort construction.]</w:t>
      </w:r>
    </w:p>
    <w:bookmarkEnd w:id="18"/>
    <w:bookmarkStart w:id="19" w:name="Xb117068a33f08a1e1c44c8467a87fa53e9301f6"/>
    <w:p>
      <w:pPr>
        <w:pStyle w:val="Heading2"/>
      </w:pPr>
      <w:r>
        <w:t xml:space="preserve">3.3. Constructing emissions and energy-productivity measures</w:t>
      </w:r>
    </w:p>
    <w:p>
      <w:pPr>
        <w:pStyle w:val="FirstParagraph"/>
        <w:spacing w:after="200" w:line="360" w:lineRule="auto"/>
        <w:jc w:val="both"/>
      </w:pPr>
      <w:r>
        <w:t>Most existing firm-level studies of trade and the environment rely on air pollution data drawn from regulatory agencies: SO₂ and particulate records for US plants (Holladay, 2016; Cherniwchan, 2017; Shapiro and Walker, 2018), industrial pollutant records from environmental enforcement surveys in China (Rodrigue, Sheng, and Tan, 2024), and CO₂ from administrative emissions registers for Sweden (Forslid, Okubo, and Ulltveit-Moe, 2018). No comparable source exists for Indonesian manufacturing. We therefore construct CO₂-equivalent emissions from the ground up using the physical fuel quantities reported directly in the Industrial Survey, applying the IPCC 2006 Tier 1 approach at the firm level. Building the measures from physical quantities also distinguishes our approach from the most directly comparable Indonesian study, Imbruno and Ketterer (2018), which proxies energy performance with energy expenditure data from the survey. Expenditure conflates price variation with consumption changes, a concern for Indonesia, where domestic fuel prices were heavily administered throughout the sample period under the fuel subsidy regime, whereas the physical quantities we use are unaffected by these distortions. Relative to Zain, Patunru, and Hartono (2025), who also build emissions from physical Industrial Survey fuel quantities through a direct gigajoule pathway, we separate the treatment of fuels and electricity in the same way, routing combusted fuels through fuel-specific calorific values and IPCC combustion factors (Scope 1) and converting purchased electricity directly with a time-varying grid emission factor (Scope 2). We depart from Zain, Patunru, and Hartono (2025) by adopting BPS Neraca Energi net calorific values as our primary specification rather than the ESDM HEES values they employ, which avoids the gross-to-net calorific basis mismatch that inflates HEES-based estimates for fuels such as LPG.</w:t>
      </w:r>
    </w:p>
    <w:p>
      <w:pPr>
        <w:pStyle w:val="BodyText"/>
        <w:spacing w:after="200" w:line="360" w:lineRule="auto"/>
        <w:jc w:val="both"/>
      </w:pPr>
      <w:r>
        <w:t>The survey records energy use as physical quantities across a set of fuel categories. Because the questionnaire changed across survey waves, we harmonise the fuel items using the survey questionnaires for each year (BPS, 2000–2014) into a consistent set of canonical variables. The main fuel categories are diesel, gasoline, kerosene, coal, liquefied petroleum gas (LPG), city gas, and a small number of sparse fuels including coal briquettes and other gas. Purchased electricity is recorded separately for the state grid (PLN) and non-PLN sources. Two categories warrant special treatment. LPG and city gas are structurally absent from the 2001–2005 questionnaires, which did not collect them as separate line items, and we therefore treat these years as missing rather than zero to avoid mistaking a survey gap for genuine non-use. For each establishment we also compute a completeness indicator recording the number of fuel types with valid observations.</w:t>
      </w:r>
    </w:p>
    <w:p>
      <w:pPr>
        <w:pStyle w:val="BodyText"/>
        <w:spacing w:after="200" w:line="360" w:lineRule="auto"/>
        <w:jc w:val="both"/>
      </w:pPr>
      <w:r>
        <w:t>We convert physical quantities to gigajoules (GJ) using net calorific values from the Indonesian Energy Balance (Neraca Energi Indonesia), published by the Ministry of Energy and BPS, and treat this as our primary specification, Specification 1. We then compute Scope 1 carbon emissions, the direct emissions from on-site fuel combustion, by multiplying energy content in GJ by the fuel-specific emission factors in IPCC (2006), Table 2.3, for the manufacturing sector. For coal, we apply the IPCC emission factor for bituminous coal, which the guidelines specify as the default for coal of unspecified rank. The sub-bituminous figure differs by only 1.6 per cent, well within measurement uncertainty. As a sensitivity check, Specification 2 substitutes net calorific values from the Ministry of Energy HEES energy statistics.</w:t>
      </w:r>
    </w:p>
    <w:p>
      <w:pPr>
        <w:pStyle w:val="BodyText"/>
        <w:spacing w:after="200" w:line="360" w:lineRule="auto"/>
        <w:jc w:val="both"/>
      </w:pPr>
      <w:r>
        <w:t xml:space="preserve">Scope 2 emissions capture the indirect emissions embodied in purchased electricity. We convert each establishment's electricity consumption from kilowatt-hours to GJ and multiply by a year-specific grid emission factor. The grid emission factor is constructed from annual national generation-mix data, drawn from PLN (Perusahaan Listrik Negara) and BPS Neraca Energi, combined with the fuel-specific emission factors in IPCC (2006). The grid emission factor rises over the sample period, from 0.000599 to 0.000914 tonnes of CO₂ per kilowatt-hour, reflecting the increasing share of coal in Indonesian power generation. Total emissions for each firm-year are the sum of Scope 1 and Scope 2.</w:t>
      </w:r>
    </w:p>
    <w:p>
      <w:pPr>
        <w:pStyle w:val="BodyText"/>
        <w:spacing w:after="200" w:line="360" w:lineRule="auto"/>
        <w:jc w:val="both"/>
      </w:pPr>
      <w:r>
        <w:t xml:space="preserve">We measure value added directly from the survey. [Value added is deflated to constant prices using [DEFLATOR — to be confirmed]; deflation specification to be verified by co-authors.] Our two outcome variables are expressed as productivity measures. VA/GJ is real value added per gigajoule of energy consumed, and VA/CO₂ is real value added per tonne of CO₂-equivalent emitted. Higher values of both indicate greater energy and emissions efficiency, and both outcomes enter the regressions in natural logarithms.</w:t>
      </w:r>
    </w:p>
    <w:bookmarkEnd w:id="19"/>
    <w:bookmarkStart w:id="20" w:name="descriptive-statistics"/>
    <w:p>
      <w:pPr>
        <w:pStyle w:val="Heading2"/>
      </w:pPr>
      <w:r>
        <w:t xml:space="preserve">3.4. Descriptive statistics</w:t>
      </w:r>
    </w:p>
    <w:p>
      <w:pPr>
        <w:pStyle w:val="FirstParagraph"/>
        <w:spacing w:after="200" w:line="360" w:lineRule="auto"/>
        <w:jc w:val="both"/>
      </w:pPr>
      <w:r>
        <w:t xml:space="preserve">[Placeholder — summary statistics table and descriptive figures to be added.]</w:t>
      </w:r>
    </w:p>
    <w:bookmarkEnd w:id="20"/>
    <w:bookmarkEnd w:id="21"/>
    <w:bookmarkStart w:id="22" w:name="references"/>
    <w:p>
      <w:pPr>
        <w:pStyle w:val="Heading1"/>
      </w:pPr>
      <w:r>
        <w:t xml:space="preserve">References</w:t>
      </w:r>
    </w:p>
    <w:p>
      <w:pPr>
        <w:pStyle w:val="FirstParagraph"/>
        <w:spacing w:after="200" w:line="360" w:lineRule="auto"/>
        <w:jc w:val="both"/>
      </w:pPr>
      <w:r>
        <w:rPr>
          <w:i/>
          <w:iCs/>
        </w:rPr>
        <w:t xml:space="preserve">[Note: This reference list covers citations introduced in Section 3. Full list to be merged with Sections 1–2 references by co-authors.]</w:t>
      </w:r>
    </w:p>
    <w:p>
      <w:pPr>
        <w:pStyle w:val="BodyText"/>
        <w:spacing w:after="200" w:line="360" w:lineRule="auto"/>
        <w:jc w:val="both"/>
      </w:pPr>
      <w:r>
        <w:t xml:space="preserve">BPS-Statistics Indonesia. (2000–2014).</w:t>
      </w:r>
      <w:r>
        <w:t xml:space="preserve"> </w:t>
      </w:r>
      <w:r>
        <w:rPr>
          <w:i/>
          <w:iCs/>
        </w:rPr>
        <w:t xml:space="preserve">Statistik Industri Besar dan Sedang</w:t>
      </w:r>
      <w:r>
        <w:t xml:space="preserve"> </w:t>
      </w:r>
      <w:r>
        <w:t xml:space="preserve">[Annual Manufacturing Survey of Large and Medium Establishments]. Jakarta: Badan Pusat Statistik.</w:t>
      </w:r>
    </w:p>
    <w:p>
      <w:pPr>
        <w:pStyle w:val="BodyText"/>
        <w:spacing w:after="200" w:line="360" w:lineRule="auto"/>
        <w:jc w:val="both"/>
      </w:pPr>
      <w:r>
        <w:t xml:space="preserve">BPS-Statistics Indonesia. (2000–2014).</w:t>
      </w:r>
      <w:r>
        <w:t xml:space="preserve"> </w:t>
      </w:r>
      <w:r>
        <w:rPr>
          <w:i/>
          <w:iCs/>
        </w:rPr>
        <w:t xml:space="preserve">Neraca Energi Indonesia</w:t>
      </w:r>
      <w:r>
        <w:t xml:space="preserve"> </w:t>
      </w:r>
      <w:r>
        <w:t xml:space="preserve">[Indonesian Energy Balance]. Jakarta: Badan Pusat Statistik.</w:t>
      </w:r>
    </w:p>
    <w:p>
      <w:pPr>
        <w:pStyle w:val="BodyText"/>
        <w:spacing w:after="200" w:line="360" w:lineRule="auto"/>
        <w:jc w:val="both"/>
      </w:pPr>
      <w:r>
        <w:t xml:space="preserve">Intergovernmental Panel on Climate Change. (2006).</w:t>
      </w:r>
      <w:r>
        <w:t xml:space="preserve"> </w:t>
      </w:r>
      <w:r>
        <w:rPr>
          <w:i/>
          <w:iCs/>
        </w:rPr>
        <w:t xml:space="preserve">2006 IPCC Guidelines for National Greenhouse Gas Inventories</w:t>
      </w:r>
      <w:r>
        <w:t xml:space="preserve"> </w:t>
      </w:r>
      <w:r>
        <w:t xml:space="preserve">(Vol. 2: Energy, Ch. 2, Table 2.3). Prepared by the National Greenhouse Gas Inventories Programme. Hayama, Japan: Institute for Global Environmental Strategies (IGES).</w:t>
      </w:r>
    </w:p>
    <w:p>
      <w:pPr>
        <w:pStyle w:val="BodyText"/>
        <w:spacing w:after="200" w:line="360" w:lineRule="auto"/>
        <w:jc w:val="both"/>
      </w:pPr>
      <w:r>
        <w:t xml:space="preserve">PT Perusahaan Listrik Negara (Persero). (2000–2014).</w:t>
      </w:r>
      <w:r>
        <w:t xml:space="preserve"> </w:t>
      </w:r>
      <w:r>
        <w:rPr>
          <w:i/>
          <w:iCs/>
        </w:rPr>
        <w:t xml:space="preserve">Statistik PLN</w:t>
      </w:r>
      <w:r>
        <w:t xml:space="preserve"> </w:t>
      </w:r>
      <w:r>
        <w:t xml:space="preserve">[PLN Statistics]. Jakarta: PT PLN (Persero).</w:t>
      </w:r>
    </w:p>
    <w:p>
      <w:pPr>
        <w:pStyle w:val="BodyText"/>
        <w:spacing w:after="200" w:line="360" w:lineRule="auto"/>
        <w:jc w:val="both"/>
      </w:pPr>
      <w:r>
        <w:t xml:space="preserve">Zain, R. K., Patunru, A. A., &amp; Hartono, D. (2025). Energy and emission changes in industrial sectors: Evidence from Indonesia.</w:t>
      </w:r>
      <w:r>
        <w:t xml:space="preserve"> </w:t>
      </w:r>
      <w:r>
        <w:rPr>
          <w:i/>
          <w:iCs/>
        </w:rPr>
        <w:t xml:space="preserve">Energy Sources, Part B: Economics, Planning, and Policy, 20</w:t>
      </w:r>
      <w:r>
        <w:t xml:space="preserve">(1), Article 2532161.</w:t>
      </w:r>
    </w:p>
    <w:bookmarkEnd w:id="22"/>
    <w:sectPr w:rsidR="00F812D8">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95C3E7C"/>
    <w:multiLevelType w:val="hybridMultilevel"/>
    <w:tmpl w:val="BE4623FC"/>
    <w:lvl w:ilvl="0" w:tplc="C69CE156">
      <w:start w:val="1"/>
      <w:numFmt w:val="bullet"/>
      <w:lvlText w:val="●"/>
      <w:lvlJc w:val="left"/>
      <w:pPr>
        <w:ind w:hanging="360" w:left="720"/>
      </w:pPr>
    </w:lvl>
    <w:lvl w:ilvl="1" w:tplc="1A104736">
      <w:start w:val="1"/>
      <w:numFmt w:val="bullet"/>
      <w:lvlText w:val="○"/>
      <w:lvlJc w:val="left"/>
      <w:pPr>
        <w:ind w:hanging="360" w:left="1440"/>
      </w:pPr>
    </w:lvl>
    <w:lvl w:ilvl="2" w:tplc="7A42B668">
      <w:start w:val="1"/>
      <w:numFmt w:val="bullet"/>
      <w:lvlText w:val="■"/>
      <w:lvlJc w:val="left"/>
      <w:pPr>
        <w:ind w:hanging="360" w:left="2160"/>
      </w:pPr>
    </w:lvl>
    <w:lvl w:ilvl="3" w:tplc="5E0C58CE">
      <w:start w:val="1"/>
      <w:numFmt w:val="bullet"/>
      <w:lvlText w:val="●"/>
      <w:lvlJc w:val="left"/>
      <w:pPr>
        <w:ind w:hanging="360" w:left="2880"/>
      </w:pPr>
    </w:lvl>
    <w:lvl w:ilvl="4" w:tplc="5F7A3E90">
      <w:start w:val="1"/>
      <w:numFmt w:val="bullet"/>
      <w:lvlText w:val="○"/>
      <w:lvlJc w:val="left"/>
      <w:pPr>
        <w:ind w:hanging="360" w:left="3600"/>
      </w:pPr>
    </w:lvl>
    <w:lvl w:ilvl="5" w:tplc="AE26736E">
      <w:start w:val="1"/>
      <w:numFmt w:val="bullet"/>
      <w:lvlText w:val="■"/>
      <w:lvlJc w:val="left"/>
      <w:pPr>
        <w:ind w:hanging="360" w:left="4320"/>
      </w:pPr>
    </w:lvl>
    <w:lvl w:ilvl="6" w:tplc="CB4E088E">
      <w:start w:val="1"/>
      <w:numFmt w:val="bullet"/>
      <w:lvlText w:val="●"/>
      <w:lvlJc w:val="left"/>
      <w:pPr>
        <w:ind w:hanging="360" w:left="5040"/>
      </w:pPr>
    </w:lvl>
    <w:lvl w:ilvl="7" w:tplc="88A0DB4A">
      <w:start w:val="1"/>
      <w:numFmt w:val="bullet"/>
      <w:lvlText w:val="●"/>
      <w:lvlJc w:val="left"/>
      <w:pPr>
        <w:ind w:hanging="360" w:left="5760"/>
      </w:pPr>
    </w:lvl>
    <w:lvl w:ilvl="8" w:tplc="683AFCF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99267465" w:numId="1">
    <w:abstractNumId w:val="0"/>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2D8"/>
    <w:rsid w:val="000B74B9"/>
    <w:rsid w:val="002359C7"/>
    <w:rsid w:val="00365F29"/>
    <w:rsid w:val="0043273B"/>
    <w:rsid w:val="00510E4A"/>
    <w:rsid w:val="005B187B"/>
    <w:rsid w:val="006C207B"/>
    <w:rsid w:val="00815B78"/>
    <w:rsid w:val="008E04DF"/>
    <w:rsid w:val="0090498A"/>
    <w:rsid w:val="00942B93"/>
    <w:rsid w:val="00A37D0E"/>
    <w:rsid w:val="00A9675A"/>
    <w:rsid w:val="00CF79BC"/>
    <w:rsid w:val="00F54004"/>
    <w:rsid w:val="00F812D8"/>
  </w:rsids>
  <w:themeFontLang w:eastAsia="zh-CN"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cs="Cambria" w:eastAsia="Cambria" w:hAnsi="Cambria"/>
        <w:sz w:val="24"/>
        <w:szCs w:val="24"/>
        <w:lang w:bidi="ar-SA" w:eastAsia="zh-CN" w:val="en-ID"/>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240" w:before="480"/>
      <w:outlineLvl w:val="0"/>
    </w:pPr>
    <w:rPr>
      <w:b/>
      <w:bCs/>
      <w:sz w:val="28"/>
      <w:szCs w:val="28"/>
    </w:rPr>
  </w:style>
  <w:style w:styleId="Heading2" w:type="paragraph">
    <w:name w:val="heading 2"/>
    <w:uiPriority w:val="9"/>
    <w:unhideWhenUsed/>
    <w:qFormat/>
    <w:pPr>
      <w:spacing w:after="200" w:before="360"/>
      <w:outlineLvl w:val="1"/>
    </w:pPr>
    <w:rPr>
      <w:b/>
      <w:bCs/>
      <w:i/>
      <w:iCs/>
    </w:rPr>
  </w:style>
  <w:style w:styleId="Heading3" w:type="paragraph">
    <w:name w:val="heading 3"/>
    <w:uiPriority w:val="9"/>
    <w:semiHidden/>
    <w:unhideWhenUsed/>
    <w:qFormat/>
    <w:pPr>
      <w:outlineLvl w:val="2"/>
    </w:pPr>
    <w:rPr>
      <w:color w:val="1F4D78"/>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3873</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2026-05-22T13:18:56Z</dcterms:created>
  <dcterms:modified xsi:type="dcterms:W3CDTF">2026-05-22T13:18:56Z</dcterms:modified>
</cp:coreProperties>
</file>

<file path=docProps/custom.xml><?xml version="1.0" encoding="utf-8"?>
<Properties xmlns="http://schemas.openxmlformats.org/officeDocument/2006/custom-properties" xmlns:vt="http://schemas.openxmlformats.org/officeDocument/2006/docPropsVTypes"/>
</file>